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sz w:val="32"/>
          <w:szCs w:val="32"/>
          <w:lang w:val="en-US" w:eastAsia="zh-CN"/>
        </w:rPr>
        <w:t>2021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16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土地开发储备中心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color w:val="auto"/>
                <w:sz w:val="24"/>
              </w:rPr>
              <w:t>批次城镇建</w:t>
            </w:r>
            <w:r>
              <w:rPr>
                <w:rFonts w:hint="eastAsia" w:ascii="宋体" w:hAnsi="宋体"/>
                <w:sz w:val="24"/>
              </w:rPr>
              <w:t>设用地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增减挂钩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27.3451 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27.3448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27.3451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27.3451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27.3448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27.3448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22.7331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22.7331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1.6220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1.6220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0.3308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2.6589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2.6589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0.0003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0.0003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广州市增城区2020年度第五批次城镇建设用地(增减挂钩)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24.8592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广州市增城区2020年度第五批次城镇建设用地(增减挂钩)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2.4859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Times New Roman" w:hAnsi="Times New Roman"/>
          <w:sz w:val="24"/>
          <w:lang w:val="en-US" w:eastAsia="zh-CN"/>
        </w:rPr>
        <w:t>李依琪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both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该批次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城镇建设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用地涉及新增建设用地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27.3448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公顷、农用地转用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27.3448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公顷（耕地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24.8802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公顷）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已列入广州市2020年度土地利用计划，已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/>
              </w:rPr>
              <w:t>2019年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/>
                <w:lang w:val="en-US" w:eastAsia="zh-CN"/>
              </w:rPr>
              <w:t>跨省域调剂城乡建设用地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/>
              </w:rPr>
              <w:t>增减挂钩节余指标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李依琪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818"/>
        <w:gridCol w:w="1509"/>
        <w:gridCol w:w="24"/>
        <w:gridCol w:w="1639"/>
        <w:gridCol w:w="2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40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耕地开垦费总额</w:t>
            </w: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color w:val="auto"/>
              </w:rPr>
              <w:t>平均缴费标准</w:t>
            </w: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耕地总费用</w:t>
            </w: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color w:val="auto"/>
              </w:rPr>
              <w:t>平均费用标准</w:t>
            </w: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需补充情况</w:t>
            </w:r>
          </w:p>
        </w:tc>
        <w:tc>
          <w:tcPr>
            <w:tcW w:w="40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40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40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FF0000"/>
                <w:highlight w:val="none"/>
              </w:rPr>
            </w:pPr>
          </w:p>
        </w:tc>
        <w:tc>
          <w:tcPr>
            <w:tcW w:w="40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承诺补充耕地面积</w:t>
            </w: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挂钩补充耕地数量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承诺补充水田规模</w:t>
            </w: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挂钩水田规模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承诺补充标准粮食产能</w:t>
            </w: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挂钩标准粮食产能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39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谢沅珊</w:t>
      </w:r>
    </w:p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新塘镇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乌石村经济联合社、乌石村中宁、大巷、沙北、沙南、竹林经济合作社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0.0820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22.6511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1.6220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0.3308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2.6589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 ：                               计量单位：公顷、万元、人、亩/人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1599.6886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6111.6301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留用地按实际征地面积的10%安排，在本批次内一并报批，增城区人民政府已组织制订留用地安置方案，同村安置的留用地征地不做实际补偿。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李依琪</w:t>
      </w:r>
    </w:p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四、征收土地方案（</w:t>
      </w:r>
      <w:r>
        <w:rPr>
          <w:rFonts w:hint="eastAsia" w:ascii="宋体" w:hAnsi="宋体"/>
          <w:b/>
          <w:bCs/>
          <w:sz w:val="32"/>
          <w:lang w:val="en-US" w:eastAsia="zh-CN"/>
        </w:rPr>
        <w:t>一</w:t>
      </w:r>
      <w:r>
        <w:rPr>
          <w:rFonts w:hint="eastAsia" w:ascii="宋体" w:hAnsi="宋体"/>
          <w:b/>
          <w:bCs/>
          <w:sz w:val="32"/>
        </w:rPr>
        <w:t>）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新塘镇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乌石村经济联合社、乌石村中宁、大巷、沙北、沙南、竹林经济合作社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0.0820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20.2377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1.6073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0.3308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2.6011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0.0003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 ：                               计量单位：公顷、万元、人、亩/人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1454.2633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5556.0313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留用地按实际征地面积的10%安排，在本批次内一并报批，增城区人民政府已组织制订留用地安置方案，同村安置的留用地征地不做实际补偿。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李依琪</w:t>
      </w:r>
    </w:p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四、征收土地方案（</w:t>
      </w:r>
      <w:r>
        <w:rPr>
          <w:rFonts w:hint="eastAsia" w:ascii="宋体" w:hAnsi="宋体"/>
          <w:b/>
          <w:bCs/>
          <w:sz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</w:rPr>
        <w:t>）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新塘镇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乌石村经济联合社、乌石村中宁、大巷、沙北、沙南经济合作社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2.4134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0.0147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0.0578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续一 ：                               计量单位：公顷、万元、人、亩/人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145.4253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555.5988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本地块为</w:t>
            </w:r>
            <w:r>
              <w:rPr>
                <w:rFonts w:hint="eastAsia"/>
                <w:color w:val="auto"/>
                <w:sz w:val="24"/>
              </w:rPr>
              <w:t>实际征地面积10%安排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的</w:t>
            </w:r>
            <w:r>
              <w:rPr>
                <w:rFonts w:hint="eastAsia"/>
                <w:color w:val="auto"/>
                <w:sz w:val="24"/>
              </w:rPr>
              <w:t>留用地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2.4859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公顷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在本批次内一并报批，增城区人民政府已组织制订留用地安置方案，同村安置的留用地征地不做实际补偿。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李依琪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1AF6EA5"/>
    <w:rsid w:val="0329170B"/>
    <w:rsid w:val="050F78BC"/>
    <w:rsid w:val="054352FD"/>
    <w:rsid w:val="058C7CD6"/>
    <w:rsid w:val="07B90A12"/>
    <w:rsid w:val="08E77E06"/>
    <w:rsid w:val="0A340949"/>
    <w:rsid w:val="0A756243"/>
    <w:rsid w:val="0BD848F2"/>
    <w:rsid w:val="0C9B1762"/>
    <w:rsid w:val="0DEE2B85"/>
    <w:rsid w:val="0DEE7472"/>
    <w:rsid w:val="0EDA33F1"/>
    <w:rsid w:val="10D10880"/>
    <w:rsid w:val="115F60C5"/>
    <w:rsid w:val="11E13248"/>
    <w:rsid w:val="121B345D"/>
    <w:rsid w:val="140E2CD3"/>
    <w:rsid w:val="19B52602"/>
    <w:rsid w:val="1C703CD0"/>
    <w:rsid w:val="1C8409AC"/>
    <w:rsid w:val="1CE37D3D"/>
    <w:rsid w:val="20D248A7"/>
    <w:rsid w:val="210339BE"/>
    <w:rsid w:val="226106C9"/>
    <w:rsid w:val="23211EC3"/>
    <w:rsid w:val="242F0F3A"/>
    <w:rsid w:val="25222972"/>
    <w:rsid w:val="25E140CB"/>
    <w:rsid w:val="263445AB"/>
    <w:rsid w:val="26573861"/>
    <w:rsid w:val="2A616FE1"/>
    <w:rsid w:val="2C7951BE"/>
    <w:rsid w:val="2CAA574A"/>
    <w:rsid w:val="2F477372"/>
    <w:rsid w:val="334B2C91"/>
    <w:rsid w:val="33685B1B"/>
    <w:rsid w:val="33762E19"/>
    <w:rsid w:val="344B79A2"/>
    <w:rsid w:val="38B57B45"/>
    <w:rsid w:val="3ADF10CD"/>
    <w:rsid w:val="3AFF58CD"/>
    <w:rsid w:val="3B7202BF"/>
    <w:rsid w:val="3CB54D2E"/>
    <w:rsid w:val="3F5C5C32"/>
    <w:rsid w:val="3F8D3005"/>
    <w:rsid w:val="3FA9029A"/>
    <w:rsid w:val="40A51368"/>
    <w:rsid w:val="41385DEB"/>
    <w:rsid w:val="42B763FD"/>
    <w:rsid w:val="430F10E3"/>
    <w:rsid w:val="437134FD"/>
    <w:rsid w:val="439A4BAB"/>
    <w:rsid w:val="446966E3"/>
    <w:rsid w:val="4EE43832"/>
    <w:rsid w:val="512C09E0"/>
    <w:rsid w:val="514779EC"/>
    <w:rsid w:val="5401685D"/>
    <w:rsid w:val="55822B3E"/>
    <w:rsid w:val="577120D1"/>
    <w:rsid w:val="58042C3C"/>
    <w:rsid w:val="5BF603B0"/>
    <w:rsid w:val="5CF01CCE"/>
    <w:rsid w:val="5D374E0E"/>
    <w:rsid w:val="611B121B"/>
    <w:rsid w:val="63634792"/>
    <w:rsid w:val="654A4D52"/>
    <w:rsid w:val="660B46B0"/>
    <w:rsid w:val="67680287"/>
    <w:rsid w:val="67AA1B87"/>
    <w:rsid w:val="67C40926"/>
    <w:rsid w:val="68A92089"/>
    <w:rsid w:val="68E24A58"/>
    <w:rsid w:val="69534879"/>
    <w:rsid w:val="697341BD"/>
    <w:rsid w:val="6A2242BB"/>
    <w:rsid w:val="6A6F57F3"/>
    <w:rsid w:val="6B465512"/>
    <w:rsid w:val="6B941E53"/>
    <w:rsid w:val="6BBA0527"/>
    <w:rsid w:val="6D967C83"/>
    <w:rsid w:val="6DD14FC9"/>
    <w:rsid w:val="6E2E1EB2"/>
    <w:rsid w:val="6FA562EB"/>
    <w:rsid w:val="70AE0C04"/>
    <w:rsid w:val="70BF505C"/>
    <w:rsid w:val="70D77898"/>
    <w:rsid w:val="788D41C0"/>
    <w:rsid w:val="788F059A"/>
    <w:rsid w:val="78D70B54"/>
    <w:rsid w:val="79376020"/>
    <w:rsid w:val="795F423A"/>
    <w:rsid w:val="7A57601A"/>
    <w:rsid w:val="7A7B6C04"/>
    <w:rsid w:val="7BBA3085"/>
    <w:rsid w:val="7E5D6073"/>
    <w:rsid w:val="7EB7481C"/>
    <w:rsid w:val="7F032F35"/>
    <w:rsid w:val="7F2771B4"/>
    <w:rsid w:val="7F3D44C8"/>
    <w:rsid w:val="7FA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李依琪</cp:lastModifiedBy>
  <cp:lastPrinted>2021-05-25T10:03:00Z</cp:lastPrinted>
  <dcterms:modified xsi:type="dcterms:W3CDTF">2021-06-02T02:21:37Z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