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合同期满，本合同自行终止，甲方无偿收回该房屋及其附属设施。乙方如意向续租，须在合同期满前3个月向甲方提交意向续租申请书，并重新参与投标，在同等条件下，乙方享有优先权。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征地补偿款、建筑物及设施补偿费属甲方所有，其他补偿费按有关政策规定执行；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  </w:t>
      </w:r>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ascii="仿宋_GB2312" w:hAnsi="宋体" w:eastAsia="仿宋_GB2312" w:cs="仿宋_GB2312"/>
          <w:i w:val="0"/>
          <w:color w:val="00000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ascii="仿宋_GB2312" w:hAnsi="宋体" w:eastAsia="仿宋_GB2312" w:cs="仿宋_GB2312"/>
          <w:i w:val="0"/>
          <w:color w:val="000000"/>
          <w:sz w:val="28"/>
          <w:szCs w:val="28"/>
        </w:rPr>
        <w:t>本合同一式肆份，具有同等法律效力，双方签字（盖章）并交清保证金后生效；甲方、乙方双方各执壹份，镇综合保障中心贰份。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bookmarkStart w:id="0" w:name="_GoBack"/>
      <w:bookmarkEnd w:id="0"/>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61A3"/>
    <w:rsid w:val="055F3B42"/>
    <w:rsid w:val="132052F6"/>
    <w:rsid w:val="15E21EE1"/>
    <w:rsid w:val="1BDB3F51"/>
    <w:rsid w:val="20242F2A"/>
    <w:rsid w:val="3E5153FE"/>
    <w:rsid w:val="3FD304D3"/>
    <w:rsid w:val="436233D0"/>
    <w:rsid w:val="79166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Lenovo</cp:lastModifiedBy>
  <cp:lastPrinted>2021-12-21T03:20:00Z</cp:lastPrinted>
  <dcterms:modified xsi:type="dcterms:W3CDTF">2022-05-07T01:27:54Z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