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增城区工业经济安商稳企二十条措施</w:t>
      </w:r>
    </w:p>
    <w:p>
      <w:pPr>
        <w:pStyle w:val="2"/>
        <w:keepNext w:val="0"/>
        <w:keepLines w:val="0"/>
        <w:pageBreakBefore w:val="0"/>
        <w:widowControl w:val="0"/>
        <w:kinsoku/>
        <w:wordWrap/>
        <w:overflowPunct/>
        <w:topLinePunct w:val="0"/>
        <w:autoSpaceDE/>
        <w:autoSpaceDN/>
        <w:bidi w:val="0"/>
        <w:adjustRightInd w:val="0"/>
        <w:snapToGrid w:val="0"/>
        <w:spacing w:after="0" w:line="570" w:lineRule="exact"/>
        <w:ind w:left="0" w:leftChars="0" w:right="0" w:rightChars="0" w:firstLine="0" w:firstLineChars="0"/>
        <w:jc w:val="center"/>
        <w:textAlignment w:val="auto"/>
        <w:outlineLvl w:val="9"/>
        <w:rPr>
          <w:rFonts w:hint="eastAsia" w:ascii="楷体_GB2312" w:hAnsi="楷体_GB2312" w:eastAsia="楷体_GB2312" w:cs="楷体_GB2312"/>
          <w:color w:val="auto"/>
          <w:kern w:val="2"/>
          <w:sz w:val="32"/>
          <w:szCs w:val="32"/>
          <w:highlight w:val="none"/>
          <w:lang w:val="en-US" w:eastAsia="zh-CN"/>
        </w:rPr>
      </w:pPr>
      <w:r>
        <w:rPr>
          <w:rFonts w:hint="eastAsia" w:ascii="楷体_GB2312" w:hAnsi="楷体_GB2312" w:eastAsia="楷体_GB2312" w:cs="楷体_GB2312"/>
          <w:color w:val="auto"/>
          <w:kern w:val="2"/>
          <w:sz w:val="32"/>
          <w:szCs w:val="32"/>
          <w:highlight w:val="none"/>
          <w:lang w:val="en-US" w:eastAsia="zh-CN"/>
        </w:rPr>
        <w:t>（公开征求意见稿）</w:t>
      </w:r>
    </w:p>
    <w:p>
      <w:pPr>
        <w:pStyle w:val="2"/>
        <w:keepNext w:val="0"/>
        <w:keepLines w:val="0"/>
        <w:pageBreakBefore w:val="0"/>
        <w:widowControl w:val="0"/>
        <w:kinsoku/>
        <w:wordWrap/>
        <w:overflowPunct/>
        <w:topLinePunct w:val="0"/>
        <w:autoSpaceDE/>
        <w:autoSpaceDN/>
        <w:bidi w:val="0"/>
        <w:adjustRightInd w:val="0"/>
        <w:snapToGrid w:val="0"/>
        <w:spacing w:after="0"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after="0" w:line="570" w:lineRule="exact"/>
        <w:ind w:left="0" w:leftChars="0" w:right="0" w:rightChars="0" w:firstLine="640" w:firstLineChars="200"/>
        <w:jc w:val="both"/>
        <w:textAlignment w:val="auto"/>
        <w:outlineLvl w:val="9"/>
        <w:rPr>
          <w:rFonts w:hint="default"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为深入贯彻落实习近平总书记关于振兴工业经济的重要指示精神，根据国家发展改革委等部委《关于印发促进工业经济平稳增长的若干政策的通知》（发改产业〔2022〕273号）、广东省人民政府办公厅《关于印发广东省促进工业经济平稳增长行动方案的通知》（粤办函〔2022〕41号）、广州市人民政府办公厅《关于印发广州市进一步支持中小企业和个体工商户纾困发展十条措施的通知》（穗府办函</w:t>
      </w:r>
      <w:r>
        <w:rPr>
          <w:rFonts w:hint="eastAsia" w:ascii="仿宋" w:hAnsi="仿宋" w:eastAsia="仿宋" w:cs="仿宋"/>
          <w:color w:val="auto"/>
          <w:kern w:val="2"/>
          <w:sz w:val="32"/>
          <w:szCs w:val="32"/>
          <w:highlight w:val="none"/>
          <w:lang w:val="en-US" w:eastAsia="zh-CN"/>
        </w:rPr>
        <w:t>〔2022〕45号</w:t>
      </w:r>
      <w:r>
        <w:rPr>
          <w:rFonts w:hint="eastAsia" w:ascii="仿宋_GB2312" w:hAnsi="仿宋_GB2312" w:eastAsia="仿宋_GB2312" w:cs="仿宋_GB2312"/>
          <w:color w:val="auto"/>
          <w:kern w:val="2"/>
          <w:sz w:val="32"/>
          <w:szCs w:val="32"/>
          <w:highlight w:val="none"/>
          <w:lang w:val="en-US" w:eastAsia="zh-CN"/>
        </w:rPr>
        <w:t>）等文件要求，为强化政策扶持，优化发展环境，激发市场主体活力，进一步巩固工业经济增长势头，确保工业经济运行在合理区间，结合增城实际，制定本措施。</w:t>
      </w:r>
    </w:p>
    <w:p>
      <w:pPr>
        <w:pStyle w:val="2"/>
        <w:keepNext w:val="0"/>
        <w:keepLines w:val="0"/>
        <w:pageBreakBefore w:val="0"/>
        <w:widowControl w:val="0"/>
        <w:kinsoku/>
        <w:wordWrap/>
        <w:overflowPunct/>
        <w:topLinePunct w:val="0"/>
        <w:autoSpaceDE/>
        <w:autoSpaceDN/>
        <w:bidi w:val="0"/>
        <w:adjustRightInd w:val="0"/>
        <w:snapToGrid w:val="0"/>
        <w:spacing w:after="0"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b w:val="0"/>
          <w:bCs w:val="0"/>
          <w:color w:val="auto"/>
          <w:kern w:val="2"/>
          <w:sz w:val="32"/>
          <w:szCs w:val="32"/>
          <w:highlight w:val="none"/>
          <w:lang w:val="en-US" w:eastAsia="zh-CN"/>
        </w:rPr>
        <w:t>一、鼓励企业提质增效</w:t>
      </w:r>
    </w:p>
    <w:p>
      <w:pPr>
        <w:pStyle w:val="2"/>
        <w:keepNext w:val="0"/>
        <w:keepLines w:val="0"/>
        <w:pageBreakBefore w:val="0"/>
        <w:widowControl w:val="0"/>
        <w:kinsoku/>
        <w:wordWrap/>
        <w:overflowPunct/>
        <w:topLinePunct w:val="0"/>
        <w:autoSpaceDE/>
        <w:autoSpaceDN/>
        <w:bidi w:val="0"/>
        <w:adjustRightInd w:val="0"/>
        <w:snapToGrid w:val="0"/>
        <w:spacing w:after="0"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rPr>
      </w:pPr>
      <w:r>
        <w:rPr>
          <w:rFonts w:hint="eastAsia" w:ascii="楷体" w:hAnsi="楷体" w:eastAsia="楷体" w:cs="楷体"/>
          <w:b w:val="0"/>
          <w:bCs w:val="0"/>
          <w:color w:val="auto"/>
          <w:kern w:val="2"/>
          <w:sz w:val="32"/>
          <w:szCs w:val="32"/>
          <w:highlight w:val="none"/>
          <w:lang w:val="en-US" w:eastAsia="zh-CN"/>
        </w:rPr>
        <w:t>（一）培育企业升规发展。</w:t>
      </w:r>
      <w:r>
        <w:rPr>
          <w:rFonts w:hint="eastAsia" w:ascii="仿宋_GB2312" w:hAnsi="仿宋_GB2312" w:eastAsia="仿宋_GB2312" w:cs="仿宋_GB2312"/>
          <w:b w:val="0"/>
          <w:bCs w:val="0"/>
          <w:color w:val="auto"/>
          <w:kern w:val="2"/>
          <w:sz w:val="32"/>
          <w:szCs w:val="32"/>
          <w:highlight w:val="none"/>
          <w:lang w:val="en-US" w:eastAsia="zh-CN"/>
        </w:rPr>
        <w:t>加强对工业企业上规培育和新竣工项目投产入统，激励工业企业加快成长。</w:t>
      </w:r>
    </w:p>
    <w:p>
      <w:pPr>
        <w:pStyle w:val="2"/>
        <w:keepNext w:val="0"/>
        <w:keepLines w:val="0"/>
        <w:pageBreakBefore w:val="0"/>
        <w:widowControl w:val="0"/>
        <w:kinsoku/>
        <w:wordWrap/>
        <w:overflowPunct/>
        <w:topLinePunct w:val="0"/>
        <w:autoSpaceDE/>
        <w:autoSpaceDN/>
        <w:bidi w:val="0"/>
        <w:adjustRightInd w:val="0"/>
        <w:snapToGrid w:val="0"/>
        <w:spacing w:after="0"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1.对当年投产并实现月度新增的工业企业，给予一次性10万元奖励。</w:t>
      </w:r>
    </w:p>
    <w:p>
      <w:pPr>
        <w:pStyle w:val="2"/>
        <w:keepNext w:val="0"/>
        <w:keepLines w:val="0"/>
        <w:pageBreakBefore w:val="0"/>
        <w:widowControl w:val="0"/>
        <w:kinsoku/>
        <w:wordWrap/>
        <w:overflowPunct/>
        <w:topLinePunct w:val="0"/>
        <w:autoSpaceDE/>
        <w:autoSpaceDN/>
        <w:bidi w:val="0"/>
        <w:adjustRightInd w:val="0"/>
        <w:snapToGrid w:val="0"/>
        <w:spacing w:after="0" w:line="570" w:lineRule="exact"/>
        <w:ind w:left="0" w:leftChars="0" w:right="0" w:rightChars="0" w:firstLine="640" w:firstLineChars="200"/>
        <w:jc w:val="both"/>
        <w:textAlignment w:val="auto"/>
        <w:outlineLvl w:val="9"/>
        <w:rPr>
          <w:rFonts w:hint="eastAsia" w:ascii="楷体" w:hAnsi="楷体" w:eastAsia="楷体" w:cs="楷体"/>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2.对首次实现“小升规”的小微工业企业，给予一次性5万元奖励。</w:t>
      </w:r>
      <w:r>
        <w:rPr>
          <w:rFonts w:hint="eastAsia" w:ascii="楷体" w:hAnsi="楷体" w:eastAsia="楷体" w:cs="楷体"/>
          <w:b w:val="0"/>
          <w:bCs w:val="0"/>
          <w:color w:val="auto"/>
          <w:kern w:val="2"/>
          <w:sz w:val="32"/>
          <w:szCs w:val="32"/>
          <w:highlight w:val="none"/>
          <w:lang w:val="en-US" w:eastAsia="zh-CN"/>
        </w:rPr>
        <w:t>（区科工商信局，各镇街负责）</w:t>
      </w:r>
    </w:p>
    <w:p>
      <w:pPr>
        <w:pStyle w:val="2"/>
        <w:keepNext w:val="0"/>
        <w:keepLines w:val="0"/>
        <w:pageBreakBefore w:val="0"/>
        <w:widowControl w:val="0"/>
        <w:kinsoku/>
        <w:wordWrap/>
        <w:overflowPunct/>
        <w:topLinePunct w:val="0"/>
        <w:autoSpaceDE/>
        <w:autoSpaceDN/>
        <w:bidi w:val="0"/>
        <w:adjustRightInd w:val="0"/>
        <w:snapToGrid w:val="0"/>
        <w:spacing w:after="0"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楷体" w:hAnsi="楷体" w:eastAsia="楷体" w:cs="楷体"/>
          <w:b w:val="0"/>
          <w:bCs w:val="0"/>
          <w:color w:val="auto"/>
          <w:kern w:val="2"/>
          <w:sz w:val="32"/>
          <w:szCs w:val="32"/>
          <w:highlight w:val="none"/>
          <w:lang w:val="en-US" w:eastAsia="zh-CN"/>
        </w:rPr>
        <w:t>（二）鼓励企业规模提升</w:t>
      </w:r>
      <w:r>
        <w:rPr>
          <w:rFonts w:hint="eastAsia" w:ascii="楷体_GB2312" w:hAnsi="楷体_GB2312" w:eastAsia="楷体_GB2312" w:cs="楷体_GB2312"/>
          <w:color w:val="auto"/>
          <w:sz w:val="32"/>
          <w:szCs w:val="32"/>
        </w:rPr>
        <w:t>。</w:t>
      </w:r>
      <w:r>
        <w:rPr>
          <w:rFonts w:hint="eastAsia" w:ascii="仿宋_GB2312" w:hAnsi="仿宋_GB2312" w:eastAsia="仿宋_GB2312" w:cs="仿宋_GB2312"/>
          <w:color w:val="auto"/>
          <w:sz w:val="32"/>
          <w:szCs w:val="32"/>
          <w:lang w:eastAsia="zh-CN"/>
        </w:rPr>
        <w:t>鼓励工业企业提高生产目标、积极承接订单，充分释放产能。</w:t>
      </w:r>
    </w:p>
    <w:p>
      <w:pPr>
        <w:pStyle w:val="2"/>
        <w:keepNext w:val="0"/>
        <w:keepLines w:val="0"/>
        <w:pageBreakBefore w:val="0"/>
        <w:widowControl w:val="0"/>
        <w:kinsoku/>
        <w:wordWrap/>
        <w:overflowPunct/>
        <w:topLinePunct w:val="0"/>
        <w:autoSpaceDE/>
        <w:autoSpaceDN/>
        <w:bidi w:val="0"/>
        <w:adjustRightInd w:val="0"/>
        <w:snapToGrid w:val="0"/>
        <w:spacing w:after="0"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对年产值首次达到</w:t>
      </w:r>
      <w:r>
        <w:rPr>
          <w:rFonts w:hint="eastAsia" w:ascii="仿宋_GB2312" w:hAnsi="仿宋_GB2312" w:eastAsia="仿宋_GB2312" w:cs="仿宋_GB2312"/>
          <w:color w:val="auto"/>
          <w:sz w:val="32"/>
          <w:szCs w:val="32"/>
          <w:lang w:val="en-US" w:eastAsia="zh-CN"/>
        </w:rPr>
        <w:t>5亿元、</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亿元、3</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亿元、5</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亿元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100亿元、200亿元、300亿元、400亿元、500亿元</w:t>
      </w:r>
      <w:r>
        <w:rPr>
          <w:rFonts w:hint="eastAsia" w:ascii="仿宋_GB2312" w:hAnsi="仿宋_GB2312" w:eastAsia="仿宋_GB2312" w:cs="仿宋_GB2312"/>
          <w:color w:val="auto"/>
          <w:sz w:val="32"/>
          <w:szCs w:val="32"/>
        </w:rPr>
        <w:t>以上的</w:t>
      </w:r>
      <w:r>
        <w:rPr>
          <w:rFonts w:hint="eastAsia" w:ascii="仿宋_GB2312" w:hAnsi="仿宋_GB2312" w:eastAsia="仿宋_GB2312" w:cs="仿宋_GB2312"/>
          <w:color w:val="auto"/>
          <w:sz w:val="32"/>
          <w:szCs w:val="32"/>
          <w:lang w:eastAsia="zh-CN"/>
        </w:rPr>
        <w:t>工业</w:t>
      </w:r>
      <w:r>
        <w:rPr>
          <w:rFonts w:hint="eastAsia" w:ascii="仿宋_GB2312" w:hAnsi="仿宋_GB2312" w:eastAsia="仿宋_GB2312" w:cs="仿宋_GB2312"/>
          <w:color w:val="auto"/>
          <w:sz w:val="32"/>
          <w:szCs w:val="32"/>
        </w:rPr>
        <w:t>企业，分别给予</w:t>
      </w:r>
      <w:r>
        <w:rPr>
          <w:rFonts w:hint="eastAsia" w:ascii="仿宋_GB2312" w:hAnsi="仿宋_GB2312" w:eastAsia="仿宋_GB2312" w:cs="仿宋_GB2312"/>
          <w:color w:val="auto"/>
          <w:sz w:val="32"/>
          <w:szCs w:val="32"/>
          <w:lang w:val="en-US" w:eastAsia="zh-CN"/>
        </w:rPr>
        <w:t>5万元、</w:t>
      </w:r>
      <w:r>
        <w:rPr>
          <w:rFonts w:hint="eastAsia" w:ascii="仿宋_GB2312" w:hAnsi="仿宋_GB2312" w:eastAsia="仿宋_GB2312" w:cs="仿宋_GB2312"/>
          <w:color w:val="auto"/>
          <w:sz w:val="32"/>
          <w:szCs w:val="32"/>
        </w:rPr>
        <w:t>10万元、</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100万元、200万元、300万元、400万元、500万元的一次性</w:t>
      </w:r>
      <w:r>
        <w:rPr>
          <w:rFonts w:hint="eastAsia" w:ascii="仿宋_GB2312" w:hAnsi="仿宋_GB2312" w:eastAsia="仿宋_GB2312" w:cs="仿宋_GB2312"/>
          <w:color w:val="auto"/>
          <w:sz w:val="32"/>
          <w:szCs w:val="32"/>
        </w:rPr>
        <w:t>奖励。</w:t>
      </w:r>
    </w:p>
    <w:p>
      <w:pPr>
        <w:pStyle w:val="2"/>
        <w:keepNext w:val="0"/>
        <w:keepLines w:val="0"/>
        <w:pageBreakBefore w:val="0"/>
        <w:widowControl w:val="0"/>
        <w:kinsoku/>
        <w:wordWrap/>
        <w:overflowPunct/>
        <w:topLinePunct w:val="0"/>
        <w:autoSpaceDE/>
        <w:autoSpaceDN/>
        <w:bidi w:val="0"/>
        <w:adjustRightInd w:val="0"/>
        <w:snapToGrid w:val="0"/>
        <w:spacing w:after="0"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连续两年产值超过</w:t>
      </w:r>
      <w:r>
        <w:rPr>
          <w:rFonts w:hint="eastAsia" w:ascii="仿宋_GB2312" w:hAnsi="仿宋_GB2312" w:eastAsia="仿宋_GB2312" w:cs="仿宋_GB2312"/>
          <w:color w:val="auto"/>
          <w:sz w:val="32"/>
          <w:szCs w:val="32"/>
          <w:highlight w:val="none"/>
          <w:lang w:val="en-US" w:eastAsia="zh-CN"/>
        </w:rPr>
        <w:t>5亿元、</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亿元、3</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亿元、5</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亿元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100亿元、200亿元、300亿元、400亿元、500亿元，</w:t>
      </w:r>
      <w:r>
        <w:rPr>
          <w:rFonts w:hint="eastAsia" w:ascii="仿宋_GB2312" w:hAnsi="仿宋_GB2312" w:eastAsia="仿宋_GB2312" w:cs="仿宋_GB2312"/>
          <w:color w:val="auto"/>
          <w:sz w:val="32"/>
          <w:szCs w:val="32"/>
          <w:highlight w:val="none"/>
          <w:lang w:eastAsia="zh-CN"/>
        </w:rPr>
        <w:t>保持正增长且平均增速达到</w:t>
      </w:r>
      <w:r>
        <w:rPr>
          <w:rFonts w:hint="eastAsia" w:ascii="仿宋_GB2312" w:hAnsi="仿宋_GB2312" w:eastAsia="仿宋_GB2312" w:cs="仿宋_GB2312"/>
          <w:color w:val="auto"/>
          <w:sz w:val="32"/>
          <w:szCs w:val="32"/>
          <w:highlight w:val="none"/>
          <w:lang w:val="en-US" w:eastAsia="zh-CN"/>
        </w:rPr>
        <w:t>10%以上</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工业</w:t>
      </w:r>
      <w:r>
        <w:rPr>
          <w:rFonts w:hint="eastAsia" w:ascii="仿宋_GB2312" w:hAnsi="仿宋_GB2312" w:eastAsia="仿宋_GB2312" w:cs="仿宋_GB2312"/>
          <w:color w:val="auto"/>
          <w:sz w:val="32"/>
          <w:szCs w:val="32"/>
          <w:highlight w:val="none"/>
        </w:rPr>
        <w:t>企业，分别给予</w:t>
      </w:r>
      <w:r>
        <w:rPr>
          <w:rFonts w:hint="eastAsia" w:ascii="仿宋_GB2312" w:hAnsi="仿宋_GB2312" w:eastAsia="仿宋_GB2312" w:cs="仿宋_GB2312"/>
          <w:color w:val="auto"/>
          <w:sz w:val="32"/>
          <w:szCs w:val="32"/>
          <w:highlight w:val="none"/>
          <w:lang w:val="en-US" w:eastAsia="zh-CN"/>
        </w:rPr>
        <w:t>5万元、1</w:t>
      </w:r>
      <w:r>
        <w:rPr>
          <w:rFonts w:hint="eastAsia" w:ascii="仿宋_GB2312" w:hAnsi="仿宋_GB2312" w:eastAsia="仿宋_GB2312" w:cs="仿宋_GB2312"/>
          <w:color w:val="auto"/>
          <w:sz w:val="32"/>
          <w:szCs w:val="32"/>
          <w:highlight w:val="none"/>
        </w:rPr>
        <w:t>0万元、</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0万元、</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0万元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100万元、200万元、300万元、400万元、500万元的滚动</w:t>
      </w:r>
      <w:r>
        <w:rPr>
          <w:rFonts w:hint="eastAsia" w:ascii="仿宋_GB2312" w:hAnsi="仿宋_GB2312" w:eastAsia="仿宋_GB2312" w:cs="仿宋_GB2312"/>
          <w:color w:val="auto"/>
          <w:sz w:val="32"/>
          <w:szCs w:val="32"/>
          <w:highlight w:val="none"/>
        </w:rPr>
        <w:t>奖励</w:t>
      </w:r>
      <w:r>
        <w:rPr>
          <w:rFonts w:hint="eastAsia" w:ascii="仿宋_GB2312" w:hAnsi="仿宋_GB2312" w:eastAsia="仿宋_GB2312" w:cs="仿宋_GB2312"/>
          <w:color w:val="auto"/>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val="0"/>
        <w:snapToGrid w:val="0"/>
        <w:spacing w:after="0" w:line="570" w:lineRule="exact"/>
        <w:ind w:left="0" w:leftChars="0" w:right="0" w:rightChars="0" w:firstLine="640" w:firstLineChars="200"/>
        <w:jc w:val="both"/>
        <w:textAlignment w:val="auto"/>
        <w:outlineLvl w:val="9"/>
        <w:rPr>
          <w:rFonts w:hint="default" w:ascii="楷体" w:hAnsi="楷体" w:eastAsia="楷体" w:cs="楷体"/>
          <w:b w:val="0"/>
          <w:bCs w:val="0"/>
          <w:color w:val="auto"/>
          <w:kern w:val="2"/>
          <w:sz w:val="32"/>
          <w:szCs w:val="32"/>
          <w:highlight w:val="none"/>
          <w:lang w:val="en-US" w:eastAsia="zh-CN"/>
        </w:rPr>
      </w:pPr>
      <w:r>
        <w:rPr>
          <w:rFonts w:hint="eastAsia" w:ascii="仿宋_GB2312" w:hAnsi="仿宋_GB2312" w:eastAsia="仿宋_GB2312" w:cs="仿宋_GB2312"/>
          <w:color w:val="auto"/>
          <w:sz w:val="32"/>
          <w:szCs w:val="32"/>
          <w:lang w:val="en-US" w:eastAsia="zh-CN"/>
        </w:rPr>
        <w:t>3.鼓励采取</w:t>
      </w:r>
      <w:r>
        <w:rPr>
          <w:rFonts w:hint="eastAsia" w:ascii="仿宋_GB2312" w:hAnsi="仿宋_GB2312" w:eastAsia="仿宋_GB2312" w:cs="仿宋_GB2312"/>
          <w:color w:val="auto"/>
          <w:sz w:val="32"/>
          <w:szCs w:val="32"/>
          <w:highlight w:val="none"/>
          <w:lang w:val="en-US" w:eastAsia="zh-CN"/>
        </w:rPr>
        <w:t>委托区外企业或区内小微企业加工等方式实现规模提升，对当年实现月度新增或保持正增长的规模以上工业企业，按当年委托加工产生的产值折算成工业增加值的2%给予奖励。</w:t>
      </w:r>
      <w:r>
        <w:rPr>
          <w:rFonts w:hint="eastAsia" w:ascii="楷体" w:hAnsi="楷体" w:eastAsia="楷体" w:cs="楷体"/>
          <w:b w:val="0"/>
          <w:bCs w:val="0"/>
          <w:color w:val="auto"/>
          <w:kern w:val="2"/>
          <w:sz w:val="32"/>
          <w:szCs w:val="32"/>
          <w:highlight w:val="none"/>
          <w:lang w:val="en-US" w:eastAsia="zh-CN"/>
        </w:rPr>
        <w:t>（区科工商信局，各镇街负责）</w:t>
      </w:r>
    </w:p>
    <w:p>
      <w:pPr>
        <w:pStyle w:val="2"/>
        <w:keepNext w:val="0"/>
        <w:keepLines w:val="0"/>
        <w:pageBreakBefore w:val="0"/>
        <w:widowControl w:val="0"/>
        <w:kinsoku/>
        <w:wordWrap/>
        <w:overflowPunct/>
        <w:topLinePunct w:val="0"/>
        <w:autoSpaceDE/>
        <w:autoSpaceDN/>
        <w:bidi w:val="0"/>
        <w:adjustRightInd w:val="0"/>
        <w:snapToGrid w:val="0"/>
        <w:spacing w:after="0" w:line="570" w:lineRule="exact"/>
        <w:ind w:left="0" w:leftChars="0" w:right="0" w:rightChars="0" w:firstLine="640" w:firstLineChars="200"/>
        <w:jc w:val="both"/>
        <w:textAlignment w:val="auto"/>
        <w:outlineLvl w:val="9"/>
        <w:rPr>
          <w:rFonts w:hint="default" w:ascii="楷体" w:hAnsi="楷体" w:eastAsia="楷体" w:cs="楷体"/>
          <w:b w:val="0"/>
          <w:bCs w:val="0"/>
          <w:color w:val="auto"/>
          <w:kern w:val="2"/>
          <w:sz w:val="32"/>
          <w:szCs w:val="32"/>
          <w:highlight w:val="none"/>
          <w:shd w:val="clear" w:color="auto" w:fill="auto"/>
          <w:lang w:val="en-US" w:eastAsia="zh-CN"/>
        </w:rPr>
      </w:pPr>
      <w:r>
        <w:rPr>
          <w:rFonts w:hint="eastAsia" w:ascii="楷体" w:hAnsi="楷体" w:eastAsia="楷体" w:cs="楷体"/>
          <w:b w:val="0"/>
          <w:bCs w:val="0"/>
          <w:color w:val="auto"/>
          <w:kern w:val="2"/>
          <w:sz w:val="32"/>
          <w:szCs w:val="32"/>
          <w:highlight w:val="none"/>
          <w:shd w:val="clear" w:color="auto" w:fill="auto"/>
          <w:lang w:val="en-US" w:eastAsia="zh-CN"/>
        </w:rPr>
        <w:t>（三）助推小微企业成长。</w:t>
      </w:r>
      <w:r>
        <w:rPr>
          <w:rFonts w:hint="eastAsia" w:ascii="仿宋_GB2312" w:hAnsi="仿宋_GB2312" w:eastAsia="仿宋_GB2312" w:cs="仿宋_GB2312"/>
          <w:b w:val="0"/>
          <w:bCs w:val="0"/>
          <w:color w:val="auto"/>
          <w:kern w:val="2"/>
          <w:sz w:val="32"/>
          <w:szCs w:val="32"/>
          <w:highlight w:val="none"/>
          <w:shd w:val="clear" w:color="auto" w:fill="auto"/>
          <w:lang w:val="en-US" w:eastAsia="zh-CN"/>
        </w:rPr>
        <w:t>持续加大对列入小微企业培育库企业（以下简称“小微企业”）的纾困帮扶力度，助推小微企业平稳发展。</w:t>
      </w:r>
    </w:p>
    <w:p>
      <w:pPr>
        <w:pStyle w:val="2"/>
        <w:keepNext w:val="0"/>
        <w:keepLines w:val="0"/>
        <w:pageBreakBefore w:val="0"/>
        <w:widowControl w:val="0"/>
        <w:kinsoku/>
        <w:wordWrap/>
        <w:overflowPunct/>
        <w:topLinePunct w:val="0"/>
        <w:autoSpaceDE/>
        <w:autoSpaceDN/>
        <w:bidi w:val="0"/>
        <w:adjustRightInd w:val="0"/>
        <w:snapToGrid w:val="0"/>
        <w:spacing w:after="0"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1.对向小微企业提供订单支持的规模以上工业企业，按双方实际交易额的3%给予奖励，每家企业最高奖励20万元。</w:t>
      </w:r>
    </w:p>
    <w:p>
      <w:pPr>
        <w:pStyle w:val="2"/>
        <w:keepNext w:val="0"/>
        <w:keepLines w:val="0"/>
        <w:pageBreakBefore w:val="0"/>
        <w:widowControl w:val="0"/>
        <w:kinsoku/>
        <w:wordWrap/>
        <w:overflowPunct/>
        <w:topLinePunct w:val="0"/>
        <w:autoSpaceDE/>
        <w:autoSpaceDN/>
        <w:bidi w:val="0"/>
        <w:adjustRightInd w:val="0"/>
        <w:snapToGrid w:val="0"/>
        <w:spacing w:after="0" w:line="57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shd w:val="clear" w:color="auto" w:fill="auto"/>
          <w:lang w:val="en-US" w:eastAsia="zh-CN"/>
        </w:rPr>
      </w:pPr>
      <w:r>
        <w:rPr>
          <w:rFonts w:hint="eastAsia" w:ascii="仿宋_GB2312" w:hAnsi="仿宋_GB2312" w:eastAsia="仿宋_GB2312" w:cs="仿宋_GB2312"/>
          <w:color w:val="auto"/>
          <w:kern w:val="2"/>
          <w:sz w:val="32"/>
          <w:szCs w:val="32"/>
          <w:highlight w:val="none"/>
          <w:lang w:val="en-US" w:eastAsia="zh-CN"/>
        </w:rPr>
        <w:t>2.</w:t>
      </w:r>
      <w:r>
        <w:rPr>
          <w:rFonts w:hint="eastAsia" w:ascii="仿宋_GB2312" w:hAnsi="仿宋_GB2312" w:eastAsia="仿宋_GB2312" w:cs="仿宋_GB2312"/>
          <w:color w:val="auto"/>
          <w:kern w:val="2"/>
          <w:sz w:val="32"/>
          <w:szCs w:val="32"/>
          <w:highlight w:val="none"/>
          <w:shd w:val="clear" w:color="auto" w:fill="auto"/>
          <w:lang w:val="en-US" w:eastAsia="zh-CN"/>
        </w:rPr>
        <w:t>小微企业当年营业收入保持正增长，按当年新增营业收入的3%给予奖励，每家企业最高奖励10万元。</w:t>
      </w:r>
    </w:p>
    <w:p>
      <w:pPr>
        <w:pStyle w:val="2"/>
        <w:keepNext w:val="0"/>
        <w:keepLines w:val="0"/>
        <w:pageBreakBefore w:val="0"/>
        <w:widowControl w:val="0"/>
        <w:kinsoku/>
        <w:wordWrap/>
        <w:overflowPunct/>
        <w:topLinePunct w:val="0"/>
        <w:autoSpaceDE/>
        <w:autoSpaceDN/>
        <w:bidi w:val="0"/>
        <w:adjustRightInd w:val="0"/>
        <w:snapToGrid w:val="0"/>
        <w:spacing w:after="0" w:line="570" w:lineRule="exact"/>
        <w:ind w:left="0" w:leftChars="0" w:right="0" w:rightChars="0" w:firstLine="640" w:firstLineChars="200"/>
        <w:jc w:val="both"/>
        <w:textAlignment w:val="auto"/>
        <w:outlineLvl w:val="9"/>
        <w:rPr>
          <w:rFonts w:hint="eastAsia" w:ascii="楷体" w:hAnsi="楷体" w:eastAsia="楷体" w:cs="楷体"/>
          <w:b w:val="0"/>
          <w:bCs w:val="0"/>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shd w:val="clear" w:color="auto" w:fill="auto"/>
          <w:lang w:val="en-US" w:eastAsia="zh-CN"/>
        </w:rPr>
        <w:t>3.小微企业搬迁或新注册进入增城辖区村社带动乡村发展，按当年新增营业收入的20%给予奖励，每家企业最高奖励20万元。</w:t>
      </w:r>
      <w:r>
        <w:rPr>
          <w:rFonts w:hint="eastAsia" w:ascii="楷体" w:hAnsi="楷体" w:eastAsia="楷体" w:cs="楷体"/>
          <w:b w:val="0"/>
          <w:bCs w:val="0"/>
          <w:color w:val="auto"/>
          <w:kern w:val="2"/>
          <w:sz w:val="32"/>
          <w:szCs w:val="32"/>
          <w:highlight w:val="none"/>
          <w:lang w:val="en-US" w:eastAsia="zh-CN"/>
        </w:rPr>
        <w:t>（区科工商信局，各镇街负责）</w:t>
      </w:r>
    </w:p>
    <w:p>
      <w:pPr>
        <w:pStyle w:val="2"/>
        <w:keepNext w:val="0"/>
        <w:keepLines w:val="0"/>
        <w:pageBreakBefore w:val="0"/>
        <w:widowControl w:val="0"/>
        <w:kinsoku/>
        <w:wordWrap/>
        <w:overflowPunct/>
        <w:topLinePunct w:val="0"/>
        <w:autoSpaceDE/>
        <w:autoSpaceDN/>
        <w:bidi w:val="0"/>
        <w:adjustRightInd w:val="0"/>
        <w:snapToGrid w:val="0"/>
        <w:spacing w:after="0" w:line="570"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auto"/>
          <w:kern w:val="2"/>
          <w:sz w:val="32"/>
          <w:szCs w:val="32"/>
          <w:highlight w:val="none"/>
          <w:lang w:val="en-US" w:eastAsia="zh-CN"/>
        </w:rPr>
      </w:pPr>
      <w:r>
        <w:rPr>
          <w:rFonts w:hint="eastAsia" w:ascii="楷体" w:hAnsi="楷体" w:eastAsia="楷体" w:cs="楷体"/>
          <w:b w:val="0"/>
          <w:bCs w:val="0"/>
          <w:color w:val="auto"/>
          <w:kern w:val="2"/>
          <w:sz w:val="32"/>
          <w:szCs w:val="32"/>
          <w:highlight w:val="none"/>
          <w:lang w:val="en-US" w:eastAsia="zh-CN"/>
        </w:rPr>
        <w:t>（四）鼓励供应链高效联通。</w:t>
      </w:r>
      <w:r>
        <w:rPr>
          <w:rFonts w:hint="eastAsia" w:ascii="仿宋_GB2312" w:hAnsi="仿宋_GB2312" w:eastAsia="仿宋_GB2312" w:cs="仿宋_GB2312"/>
          <w:b w:val="0"/>
          <w:bCs w:val="0"/>
          <w:color w:val="auto"/>
          <w:kern w:val="2"/>
          <w:sz w:val="32"/>
          <w:szCs w:val="32"/>
          <w:highlight w:val="none"/>
          <w:lang w:val="en-US" w:eastAsia="zh-CN"/>
        </w:rPr>
        <w:t>支持大宗商品供应链提高市场运行效率，使生产、分配、流通各环节衔接更加畅通。对具有平等法律地位的关联主体之间自愿建立产品购销、调拨关系，且实现年交易额超过300亿元的大宗商品供应链生产企业，按不超过当年交易额的1‰给予奖励。</w:t>
      </w:r>
      <w:r>
        <w:rPr>
          <w:rFonts w:hint="eastAsia" w:ascii="楷体" w:hAnsi="楷体" w:eastAsia="楷体" w:cs="楷体"/>
          <w:b w:val="0"/>
          <w:bCs w:val="0"/>
          <w:color w:val="auto"/>
          <w:kern w:val="2"/>
          <w:sz w:val="32"/>
          <w:szCs w:val="32"/>
          <w:highlight w:val="none"/>
          <w:lang w:val="en-US" w:eastAsia="zh-CN"/>
        </w:rPr>
        <w:t>（区科工商信局负责）</w:t>
      </w:r>
    </w:p>
    <w:p>
      <w:pPr>
        <w:pStyle w:val="2"/>
        <w:keepNext w:val="0"/>
        <w:keepLines w:val="0"/>
        <w:pageBreakBefore w:val="0"/>
        <w:widowControl w:val="0"/>
        <w:kinsoku/>
        <w:wordWrap/>
        <w:overflowPunct/>
        <w:topLinePunct w:val="0"/>
        <w:autoSpaceDE/>
        <w:autoSpaceDN/>
        <w:bidi w:val="0"/>
        <w:adjustRightInd w:val="0"/>
        <w:snapToGrid w:val="0"/>
        <w:spacing w:after="0" w:line="570" w:lineRule="exact"/>
        <w:ind w:left="0" w:leftChars="0" w:right="0" w:rightChars="0" w:firstLine="640" w:firstLineChars="200"/>
        <w:jc w:val="both"/>
        <w:textAlignment w:val="auto"/>
        <w:outlineLvl w:val="9"/>
        <w:rPr>
          <w:rFonts w:hint="eastAsia" w:ascii="黑体" w:hAnsi="黑体" w:eastAsia="黑体" w:cs="黑体"/>
          <w:b w:val="0"/>
          <w:bCs w:val="0"/>
          <w:color w:val="auto"/>
          <w:kern w:val="2"/>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rPr>
        <w:t>二、鼓励企业技术升级</w:t>
      </w:r>
    </w:p>
    <w:p>
      <w:pPr>
        <w:pStyle w:val="2"/>
        <w:keepNext w:val="0"/>
        <w:keepLines w:val="0"/>
        <w:pageBreakBefore w:val="0"/>
        <w:widowControl w:val="0"/>
        <w:kinsoku/>
        <w:wordWrap/>
        <w:overflowPunct/>
        <w:topLinePunct w:val="0"/>
        <w:autoSpaceDE/>
        <w:autoSpaceDN/>
        <w:bidi w:val="0"/>
        <w:adjustRightInd w:val="0"/>
        <w:snapToGrid w:val="0"/>
        <w:spacing w:after="0" w:line="570" w:lineRule="exact"/>
        <w:ind w:left="0" w:leftChars="0" w:right="0" w:rightChars="0" w:firstLine="640" w:firstLineChars="200"/>
        <w:jc w:val="both"/>
        <w:textAlignment w:val="auto"/>
        <w:outlineLvl w:val="9"/>
        <w:rPr>
          <w:rFonts w:hint="eastAsia" w:ascii="楷体" w:hAnsi="楷体" w:eastAsia="楷体" w:cs="楷体"/>
          <w:b w:val="0"/>
          <w:bCs w:val="0"/>
          <w:color w:val="auto"/>
          <w:kern w:val="2"/>
          <w:sz w:val="32"/>
          <w:szCs w:val="32"/>
          <w:highlight w:val="yellow"/>
          <w:lang w:val="en-US" w:eastAsia="zh-CN"/>
        </w:rPr>
      </w:pPr>
      <w:r>
        <w:rPr>
          <w:rFonts w:hint="eastAsia" w:ascii="楷体" w:hAnsi="楷体" w:eastAsia="楷体" w:cs="楷体"/>
          <w:color w:val="auto"/>
          <w:kern w:val="2"/>
          <w:sz w:val="32"/>
          <w:szCs w:val="32"/>
          <w:highlight w:val="none"/>
          <w:lang w:val="en-US" w:eastAsia="zh-CN"/>
        </w:rPr>
        <w:t>（五）</w:t>
      </w:r>
      <w:r>
        <w:rPr>
          <w:rFonts w:hint="eastAsia" w:ascii="楷体" w:hAnsi="楷体" w:eastAsia="楷体" w:cs="楷体"/>
          <w:b w:val="0"/>
          <w:bCs w:val="0"/>
          <w:color w:val="auto"/>
          <w:kern w:val="2"/>
          <w:sz w:val="32"/>
          <w:szCs w:val="32"/>
          <w:highlight w:val="none"/>
          <w:lang w:val="en-US" w:eastAsia="zh-CN"/>
        </w:rPr>
        <w:t>梯度培育专精特新。</w:t>
      </w:r>
      <w:r>
        <w:rPr>
          <w:rFonts w:hint="eastAsia" w:ascii="仿宋_GB2312" w:hAnsi="仿宋_GB2312" w:eastAsia="仿宋_GB2312" w:cs="仿宋_GB2312"/>
          <w:b w:val="0"/>
          <w:bCs w:val="0"/>
          <w:color w:val="auto"/>
          <w:kern w:val="2"/>
          <w:sz w:val="32"/>
          <w:szCs w:val="32"/>
          <w:highlight w:val="none"/>
          <w:lang w:val="en-US" w:eastAsia="zh-CN"/>
        </w:rPr>
        <w:t>鼓励工业企业深耕细分领域，走专精特新发展道路。</w:t>
      </w:r>
      <w:r>
        <w:rPr>
          <w:rFonts w:hint="eastAsia" w:ascii="仿宋_GB2312" w:hAnsi="仿宋_GB2312" w:eastAsia="仿宋_GB2312" w:cs="仿宋_GB2312"/>
          <w:color w:val="auto"/>
          <w:sz w:val="32"/>
          <w:szCs w:val="32"/>
          <w:highlight w:val="none"/>
          <w:lang w:val="en-US" w:eastAsia="zh-CN"/>
        </w:rPr>
        <w:t>对新认定的国家级单项冠军企业，给予100万元一次性奖励；对新认定的国家级专精特新“小巨人”企业、省级“专精特新”企业，在享受上级政策的同时，分别给予50万元、10万元一次性奖励。</w:t>
      </w:r>
      <w:r>
        <w:rPr>
          <w:rFonts w:hint="eastAsia" w:ascii="楷体" w:hAnsi="楷体" w:eastAsia="楷体" w:cs="楷体"/>
          <w:b w:val="0"/>
          <w:bCs w:val="0"/>
          <w:color w:val="auto"/>
          <w:kern w:val="2"/>
          <w:sz w:val="32"/>
          <w:szCs w:val="32"/>
          <w:highlight w:val="none"/>
          <w:lang w:val="en-US" w:eastAsia="zh-CN"/>
        </w:rPr>
        <w:t>（区科工商信局，各镇街负责）</w:t>
      </w:r>
    </w:p>
    <w:p>
      <w:pPr>
        <w:pStyle w:val="2"/>
        <w:keepNext w:val="0"/>
        <w:keepLines w:val="0"/>
        <w:pageBreakBefore w:val="0"/>
        <w:widowControl w:val="0"/>
        <w:kinsoku/>
        <w:wordWrap/>
        <w:overflowPunct/>
        <w:topLinePunct w:val="0"/>
        <w:autoSpaceDE/>
        <w:autoSpaceDN/>
        <w:bidi w:val="0"/>
        <w:adjustRightInd w:val="0"/>
        <w:snapToGrid w:val="0"/>
        <w:spacing w:after="0" w:line="570" w:lineRule="exact"/>
        <w:ind w:left="0" w:leftChars="0" w:right="0" w:rightChars="0" w:firstLine="640" w:firstLineChars="200"/>
        <w:jc w:val="both"/>
        <w:textAlignment w:val="auto"/>
        <w:outlineLvl w:val="9"/>
        <w:rPr>
          <w:rFonts w:hint="eastAsia" w:ascii="楷体" w:hAnsi="楷体" w:eastAsia="楷体" w:cs="楷体"/>
          <w:b w:val="0"/>
          <w:bCs w:val="0"/>
          <w:color w:val="auto"/>
          <w:kern w:val="2"/>
          <w:sz w:val="32"/>
          <w:szCs w:val="32"/>
          <w:highlight w:val="none"/>
          <w:lang w:val="en-US" w:eastAsia="zh-CN"/>
        </w:rPr>
      </w:pPr>
      <w:r>
        <w:rPr>
          <w:rFonts w:hint="eastAsia" w:ascii="楷体" w:hAnsi="楷体" w:eastAsia="楷体" w:cs="楷体"/>
          <w:b w:val="0"/>
          <w:bCs w:val="0"/>
          <w:color w:val="auto"/>
          <w:kern w:val="2"/>
          <w:sz w:val="32"/>
          <w:szCs w:val="32"/>
          <w:highlight w:val="none"/>
          <w:lang w:val="en-US" w:eastAsia="zh-CN"/>
        </w:rPr>
        <w:t>（六）引导企业数字化转型。</w:t>
      </w:r>
      <w:r>
        <w:rPr>
          <w:rFonts w:hint="eastAsia" w:ascii="仿宋_GB2312" w:hAnsi="仿宋_GB2312" w:eastAsia="仿宋_GB2312" w:cs="仿宋_GB2312"/>
          <w:color w:val="auto"/>
          <w:kern w:val="2"/>
          <w:sz w:val="32"/>
          <w:szCs w:val="32"/>
          <w:highlight w:val="none"/>
          <w:lang w:val="en-US" w:eastAsia="zh-CN"/>
        </w:rPr>
        <w:t>鼓励工业企业提升数字化、网络化、智能化水平。对规模以上且保持正增长的工业企业实施数字化转型的，按企业当年购买工业软件投资额的20%标准给予奖励，单个企业最高不超过50万元。</w:t>
      </w:r>
      <w:r>
        <w:rPr>
          <w:rFonts w:hint="eastAsia" w:ascii="楷体" w:hAnsi="楷体" w:eastAsia="楷体" w:cs="楷体"/>
          <w:b w:val="0"/>
          <w:bCs w:val="0"/>
          <w:color w:val="auto"/>
          <w:kern w:val="2"/>
          <w:sz w:val="32"/>
          <w:szCs w:val="32"/>
          <w:highlight w:val="none"/>
          <w:lang w:val="en-US" w:eastAsia="zh-CN"/>
        </w:rPr>
        <w:t>（区科工商信局，各镇街负责）</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57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 w:hAnsi="楷体" w:eastAsia="楷体" w:cs="楷体"/>
          <w:b w:val="0"/>
          <w:bCs w:val="0"/>
          <w:color w:val="auto"/>
          <w:kern w:val="2"/>
          <w:sz w:val="32"/>
          <w:szCs w:val="32"/>
          <w:highlight w:val="none"/>
          <w:lang w:val="en-US" w:eastAsia="zh-CN"/>
        </w:rPr>
        <w:t>（七）鼓励企业绿色转型。</w:t>
      </w:r>
      <w:r>
        <w:rPr>
          <w:rFonts w:hint="eastAsia" w:ascii="仿宋_GB2312" w:hAnsi="仿宋_GB2312" w:eastAsia="仿宋_GB2312" w:cs="仿宋_GB2312"/>
          <w:b w:val="0"/>
          <w:bCs w:val="0"/>
          <w:color w:val="auto"/>
          <w:kern w:val="2"/>
          <w:sz w:val="32"/>
          <w:szCs w:val="32"/>
          <w:highlight w:val="none"/>
          <w:lang w:val="en-US" w:eastAsia="zh-CN"/>
        </w:rPr>
        <w:t>加强对辖区工业企业实施绿色清洁生产、节能、节水、资源综合利用、减污降碳的宣传和指引。首次实施清洁生产并通过市级审核的工业企业，给予5万元补贴；通过市级简易流程清洁生产审核的，给予2万元补贴。</w:t>
      </w:r>
      <w:r>
        <w:rPr>
          <w:rFonts w:hint="eastAsia" w:ascii="楷体" w:hAnsi="楷体" w:eastAsia="楷体" w:cs="楷体"/>
          <w:b w:val="0"/>
          <w:bCs/>
          <w:color w:val="auto"/>
          <w:kern w:val="0"/>
          <w:sz w:val="32"/>
          <w:szCs w:val="32"/>
          <w:highlight w:val="none"/>
          <w:shd w:val="clear" w:fill="FFFFFF"/>
          <w:lang w:val="en-US" w:eastAsia="zh-CN" w:bidi="ar"/>
        </w:rPr>
        <w:t xml:space="preserve">（区科工商信局、区生态环境分局负责）  </w:t>
      </w:r>
    </w:p>
    <w:p>
      <w:pPr>
        <w:pStyle w:val="2"/>
        <w:keepNext w:val="0"/>
        <w:keepLines w:val="0"/>
        <w:pageBreakBefore w:val="0"/>
        <w:widowControl w:val="0"/>
        <w:kinsoku/>
        <w:wordWrap/>
        <w:overflowPunct/>
        <w:topLinePunct w:val="0"/>
        <w:autoSpaceDE/>
        <w:autoSpaceDN/>
        <w:bidi w:val="0"/>
        <w:adjustRightInd w:val="0"/>
        <w:snapToGrid w:val="0"/>
        <w:spacing w:after="0" w:line="570" w:lineRule="exact"/>
        <w:ind w:left="0" w:leftChars="0" w:right="0" w:rightChars="0" w:firstLine="640" w:firstLineChars="200"/>
        <w:jc w:val="both"/>
        <w:textAlignment w:val="auto"/>
        <w:outlineLvl w:val="9"/>
        <w:rPr>
          <w:rFonts w:hint="eastAsia" w:ascii="黑体" w:hAnsi="黑体" w:eastAsia="黑体" w:cs="黑体"/>
          <w:b w:val="0"/>
          <w:bCs w:val="0"/>
          <w:color w:val="auto"/>
          <w:kern w:val="2"/>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rPr>
        <w:t>三、帮助企业纾困解难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rightChars="0" w:firstLine="643"/>
        <w:jc w:val="both"/>
        <w:textAlignment w:val="auto"/>
        <w:rPr>
          <w:rFonts w:hint="eastAsia" w:ascii="楷体" w:hAnsi="楷体" w:eastAsia="楷体" w:cs="楷体"/>
          <w:color w:val="auto"/>
          <w:kern w:val="2"/>
          <w:sz w:val="32"/>
          <w:szCs w:val="32"/>
          <w:highlight w:val="none"/>
          <w:lang w:val="en-US" w:eastAsia="zh-CN"/>
        </w:rPr>
      </w:pPr>
      <w:r>
        <w:rPr>
          <w:rFonts w:hint="eastAsia" w:ascii="楷体" w:hAnsi="楷体" w:eastAsia="楷体" w:cs="楷体"/>
          <w:b w:val="0"/>
          <w:bCs w:val="0"/>
          <w:color w:val="auto"/>
          <w:kern w:val="2"/>
          <w:sz w:val="32"/>
          <w:szCs w:val="32"/>
          <w:highlight w:val="none"/>
          <w:lang w:val="en-US" w:eastAsia="zh-CN"/>
        </w:rPr>
        <w:t>（八）优化企业用工服务。</w:t>
      </w:r>
      <w:r>
        <w:rPr>
          <w:rFonts w:hint="eastAsia" w:ascii="仿宋_GB2312" w:hAnsi="仿宋_GB2312" w:eastAsia="仿宋_GB2312" w:cs="仿宋_GB2312"/>
          <w:color w:val="auto"/>
          <w:sz w:val="32"/>
          <w:szCs w:val="32"/>
        </w:rPr>
        <w:t>加强线上线下用工招聘服务，</w:t>
      </w:r>
      <w:r>
        <w:rPr>
          <w:rFonts w:hint="eastAsia" w:ascii="仿宋_GB2312" w:hAnsi="仿宋_GB2312" w:eastAsia="仿宋_GB2312" w:cs="仿宋_GB2312"/>
          <w:color w:val="auto"/>
          <w:sz w:val="32"/>
          <w:szCs w:val="32"/>
          <w:lang w:eastAsia="zh-CN"/>
        </w:rPr>
        <w:t>支持工业企业扩岗稳产，缓解企业用工难问题</w:t>
      </w:r>
      <w:r>
        <w:rPr>
          <w:rFonts w:hint="eastAsia" w:ascii="仿宋_GB2312" w:hAnsi="仿宋_GB2312" w:eastAsia="仿宋_GB2312" w:cs="仿宋_GB2312"/>
          <w:color w:val="auto"/>
          <w:sz w:val="32"/>
          <w:szCs w:val="32"/>
        </w:rPr>
        <w:t>。对当年产值超过1亿元且保持正增长的工业企业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当年新</w:t>
      </w:r>
      <w:r>
        <w:rPr>
          <w:rFonts w:hint="eastAsia" w:ascii="仿宋_GB2312" w:hAnsi="仿宋_GB2312" w:eastAsia="仿宋_GB2312" w:cs="仿宋_GB2312"/>
          <w:color w:val="auto"/>
          <w:sz w:val="32"/>
          <w:szCs w:val="32"/>
          <w:lang w:eastAsia="zh-CN"/>
        </w:rPr>
        <w:t>招录</w:t>
      </w:r>
      <w:r>
        <w:rPr>
          <w:rFonts w:hint="eastAsia" w:ascii="仿宋_GB2312" w:hAnsi="仿宋_GB2312" w:eastAsia="仿宋_GB2312" w:cs="仿宋_GB2312"/>
          <w:color w:val="auto"/>
          <w:sz w:val="32"/>
          <w:szCs w:val="32"/>
        </w:rPr>
        <w:t>生产一线员工，办理就业登记并缴纳社会保险6个月以上的，给予企业1500元/人一次性招用工补贴，单个企业当年累计最多补贴200人</w:t>
      </w:r>
      <w:r>
        <w:rPr>
          <w:rFonts w:hint="eastAsia" w:ascii="仿宋_GB2312" w:hAnsi="仿宋_GB2312" w:eastAsia="仿宋_GB2312" w:cs="仿宋_GB2312"/>
          <w:color w:val="auto"/>
          <w:sz w:val="32"/>
          <w:szCs w:val="32"/>
          <w:lang w:eastAsia="zh-CN"/>
        </w:rPr>
        <w:t>。</w:t>
      </w:r>
      <w:r>
        <w:rPr>
          <w:rFonts w:hint="eastAsia" w:ascii="楷体" w:hAnsi="楷体" w:eastAsia="楷体" w:cs="楷体"/>
          <w:color w:val="auto"/>
          <w:kern w:val="2"/>
          <w:sz w:val="32"/>
          <w:szCs w:val="32"/>
          <w:highlight w:val="none"/>
          <w:lang w:val="en-US" w:eastAsia="zh-CN"/>
        </w:rPr>
        <w:t>（区人社局负责）</w:t>
      </w:r>
      <w:bookmarkStart w:id="0" w:name="_GoBack"/>
      <w:bookmarkEnd w:id="0"/>
    </w:p>
    <w:p>
      <w:pPr>
        <w:keepNext w:val="0"/>
        <w:keepLines w:val="0"/>
        <w:pageBreakBefore w:val="0"/>
        <w:widowControl/>
        <w:suppressLineNumbers w:val="0"/>
        <w:kinsoku/>
        <w:wordWrap/>
        <w:overflowPunct/>
        <w:topLinePunct w:val="0"/>
        <w:autoSpaceDE/>
        <w:autoSpaceDN/>
        <w:bidi w:val="0"/>
        <w:snapToGrid w:val="0"/>
        <w:spacing w:line="570" w:lineRule="exact"/>
        <w:ind w:left="0" w:leftChars="0" w:right="0" w:rightChars="0" w:firstLine="640" w:firstLineChars="200"/>
        <w:jc w:val="left"/>
        <w:textAlignment w:val="auto"/>
        <w:rPr>
          <w:rFonts w:hint="eastAsia" w:ascii="楷体" w:hAnsi="楷体" w:eastAsia="楷体" w:cs="楷体"/>
          <w:b w:val="0"/>
          <w:bCs/>
          <w:color w:val="auto"/>
          <w:kern w:val="0"/>
          <w:sz w:val="32"/>
          <w:szCs w:val="32"/>
          <w:highlight w:val="none"/>
          <w:shd w:val="clear" w:fill="FFFFFF"/>
          <w:lang w:val="en-US" w:eastAsia="zh-CN" w:bidi="ar"/>
        </w:rPr>
      </w:pPr>
      <w:r>
        <w:rPr>
          <w:rFonts w:hint="eastAsia" w:ascii="楷体" w:hAnsi="楷体" w:eastAsia="楷体" w:cs="楷体"/>
          <w:color w:val="auto"/>
          <w:sz w:val="32"/>
          <w:szCs w:val="32"/>
          <w:lang w:eastAsia="zh-CN"/>
        </w:rPr>
        <w:t>（九）加大企业融资支持。</w:t>
      </w:r>
      <w:r>
        <w:rPr>
          <w:rFonts w:hint="eastAsia" w:ascii="仿宋_GB2312" w:hAnsi="仿宋_GB2312" w:eastAsia="仿宋_GB2312" w:cs="仿宋_GB2312"/>
          <w:color w:val="auto"/>
          <w:sz w:val="32"/>
          <w:szCs w:val="32"/>
          <w:lang w:eastAsia="zh-CN"/>
        </w:rPr>
        <w:t>鼓励区属融资担保公司继续做好配套支持，进一步提升工业企业获贷能力；同时减低工业企业融资成本，</w:t>
      </w:r>
      <w:r>
        <w:rPr>
          <w:rFonts w:hint="eastAsia" w:ascii="仿宋_GB2312" w:hAnsi="仿宋_GB2312" w:eastAsia="仿宋_GB2312" w:cs="仿宋_GB2312"/>
          <w:b w:val="0"/>
          <w:bCs w:val="0"/>
          <w:color w:val="auto"/>
          <w:kern w:val="2"/>
          <w:sz w:val="32"/>
          <w:szCs w:val="32"/>
          <w:highlight w:val="none"/>
          <w:lang w:val="en-US" w:eastAsia="zh-CN"/>
        </w:rPr>
        <w:t>对</w:t>
      </w:r>
      <w:r>
        <w:rPr>
          <w:rFonts w:hint="eastAsia" w:ascii="仿宋_GB2312" w:hAnsi="仿宋_GB2312" w:eastAsia="仿宋_GB2312" w:cs="仿宋_GB2312"/>
          <w:color w:val="auto"/>
          <w:kern w:val="2"/>
          <w:sz w:val="32"/>
          <w:szCs w:val="32"/>
          <w:highlight w:val="none"/>
          <w:lang w:val="en-US" w:eastAsia="zh-CN"/>
        </w:rPr>
        <w:t>规模以上且保持正增长的工业企业，当年获得银行等金融机构新增贷款（展期视同新增）的，按最高3个月贷款实际支付利息的50％给予补贴，每家企业最高补贴10万元。</w:t>
      </w:r>
      <w:r>
        <w:rPr>
          <w:rFonts w:hint="eastAsia" w:ascii="楷体" w:hAnsi="楷体" w:eastAsia="楷体" w:cs="楷体"/>
          <w:b w:val="0"/>
          <w:bCs w:val="0"/>
          <w:color w:val="auto"/>
          <w:kern w:val="2"/>
          <w:sz w:val="32"/>
          <w:szCs w:val="32"/>
          <w:highlight w:val="none"/>
          <w:lang w:val="en-US" w:eastAsia="zh-CN"/>
        </w:rPr>
        <w:t>（区科工商信局，各镇街负责）</w:t>
      </w:r>
    </w:p>
    <w:p>
      <w:pPr>
        <w:keepNext w:val="0"/>
        <w:keepLines w:val="0"/>
        <w:pageBreakBefore w:val="0"/>
        <w:widowControl/>
        <w:suppressLineNumbers w:val="0"/>
        <w:kinsoku/>
        <w:wordWrap/>
        <w:overflowPunct/>
        <w:topLinePunct w:val="0"/>
        <w:autoSpaceDE/>
        <w:autoSpaceDN/>
        <w:bidi w:val="0"/>
        <w:snapToGrid w:val="0"/>
        <w:spacing w:line="570" w:lineRule="exact"/>
        <w:ind w:left="0" w:leftChars="0" w:right="0" w:rightChars="0"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（十）服务员工子女入学。</w:t>
      </w:r>
      <w:r>
        <w:rPr>
          <w:rFonts w:hint="eastAsia" w:ascii="仿宋_GB2312" w:hAnsi="仿宋_GB2312" w:eastAsia="仿宋_GB2312" w:cs="仿宋_GB2312"/>
          <w:color w:val="auto"/>
          <w:sz w:val="32"/>
          <w:szCs w:val="32"/>
          <w:lang w:val="en-US" w:eastAsia="zh-CN"/>
        </w:rPr>
        <w:t>切实做好区来穗人员随迁子女接受义务教育工作，提高教育公共资源均等化服务效率。进一步扶持和鼓励对区内做出较大贡献的重点工业企业，做好其来穗管理、技术人才及重要员工随迁子女的入学服务工作，统筹安排就近入读公办学校。</w:t>
      </w:r>
      <w:r>
        <w:rPr>
          <w:rFonts w:hint="eastAsia" w:ascii="楷体" w:hAnsi="楷体" w:eastAsia="楷体" w:cs="楷体"/>
          <w:color w:val="auto"/>
          <w:sz w:val="32"/>
          <w:szCs w:val="32"/>
          <w:lang w:val="en-US" w:eastAsia="zh-CN"/>
        </w:rPr>
        <w:t>（开发区企业服务局、区教育局，各镇街负责）</w:t>
      </w:r>
    </w:p>
    <w:p>
      <w:pPr>
        <w:pStyle w:val="2"/>
        <w:keepNext w:val="0"/>
        <w:keepLines w:val="0"/>
        <w:pageBreakBefore w:val="0"/>
        <w:kinsoku/>
        <w:wordWrap/>
        <w:overflowPunct/>
        <w:topLinePunct w:val="0"/>
        <w:autoSpaceDE/>
        <w:autoSpaceDN/>
        <w:bidi w:val="0"/>
        <w:spacing w:after="0" w:line="570" w:lineRule="exact"/>
        <w:ind w:left="0" w:leftChars="0" w:right="0" w:rightChars="0" w:firstLine="640" w:firstLineChars="200"/>
        <w:textAlignment w:val="auto"/>
        <w:rPr>
          <w:rFonts w:hint="eastAsia" w:ascii="楷体" w:hAnsi="楷体" w:eastAsia="楷体" w:cs="楷体"/>
          <w:color w:val="auto"/>
          <w:spacing w:val="0"/>
          <w:kern w:val="2"/>
          <w:position w:val="0"/>
          <w:sz w:val="32"/>
          <w:szCs w:val="24"/>
          <w:highlight w:val="none"/>
          <w:shd w:val="clear" w:fill="auto"/>
          <w:lang w:val="en-US" w:eastAsia="zh-CN" w:bidi="ar-SA"/>
        </w:rPr>
      </w:pPr>
      <w:r>
        <w:rPr>
          <w:rFonts w:hint="eastAsia" w:ascii="楷体" w:hAnsi="楷体" w:eastAsia="楷体" w:cs="楷体"/>
          <w:b w:val="0"/>
          <w:bCs w:val="0"/>
          <w:color w:val="auto"/>
          <w:kern w:val="2"/>
          <w:sz w:val="32"/>
          <w:szCs w:val="32"/>
          <w:highlight w:val="none"/>
          <w:lang w:val="en-US" w:eastAsia="zh-CN"/>
        </w:rPr>
        <w:t>（十一）支持人才引领发展。</w:t>
      </w:r>
      <w:r>
        <w:rPr>
          <w:rFonts w:hint="eastAsia" w:ascii="仿宋_GB2312" w:hAnsi="仿宋_GB2312" w:eastAsia="仿宋_GB2312" w:cs="仿宋_GB2312"/>
          <w:b w:val="0"/>
          <w:bCs w:val="0"/>
          <w:color w:val="auto"/>
          <w:kern w:val="2"/>
          <w:sz w:val="32"/>
          <w:szCs w:val="32"/>
          <w:highlight w:val="none"/>
          <w:lang w:val="en-US" w:eastAsia="zh-CN"/>
        </w:rPr>
        <w:t>进一步建立健全高管人才激励机制，优化人才发展环境，为加快工业经济发展提供人才支撑。</w:t>
      </w:r>
      <w:r>
        <w:rPr>
          <w:rFonts w:hint="eastAsia" w:ascii="仿宋_GB2312" w:hAnsi="仿宋_GB2312" w:eastAsia="仿宋_GB2312" w:cs="仿宋_GB2312"/>
          <w:color w:val="auto"/>
          <w:kern w:val="0"/>
          <w:sz w:val="32"/>
          <w:szCs w:val="32"/>
          <w:highlight w:val="none"/>
          <w:shd w:val="clear" w:fill="FFFFFF"/>
          <w:lang w:val="en-US" w:eastAsia="zh-CN" w:bidi="ar"/>
        </w:rPr>
        <w:t>对当年产值超过5亿元且同比增长20%以上的工业企业，给予5个名额的高</w:t>
      </w:r>
      <w:r>
        <w:rPr>
          <w:rFonts w:hint="eastAsia" w:ascii="仿宋_GB2312" w:hAnsi="仿宋_GB2312" w:eastAsia="仿宋_GB2312" w:cs="仿宋_GB2312"/>
          <w:color w:val="auto"/>
          <w:kern w:val="2"/>
          <w:sz w:val="32"/>
          <w:szCs w:val="32"/>
          <w:highlight w:val="none"/>
          <w:lang w:val="en-US" w:eastAsia="zh-CN" w:bidi="ar-SA"/>
        </w:rPr>
        <w:t>级管理人员当年个人在本区缴纳个税金额20%的奖励，每人每年最高不超过50万元。</w:t>
      </w:r>
      <w:r>
        <w:rPr>
          <w:rFonts w:hint="eastAsia" w:ascii="楷体" w:hAnsi="楷体" w:eastAsia="楷体" w:cs="楷体"/>
          <w:color w:val="auto"/>
          <w:spacing w:val="0"/>
          <w:kern w:val="2"/>
          <w:position w:val="0"/>
          <w:sz w:val="32"/>
          <w:szCs w:val="24"/>
          <w:highlight w:val="none"/>
          <w:shd w:val="clear" w:fill="auto"/>
          <w:lang w:val="en-US" w:eastAsia="zh-CN" w:bidi="ar-SA"/>
        </w:rPr>
        <w:t>（区科工商信局，各镇街负责）</w:t>
      </w:r>
    </w:p>
    <w:p>
      <w:pPr>
        <w:pStyle w:val="2"/>
        <w:keepNext w:val="0"/>
        <w:keepLines w:val="0"/>
        <w:pageBreakBefore w:val="0"/>
        <w:widowControl w:val="0"/>
        <w:kinsoku/>
        <w:wordWrap/>
        <w:overflowPunct/>
        <w:topLinePunct w:val="0"/>
        <w:autoSpaceDE/>
        <w:autoSpaceDN/>
        <w:bidi w:val="0"/>
        <w:adjustRightInd w:val="0"/>
        <w:snapToGrid w:val="0"/>
        <w:spacing w:after="0" w:line="570" w:lineRule="exact"/>
        <w:ind w:left="0" w:leftChars="0" w:right="0" w:rightChars="0" w:firstLine="640" w:firstLineChars="200"/>
        <w:jc w:val="both"/>
        <w:textAlignment w:val="auto"/>
        <w:outlineLvl w:val="9"/>
        <w:rPr>
          <w:rFonts w:hint="eastAsia" w:ascii="楷体" w:hAnsi="楷体" w:eastAsia="楷体" w:cs="楷体"/>
          <w:b w:val="0"/>
          <w:bCs w:val="0"/>
          <w:color w:val="auto"/>
          <w:kern w:val="2"/>
          <w:sz w:val="32"/>
          <w:szCs w:val="32"/>
          <w:highlight w:val="none"/>
          <w:lang w:val="en-US" w:eastAsia="zh-CN"/>
        </w:rPr>
      </w:pPr>
      <w:r>
        <w:rPr>
          <w:rFonts w:hint="eastAsia" w:ascii="楷体" w:hAnsi="楷体" w:eastAsia="楷体" w:cs="楷体"/>
          <w:b w:val="0"/>
          <w:bCs w:val="0"/>
          <w:color w:val="auto"/>
          <w:spacing w:val="0"/>
          <w:position w:val="0"/>
          <w:sz w:val="32"/>
          <w:highlight w:val="none"/>
          <w:shd w:val="clear" w:fill="auto"/>
          <w:lang w:eastAsia="zh-CN"/>
        </w:rPr>
        <w:t>（十二）推动产品供需对接。</w:t>
      </w:r>
      <w:r>
        <w:rPr>
          <w:rFonts w:hint="eastAsia" w:ascii="仿宋_GB2312" w:hAnsi="仿宋_GB2312" w:eastAsia="仿宋_GB2312" w:cs="仿宋_GB2312"/>
          <w:color w:val="auto"/>
          <w:sz w:val="32"/>
          <w:szCs w:val="32"/>
          <w:lang w:val="en-US" w:eastAsia="zh-CN"/>
        </w:rPr>
        <w:t>编制一批优质工业和消费产品名录，通过多种渠道、多种形式宣传，帮助其进入区内工业、商业、房地产、工程建设、旅游等主要产业链供应链，满足区内产业链供应链延链补链和稳定发展需要。</w:t>
      </w:r>
      <w:r>
        <w:rPr>
          <w:rFonts w:hint="eastAsia" w:ascii="楷体" w:hAnsi="楷体" w:eastAsia="楷体" w:cs="楷体"/>
          <w:b w:val="0"/>
          <w:bCs w:val="0"/>
          <w:color w:val="auto"/>
          <w:kern w:val="2"/>
          <w:sz w:val="32"/>
          <w:szCs w:val="32"/>
          <w:highlight w:val="none"/>
          <w:lang w:val="en-US" w:eastAsia="zh-CN"/>
        </w:rPr>
        <w:t>（区科工商信局，各镇街负责）</w:t>
      </w:r>
    </w:p>
    <w:p>
      <w:pPr>
        <w:pStyle w:val="2"/>
        <w:keepNext w:val="0"/>
        <w:keepLines w:val="0"/>
        <w:pageBreakBefore w:val="0"/>
        <w:kinsoku/>
        <w:wordWrap/>
        <w:overflowPunct/>
        <w:topLinePunct w:val="0"/>
        <w:autoSpaceDE/>
        <w:autoSpaceDN/>
        <w:bidi w:val="0"/>
        <w:spacing w:after="0" w:line="570" w:lineRule="exact"/>
        <w:ind w:left="0" w:leftChars="0"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rPr>
      </w:pPr>
      <w:r>
        <w:rPr>
          <w:rFonts w:hint="eastAsia" w:ascii="楷体" w:hAnsi="楷体" w:eastAsia="楷体" w:cs="楷体"/>
          <w:b w:val="0"/>
          <w:bCs w:val="0"/>
          <w:color w:val="auto"/>
          <w:kern w:val="2"/>
          <w:sz w:val="32"/>
          <w:szCs w:val="32"/>
          <w:highlight w:val="none"/>
          <w:lang w:val="en-US" w:eastAsia="zh-CN"/>
        </w:rPr>
        <w:t>（十三）提供优质产业用房。</w:t>
      </w:r>
      <w:r>
        <w:rPr>
          <w:rFonts w:hint="eastAsia" w:ascii="仿宋_GB2312" w:hAnsi="仿宋_GB2312" w:eastAsia="仿宋_GB2312" w:cs="仿宋_GB2312"/>
          <w:b w:val="0"/>
          <w:bCs w:val="0"/>
          <w:color w:val="auto"/>
          <w:kern w:val="2"/>
          <w:sz w:val="32"/>
          <w:szCs w:val="32"/>
          <w:highlight w:val="none"/>
          <w:lang w:val="en-US" w:eastAsia="zh-CN"/>
        </w:rPr>
        <w:t>按照各产业专业化生产需求，加快推进标准厂房规划建设；发挥区属国企作用，搭建产业园区建设运营综合平台，以“准成本”模式供应工业空间，为工业企业提供拎包入驻和全链条创新创业服务，并纳入政府性产业用房进行管理，制定租期租金参考价格体系和管理办法。</w:t>
      </w:r>
      <w:r>
        <w:rPr>
          <w:rFonts w:hint="eastAsia" w:ascii="楷体" w:hAnsi="楷体" w:eastAsia="楷体" w:cs="楷体"/>
          <w:b w:val="0"/>
          <w:bCs w:val="0"/>
          <w:color w:val="auto"/>
          <w:kern w:val="2"/>
          <w:sz w:val="32"/>
          <w:szCs w:val="32"/>
          <w:highlight w:val="none"/>
          <w:lang w:val="en-US" w:eastAsia="zh-CN"/>
        </w:rPr>
        <w:t>（区国资局负责）</w:t>
      </w:r>
      <w:r>
        <w:rPr>
          <w:rFonts w:hint="eastAsia" w:ascii="仿宋_GB2312" w:hAnsi="仿宋_GB2312" w:eastAsia="仿宋_GB2312" w:cs="仿宋_GB2312"/>
          <w:color w:val="auto"/>
          <w:sz w:val="32"/>
          <w:szCs w:val="32"/>
          <w:shd w:val="clear" w:color="auto" w:fill="FFFFFF"/>
        </w:rPr>
        <w:t>加强</w:t>
      </w:r>
      <w:r>
        <w:rPr>
          <w:rFonts w:hint="eastAsia" w:ascii="仿宋_GB2312" w:hAnsi="仿宋_GB2312" w:eastAsia="仿宋_GB2312" w:cs="仿宋_GB2312"/>
          <w:color w:val="auto"/>
          <w:sz w:val="32"/>
          <w:szCs w:val="32"/>
          <w:shd w:val="clear" w:color="auto" w:fill="FFFFFF"/>
          <w:lang w:eastAsia="zh-CN"/>
        </w:rPr>
        <w:t>对工业</w:t>
      </w:r>
      <w:r>
        <w:rPr>
          <w:rFonts w:hint="eastAsia" w:ascii="仿宋_GB2312" w:hAnsi="仿宋_GB2312" w:eastAsia="仿宋_GB2312" w:cs="仿宋_GB2312"/>
          <w:color w:val="auto"/>
          <w:sz w:val="32"/>
          <w:szCs w:val="32"/>
          <w:shd w:val="clear" w:color="auto" w:fill="FFFFFF"/>
        </w:rPr>
        <w:t>厂房租赁市场</w:t>
      </w:r>
      <w:r>
        <w:rPr>
          <w:rFonts w:hint="eastAsia" w:ascii="仿宋_GB2312" w:hAnsi="仿宋_GB2312" w:eastAsia="仿宋_GB2312" w:cs="仿宋_GB2312"/>
          <w:color w:val="auto"/>
          <w:sz w:val="32"/>
          <w:szCs w:val="32"/>
          <w:shd w:val="clear" w:color="auto" w:fill="FFFFFF"/>
          <w:lang w:eastAsia="zh-CN"/>
        </w:rPr>
        <w:t>的监督</w:t>
      </w:r>
      <w:r>
        <w:rPr>
          <w:rFonts w:hint="eastAsia" w:ascii="仿宋_GB2312" w:hAnsi="仿宋_GB2312" w:eastAsia="仿宋_GB2312" w:cs="仿宋_GB2312"/>
          <w:color w:val="auto"/>
          <w:sz w:val="32"/>
          <w:szCs w:val="32"/>
          <w:shd w:val="clear" w:color="auto" w:fill="FFFFFF"/>
        </w:rPr>
        <w:t>管理</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严厉打击</w:t>
      </w:r>
      <w:r>
        <w:rPr>
          <w:rFonts w:hint="eastAsia" w:ascii="仿宋_GB2312" w:hAnsi="仿宋_GB2312" w:eastAsia="仿宋_GB2312" w:cs="仿宋_GB2312"/>
          <w:color w:val="auto"/>
          <w:sz w:val="32"/>
          <w:szCs w:val="32"/>
          <w:shd w:val="clear" w:color="auto" w:fill="FFFFFF"/>
          <w:lang w:eastAsia="zh-CN"/>
        </w:rPr>
        <w:t>违法违规租赁行为，有效规范市场秩序</w:t>
      </w:r>
      <w:r>
        <w:rPr>
          <w:rFonts w:hint="eastAsia" w:ascii="仿宋_GB2312" w:hAnsi="仿宋_GB2312" w:eastAsia="仿宋_GB2312" w:cs="仿宋_GB2312"/>
          <w:color w:val="auto"/>
          <w:sz w:val="32"/>
          <w:szCs w:val="32"/>
          <w:shd w:val="clear" w:color="auto" w:fill="FFFFFF"/>
        </w:rPr>
        <w:t>。</w:t>
      </w:r>
      <w:r>
        <w:rPr>
          <w:rFonts w:hint="eastAsia" w:ascii="楷体" w:hAnsi="楷体" w:eastAsia="楷体" w:cs="楷体"/>
          <w:color w:val="auto"/>
          <w:spacing w:val="0"/>
          <w:kern w:val="2"/>
          <w:position w:val="0"/>
          <w:sz w:val="32"/>
          <w:szCs w:val="24"/>
          <w:highlight w:val="none"/>
          <w:shd w:val="clear" w:fill="auto"/>
          <w:lang w:val="en-US" w:eastAsia="zh-CN" w:bidi="ar-SA"/>
        </w:rPr>
        <w:t>（区住建局，各镇街负责）</w:t>
      </w:r>
    </w:p>
    <w:p>
      <w:pPr>
        <w:pStyle w:val="2"/>
        <w:keepNext w:val="0"/>
        <w:keepLines w:val="0"/>
        <w:pageBreakBefore w:val="0"/>
        <w:widowControl w:val="0"/>
        <w:kinsoku/>
        <w:wordWrap/>
        <w:overflowPunct/>
        <w:topLinePunct w:val="0"/>
        <w:autoSpaceDE/>
        <w:autoSpaceDN/>
        <w:bidi w:val="0"/>
        <w:adjustRightInd w:val="0"/>
        <w:snapToGrid w:val="0"/>
        <w:spacing w:after="0" w:line="570" w:lineRule="exact"/>
        <w:ind w:left="0" w:leftChars="0" w:right="0" w:rightChars="0" w:firstLine="640" w:firstLineChars="200"/>
        <w:jc w:val="both"/>
        <w:textAlignment w:val="auto"/>
        <w:outlineLvl w:val="9"/>
        <w:rPr>
          <w:rFonts w:hint="eastAsia" w:ascii="黑体" w:hAnsi="黑体" w:eastAsia="黑体" w:cs="黑体"/>
          <w:b w:val="0"/>
          <w:bCs w:val="0"/>
          <w:color w:val="auto"/>
          <w:kern w:val="2"/>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rPr>
        <w:t>四、提升服务企业水平</w:t>
      </w:r>
    </w:p>
    <w:p>
      <w:pPr>
        <w:pStyle w:val="2"/>
        <w:keepNext w:val="0"/>
        <w:keepLines w:val="0"/>
        <w:pageBreakBefore w:val="0"/>
        <w:kinsoku/>
        <w:wordWrap/>
        <w:overflowPunct/>
        <w:topLinePunct w:val="0"/>
        <w:autoSpaceDE/>
        <w:autoSpaceDN/>
        <w:bidi w:val="0"/>
        <w:spacing w:after="0" w:line="570" w:lineRule="exact"/>
        <w:ind w:left="0" w:leftChars="0" w:right="0" w:rightChars="0" w:firstLine="640" w:firstLineChars="200"/>
        <w:textAlignment w:val="auto"/>
        <w:rPr>
          <w:rFonts w:hint="eastAsia" w:ascii="楷体" w:hAnsi="楷体" w:eastAsia="楷体" w:cs="楷体"/>
          <w:color w:val="auto"/>
          <w:spacing w:val="0"/>
          <w:kern w:val="2"/>
          <w:position w:val="0"/>
          <w:sz w:val="32"/>
          <w:szCs w:val="24"/>
          <w:highlight w:val="none"/>
          <w:shd w:val="clear" w:fill="auto"/>
          <w:lang w:val="en-US" w:eastAsia="zh-CN" w:bidi="ar-SA"/>
        </w:rPr>
      </w:pPr>
      <w:r>
        <w:rPr>
          <w:rFonts w:hint="eastAsia" w:ascii="楷体" w:hAnsi="楷体" w:eastAsia="楷体" w:cs="楷体"/>
          <w:color w:val="auto"/>
          <w:spacing w:val="0"/>
          <w:kern w:val="2"/>
          <w:position w:val="0"/>
          <w:sz w:val="32"/>
          <w:szCs w:val="24"/>
          <w:highlight w:val="none"/>
          <w:shd w:val="clear" w:fill="auto"/>
          <w:lang w:val="en-US" w:eastAsia="zh-CN" w:bidi="ar-SA"/>
        </w:rPr>
        <w:t>（十四）领导挂点联系服务。</w:t>
      </w:r>
      <w:r>
        <w:rPr>
          <w:rFonts w:hint="eastAsia" w:ascii="仿宋_GB2312" w:hAnsi="仿宋_GB2312" w:eastAsia="仿宋_GB2312" w:cs="仿宋_GB2312"/>
          <w:color w:val="auto"/>
          <w:spacing w:val="0"/>
          <w:kern w:val="2"/>
          <w:position w:val="0"/>
          <w:sz w:val="32"/>
          <w:szCs w:val="24"/>
          <w:highlight w:val="none"/>
          <w:shd w:val="clear" w:fill="auto"/>
          <w:lang w:val="en-US" w:eastAsia="zh-CN" w:bidi="ar-SA"/>
        </w:rPr>
        <w:t>由区领导担任年产值5亿元以上工业企业的服务专员，属地镇街领导担任其他年产值亿元以上工业企业的服务专员，及时协调解决重点工业企业发展中遇到的困难和问题，助推企业做大做强。</w:t>
      </w:r>
      <w:r>
        <w:rPr>
          <w:rFonts w:hint="eastAsia" w:ascii="楷体" w:hAnsi="楷体" w:eastAsia="楷体" w:cs="楷体"/>
          <w:color w:val="auto"/>
          <w:spacing w:val="0"/>
          <w:kern w:val="2"/>
          <w:position w:val="0"/>
          <w:sz w:val="32"/>
          <w:szCs w:val="24"/>
          <w:highlight w:val="none"/>
          <w:shd w:val="clear" w:fill="auto"/>
          <w:lang w:val="en-US" w:eastAsia="zh-CN" w:bidi="ar-SA"/>
        </w:rPr>
        <w:t>（区科工商信局、区发改局、区市场监管局、区交通运输局、区城管执法局、开发区园区发展局、开发区企业服务局、开发区科技创新局，增城供电局，各镇街负责）</w:t>
      </w:r>
    </w:p>
    <w:p>
      <w:pPr>
        <w:pStyle w:val="2"/>
        <w:keepNext w:val="0"/>
        <w:keepLines w:val="0"/>
        <w:pageBreakBefore w:val="0"/>
        <w:kinsoku/>
        <w:wordWrap/>
        <w:overflowPunct/>
        <w:topLinePunct w:val="0"/>
        <w:autoSpaceDE/>
        <w:autoSpaceDN/>
        <w:bidi w:val="0"/>
        <w:spacing w:after="0" w:line="570" w:lineRule="exact"/>
        <w:ind w:left="0" w:leftChars="0" w:right="0" w:rightChars="0" w:firstLine="640" w:firstLineChars="200"/>
        <w:textAlignment w:val="auto"/>
        <w:rPr>
          <w:rFonts w:hint="eastAsia" w:ascii="楷体" w:hAnsi="楷体" w:eastAsia="楷体" w:cs="楷体"/>
          <w:b w:val="0"/>
          <w:bCs w:val="0"/>
          <w:color w:val="auto"/>
          <w:spacing w:val="0"/>
          <w:position w:val="0"/>
          <w:sz w:val="32"/>
          <w:highlight w:val="none"/>
          <w:shd w:val="clear" w:fill="auto"/>
          <w:lang w:eastAsia="zh-CN"/>
        </w:rPr>
      </w:pPr>
      <w:r>
        <w:rPr>
          <w:rFonts w:hint="eastAsia" w:ascii="楷体" w:hAnsi="楷体" w:eastAsia="楷体" w:cs="楷体"/>
          <w:color w:val="auto"/>
          <w:spacing w:val="0"/>
          <w:position w:val="0"/>
          <w:sz w:val="32"/>
          <w:highlight w:val="none"/>
          <w:shd w:val="clear" w:fill="auto"/>
          <w:lang w:eastAsia="zh-CN"/>
        </w:rPr>
        <w:t>（十五）常态解决企业诉求</w:t>
      </w:r>
      <w:r>
        <w:rPr>
          <w:rFonts w:hint="eastAsia" w:ascii="楷体" w:hAnsi="楷体" w:eastAsia="楷体" w:cs="楷体"/>
          <w:color w:val="auto"/>
          <w:spacing w:val="0"/>
          <w:position w:val="0"/>
          <w:sz w:val="32"/>
          <w:highlight w:val="none"/>
          <w:shd w:val="clear" w:fill="auto"/>
        </w:rPr>
        <w:t>。</w:t>
      </w:r>
      <w:r>
        <w:rPr>
          <w:rFonts w:hint="eastAsia" w:ascii="仿宋_GB2312" w:hAnsi="仿宋_GB2312" w:eastAsia="仿宋_GB2312" w:cs="仿宋_GB2312"/>
          <w:color w:val="auto"/>
          <w:spacing w:val="0"/>
          <w:position w:val="0"/>
          <w:sz w:val="32"/>
          <w:highlight w:val="none"/>
          <w:shd w:val="clear" w:fill="auto"/>
          <w:lang w:eastAsia="zh-CN"/>
        </w:rPr>
        <w:t>依托粤商通、</w:t>
      </w:r>
      <w:r>
        <w:rPr>
          <w:rFonts w:hint="eastAsia" w:ascii="仿宋_GB2312" w:hAnsi="仿宋_GB2312" w:eastAsia="仿宋_GB2312" w:cs="仿宋_GB2312"/>
          <w:color w:val="auto"/>
          <w:spacing w:val="0"/>
          <w:position w:val="0"/>
          <w:sz w:val="32"/>
          <w:highlight w:val="none"/>
          <w:shd w:val="clear" w:fill="auto"/>
        </w:rPr>
        <w:t>12345</w:t>
      </w:r>
      <w:r>
        <w:rPr>
          <w:rFonts w:hint="eastAsia" w:ascii="仿宋_GB2312" w:hAnsi="仿宋_GB2312" w:eastAsia="仿宋_GB2312" w:cs="仿宋_GB2312"/>
          <w:color w:val="auto"/>
          <w:spacing w:val="0"/>
          <w:position w:val="0"/>
          <w:sz w:val="32"/>
          <w:highlight w:val="none"/>
          <w:shd w:val="clear" w:fill="auto"/>
          <w:lang w:eastAsia="zh-CN"/>
        </w:rPr>
        <w:t>政务服务便民热线等平台建立“纾难解困”工作机制，及时受理企业咨询和诉求，保障企业诉求事项实时流转</w:t>
      </w:r>
      <w:r>
        <w:rPr>
          <w:rFonts w:hint="eastAsia" w:ascii="仿宋_GB2312" w:hAnsi="仿宋_GB2312" w:eastAsia="仿宋_GB2312" w:cs="仿宋_GB2312"/>
          <w:color w:val="auto"/>
          <w:spacing w:val="0"/>
          <w:position w:val="0"/>
          <w:sz w:val="32"/>
          <w:highlight w:val="none"/>
          <w:shd w:val="clear" w:fill="auto"/>
        </w:rPr>
        <w:t>，形成快速反应、处置、反馈、评估的运行机制，做到事事有回复，件件有回音。</w:t>
      </w:r>
      <w:r>
        <w:rPr>
          <w:rFonts w:hint="eastAsia" w:ascii="楷体" w:hAnsi="楷体" w:eastAsia="楷体" w:cs="楷体"/>
          <w:b w:val="0"/>
          <w:bCs w:val="0"/>
          <w:color w:val="auto"/>
          <w:spacing w:val="0"/>
          <w:position w:val="0"/>
          <w:sz w:val="32"/>
          <w:highlight w:val="none"/>
          <w:shd w:val="clear" w:fill="auto"/>
          <w:lang w:eastAsia="zh-CN"/>
        </w:rPr>
        <w:t>（区政数局、区科工商信局、区发改局、开发区企业服务局等各涉企部门，各镇街负责）</w:t>
      </w:r>
    </w:p>
    <w:p>
      <w:pPr>
        <w:pStyle w:val="2"/>
        <w:keepNext w:val="0"/>
        <w:keepLines w:val="0"/>
        <w:pageBreakBefore w:val="0"/>
        <w:widowControl w:val="0"/>
        <w:kinsoku/>
        <w:wordWrap/>
        <w:overflowPunct/>
        <w:topLinePunct w:val="0"/>
        <w:autoSpaceDE/>
        <w:autoSpaceDN/>
        <w:bidi w:val="0"/>
        <w:adjustRightInd w:val="0"/>
        <w:snapToGrid w:val="0"/>
        <w:spacing w:after="0" w:line="570"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auto"/>
          <w:spacing w:val="0"/>
          <w:position w:val="0"/>
          <w:sz w:val="32"/>
          <w:highlight w:val="none"/>
          <w:shd w:val="clear" w:fill="auto"/>
          <w:lang w:val="en-US" w:eastAsia="zh-CN"/>
        </w:rPr>
      </w:pPr>
      <w:r>
        <w:rPr>
          <w:rFonts w:hint="eastAsia" w:ascii="楷体" w:hAnsi="楷体" w:eastAsia="楷体" w:cs="楷体"/>
          <w:b w:val="0"/>
          <w:bCs w:val="0"/>
          <w:color w:val="auto"/>
          <w:spacing w:val="0"/>
          <w:position w:val="0"/>
          <w:sz w:val="32"/>
          <w:highlight w:val="none"/>
          <w:shd w:val="clear" w:fill="auto"/>
          <w:lang w:eastAsia="zh-CN"/>
        </w:rPr>
        <w:t>（十六）健全运行调度机制。</w:t>
      </w:r>
      <w:r>
        <w:rPr>
          <w:rFonts w:hint="eastAsia" w:ascii="仿宋_GB2312" w:hAnsi="仿宋_GB2312" w:eastAsia="仿宋_GB2312" w:cs="仿宋_GB2312"/>
          <w:b w:val="0"/>
          <w:bCs w:val="0"/>
          <w:color w:val="auto"/>
          <w:spacing w:val="0"/>
          <w:position w:val="0"/>
          <w:sz w:val="32"/>
          <w:highlight w:val="none"/>
          <w:shd w:val="clear" w:fill="auto"/>
          <w:lang w:eastAsia="zh-CN"/>
        </w:rPr>
        <w:t>发挥“广州市工业和信息化运行监测平台”作用，鼓励全区规模以上工业企业纳入数据采集，通过建立健全工业企业数据资源库，加强联系服务工作机制，及时掌握工业企业生产经营情况。对按规定要求完成月度数据采集任务的工业企业信息员，按</w:t>
      </w:r>
      <w:r>
        <w:rPr>
          <w:rFonts w:hint="eastAsia" w:ascii="仿宋_GB2312" w:hAnsi="仿宋_GB2312" w:eastAsia="仿宋_GB2312" w:cs="仿宋_GB2312"/>
          <w:b w:val="0"/>
          <w:bCs w:val="0"/>
          <w:color w:val="auto"/>
          <w:spacing w:val="0"/>
          <w:position w:val="0"/>
          <w:sz w:val="32"/>
          <w:highlight w:val="none"/>
          <w:shd w:val="clear" w:fill="auto"/>
          <w:lang w:val="en-US" w:eastAsia="zh-CN"/>
        </w:rPr>
        <w:t>150元/家次的标准给予补助。支持有条件的镇街对辖区内小微工业企业信息员给予补助。</w:t>
      </w:r>
      <w:r>
        <w:rPr>
          <w:rFonts w:hint="eastAsia" w:ascii="楷体" w:hAnsi="楷体" w:eastAsia="楷体" w:cs="楷体"/>
          <w:b w:val="0"/>
          <w:bCs w:val="0"/>
          <w:color w:val="auto"/>
          <w:kern w:val="2"/>
          <w:sz w:val="32"/>
          <w:szCs w:val="32"/>
          <w:highlight w:val="none"/>
          <w:lang w:val="en-US" w:eastAsia="zh-CN"/>
        </w:rPr>
        <w:t>（区科工商信局，各镇街负责）</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color w:val="auto"/>
          <w:sz w:val="32"/>
          <w:szCs w:val="32"/>
          <w:lang w:eastAsia="zh-CN"/>
        </w:rPr>
        <w:t>（十七）鼓励项目加快建设。</w:t>
      </w:r>
      <w:r>
        <w:rPr>
          <w:rFonts w:hint="eastAsia" w:ascii="仿宋_GB2312" w:hAnsi="仿宋_GB2312" w:eastAsia="仿宋_GB2312" w:cs="仿宋_GB2312"/>
          <w:color w:val="auto"/>
          <w:sz w:val="32"/>
          <w:szCs w:val="32"/>
          <w:lang w:val="en-US" w:eastAsia="zh-CN"/>
        </w:rPr>
        <w:t>对在投资监管协议约定建设期内（工业企业技术改造项目以备案证为准）的工业项目，当年固定资产投资达到1亿元及以上的，分别按5万元、1万元的标准给予项目负责人和项目统计员突出贡献奖励。</w:t>
      </w:r>
      <w:r>
        <w:rPr>
          <w:rFonts w:hint="eastAsia" w:ascii="楷体" w:hAnsi="楷体" w:eastAsia="楷体" w:cs="楷体"/>
          <w:color w:val="auto"/>
          <w:sz w:val="32"/>
          <w:szCs w:val="32"/>
          <w:lang w:eastAsia="zh-CN"/>
        </w:rPr>
        <w:t>（区科工商信局、开发区企业服务局，各镇街负责）</w:t>
      </w:r>
    </w:p>
    <w:p>
      <w:pPr>
        <w:pStyle w:val="2"/>
        <w:keepNext w:val="0"/>
        <w:keepLines w:val="0"/>
        <w:pageBreakBefore w:val="0"/>
        <w:widowControl w:val="0"/>
        <w:kinsoku/>
        <w:wordWrap/>
        <w:overflowPunct/>
        <w:topLinePunct w:val="0"/>
        <w:autoSpaceDE/>
        <w:autoSpaceDN/>
        <w:bidi w:val="0"/>
        <w:adjustRightInd w:val="0"/>
        <w:snapToGrid w:val="0"/>
        <w:spacing w:after="0" w:line="57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position w:val="0"/>
          <w:sz w:val="32"/>
          <w:highlight w:val="none"/>
          <w:shd w:val="clear" w:fill="auto"/>
          <w:lang w:eastAsia="zh-CN"/>
        </w:rPr>
      </w:pPr>
      <w:r>
        <w:rPr>
          <w:rFonts w:hint="eastAsia" w:ascii="楷体" w:hAnsi="楷体" w:eastAsia="楷体" w:cs="楷体"/>
          <w:b w:val="0"/>
          <w:bCs w:val="0"/>
          <w:color w:val="auto"/>
          <w:kern w:val="2"/>
          <w:sz w:val="32"/>
          <w:szCs w:val="32"/>
          <w:highlight w:val="none"/>
          <w:lang w:val="en-US" w:eastAsia="zh-CN"/>
        </w:rPr>
        <w:t>（十八）定制业务专属服务。</w:t>
      </w:r>
      <w:r>
        <w:rPr>
          <w:rFonts w:hint="eastAsia" w:ascii="仿宋_GB2312" w:hAnsi="仿宋_GB2312" w:eastAsia="仿宋_GB2312" w:cs="仿宋_GB2312"/>
          <w:color w:val="auto"/>
          <w:kern w:val="2"/>
          <w:sz w:val="32"/>
          <w:szCs w:val="32"/>
          <w:highlight w:val="none"/>
          <w:lang w:val="en-US" w:eastAsia="zh-CN"/>
        </w:rPr>
        <w:t>将“小升规”培育库企业、规模以上工业企业纳入“上规模发展工业企业”名单，名单内企业在办理各项业务，及其高管在办理个人业务时，可享受专属通道服务。全区各涉企部门均应为“上规模发展工业企业”提供定制化的专属服务。</w:t>
      </w:r>
      <w:r>
        <w:rPr>
          <w:rFonts w:hint="eastAsia" w:ascii="楷体" w:hAnsi="楷体" w:eastAsia="楷体" w:cs="楷体"/>
          <w:b w:val="0"/>
          <w:bCs/>
          <w:color w:val="auto"/>
          <w:kern w:val="0"/>
          <w:sz w:val="32"/>
          <w:szCs w:val="32"/>
          <w:highlight w:val="none"/>
          <w:shd w:val="clear" w:fill="FFFFFF"/>
          <w:lang w:val="en-US" w:eastAsia="zh-CN" w:bidi="ar"/>
        </w:rPr>
        <w:t>（区政数局、区科工商信局、区发改局、区税务局、区人社局、区规划和自然资源分局、区生态环境分局、区住建局、区应急管理局、区交通运输局、区城管局、区市场监管局，开发区企业服务局，各镇街负责）</w:t>
      </w:r>
    </w:p>
    <w:p>
      <w:pPr>
        <w:keepNext w:val="0"/>
        <w:keepLines w:val="0"/>
        <w:pageBreakBefore w:val="0"/>
        <w:widowControl w:val="0"/>
        <w:numPr>
          <w:ilvl w:val="0"/>
          <w:numId w:val="0"/>
        </w:numPr>
        <w:kinsoku/>
        <w:wordWrap/>
        <w:overflowPunct/>
        <w:topLinePunct w:val="0"/>
        <w:autoSpaceDE/>
        <w:autoSpaceDN/>
        <w:bidi w:val="0"/>
        <w:spacing w:line="570" w:lineRule="exact"/>
        <w:ind w:left="0" w:leftChars="0" w:right="0" w:rightChars="0" w:firstLine="640" w:firstLineChars="200"/>
        <w:jc w:val="both"/>
        <w:textAlignment w:val="auto"/>
        <w:rPr>
          <w:rFonts w:hint="eastAsia" w:ascii="楷体" w:hAnsi="楷体" w:eastAsia="楷体" w:cs="楷体"/>
          <w:b w:val="0"/>
          <w:bCs w:val="0"/>
          <w:color w:val="auto"/>
          <w:spacing w:val="0"/>
          <w:position w:val="0"/>
          <w:sz w:val="32"/>
          <w:highlight w:val="none"/>
          <w:shd w:val="clear" w:fill="auto"/>
          <w:lang w:val="en-US" w:eastAsia="zh-CN"/>
        </w:rPr>
      </w:pPr>
      <w:r>
        <w:rPr>
          <w:rFonts w:hint="eastAsia" w:ascii="楷体" w:hAnsi="楷体" w:eastAsia="楷体" w:cs="楷体"/>
          <w:color w:val="auto"/>
          <w:spacing w:val="0"/>
          <w:position w:val="0"/>
          <w:sz w:val="32"/>
          <w:highlight w:val="none"/>
          <w:shd w:val="clear" w:fill="auto"/>
          <w:lang w:val="en-US" w:eastAsia="zh-CN"/>
        </w:rPr>
        <w:t>（十九）制定柔性执法事项清单。</w:t>
      </w:r>
      <w:r>
        <w:rPr>
          <w:rFonts w:hint="eastAsia" w:ascii="仿宋_GB2312" w:hAnsi="仿宋_GB2312" w:eastAsia="仿宋_GB2312" w:cs="仿宋_GB2312"/>
          <w:color w:val="auto"/>
          <w:spacing w:val="0"/>
          <w:position w:val="0"/>
          <w:sz w:val="32"/>
          <w:highlight w:val="none"/>
          <w:shd w:val="clear" w:fill="auto"/>
          <w:lang w:val="en-US" w:eastAsia="zh-CN"/>
        </w:rPr>
        <w:t>各行政执法部门要对现行法律法规规章规定的依法应当(可以)不予处罚、应当(可以)从轻或者减轻处罚事项进行全面梳理,联系实际量身定制本系统轻微违法行为免处罚免强制事项清单。在此基础上,结合行政许可等“一站式服务”实际,定制柔性执法事项清单,广泛征求意见,及时向社会公示。各级行政执法部门在推进工作中要发挥各自优势、加强联动、协调统筹,细化事项清单,实施清单动态管理。</w:t>
      </w:r>
      <w:r>
        <w:rPr>
          <w:rFonts w:hint="eastAsia" w:ascii="楷体" w:hAnsi="楷体" w:eastAsia="楷体" w:cs="楷体"/>
          <w:b w:val="0"/>
          <w:bCs w:val="0"/>
          <w:color w:val="auto"/>
          <w:spacing w:val="0"/>
          <w:position w:val="0"/>
          <w:sz w:val="32"/>
          <w:highlight w:val="none"/>
          <w:shd w:val="clear" w:fill="auto"/>
          <w:lang w:val="en-US" w:eastAsia="zh-CN"/>
        </w:rPr>
        <w:t>（区生态环境分局、区城管局、区税务局、区市场监管局、区应急管理局、各镇街负责）</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line="570" w:lineRule="exact"/>
        <w:ind w:left="0" w:leftChars="0" w:right="0" w:rightChars="0" w:firstLine="640" w:firstLineChars="200"/>
        <w:jc w:val="both"/>
        <w:textAlignment w:val="auto"/>
        <w:outlineLvl w:val="9"/>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附则</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570" w:lineRule="exact"/>
        <w:ind w:left="0" w:leftChars="0" w:right="0" w:rightChars="0" w:firstLine="640" w:firstLineChars="200"/>
        <w:jc w:val="both"/>
        <w:textAlignment w:val="auto"/>
        <w:outlineLvl w:val="9"/>
        <w:rPr>
          <w:rFonts w:hint="eastAsia" w:ascii="楷体" w:hAnsi="楷体" w:eastAsia="楷体" w:cs="楷体"/>
          <w:b w:val="0"/>
          <w:bCs/>
          <w:color w:val="auto"/>
          <w:kern w:val="0"/>
          <w:sz w:val="32"/>
          <w:szCs w:val="32"/>
          <w:highlight w:val="none"/>
          <w:shd w:val="clear" w:color="auto" w:fill="auto"/>
          <w:lang w:val="en-US" w:eastAsia="zh-CN" w:bidi="ar"/>
        </w:rPr>
      </w:pPr>
      <w:r>
        <w:rPr>
          <w:rFonts w:hint="eastAsia" w:ascii="楷体" w:hAnsi="楷体" w:eastAsia="楷体" w:cs="楷体"/>
          <w:color w:val="auto"/>
          <w:kern w:val="2"/>
          <w:sz w:val="32"/>
          <w:szCs w:val="32"/>
          <w:highlight w:val="none"/>
          <w:lang w:val="en-US" w:eastAsia="zh-CN" w:bidi="ar-SA"/>
        </w:rPr>
        <w:t>（二十）</w:t>
      </w:r>
      <w:r>
        <w:rPr>
          <w:rFonts w:hint="eastAsia" w:ascii="仿宋_GB2312" w:hAnsi="仿宋_GB2312" w:eastAsia="仿宋_GB2312" w:cs="仿宋_GB2312"/>
          <w:color w:val="auto"/>
          <w:kern w:val="2"/>
          <w:sz w:val="32"/>
          <w:szCs w:val="32"/>
          <w:highlight w:val="none"/>
          <w:lang w:val="en-US" w:eastAsia="zh-CN" w:bidi="ar-SA"/>
        </w:rPr>
        <w:t>本措施自发布之日起施行，有效期至2024年12月31日，有效期届满仍需兑现的支持政策将延续执行完毕。</w:t>
      </w:r>
      <w:r>
        <w:rPr>
          <w:rStyle w:val="10"/>
          <w:rFonts w:hint="eastAsia" w:ascii="仿宋_GB2312" w:hAnsi="仿宋_GB2312" w:eastAsia="仿宋_GB2312"/>
          <w:color w:val="auto"/>
          <w:kern w:val="2"/>
          <w:sz w:val="32"/>
          <w:szCs w:val="32"/>
          <w:highlight w:val="none"/>
          <w:lang w:eastAsia="zh-CN"/>
        </w:rPr>
        <w:t>单个企业获得本办法奖励合计最高不超过该企业当年产值的</w:t>
      </w:r>
      <w:r>
        <w:rPr>
          <w:rStyle w:val="10"/>
          <w:rFonts w:hint="eastAsia" w:ascii="仿宋_GB2312" w:hAnsi="仿宋_GB2312" w:eastAsia="仿宋_GB2312"/>
          <w:color w:val="auto"/>
          <w:kern w:val="2"/>
          <w:sz w:val="32"/>
          <w:szCs w:val="32"/>
          <w:highlight w:val="none"/>
          <w:lang w:val="en-US" w:eastAsia="zh-CN"/>
        </w:rPr>
        <w:t>1.2%。</w:t>
      </w:r>
      <w:r>
        <w:rPr>
          <w:rFonts w:hint="eastAsia" w:ascii="仿宋_GB2312" w:hAnsi="仿宋_GB2312" w:eastAsia="仿宋_GB2312" w:cs="仿宋_GB2312"/>
          <w:color w:val="auto"/>
          <w:kern w:val="2"/>
          <w:sz w:val="32"/>
          <w:szCs w:val="32"/>
          <w:highlight w:val="none"/>
          <w:lang w:val="en-US" w:eastAsia="zh-CN" w:bidi="ar-SA"/>
        </w:rPr>
        <w:t>各责任单位根据本措施制定操作细则并负责解释。本办法与区内其他优惠政策或投资协议内容重复或类同的，同一企业、同一项目或个人按就高不重复原则享受。</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2A7FFB"/>
    <w:multiLevelType w:val="singleLevel"/>
    <w:tmpl w:val="A82A7FF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EF0215"/>
    <w:rsid w:val="005B701A"/>
    <w:rsid w:val="00921F13"/>
    <w:rsid w:val="00E65695"/>
    <w:rsid w:val="01A3248F"/>
    <w:rsid w:val="01B02443"/>
    <w:rsid w:val="01C87750"/>
    <w:rsid w:val="01F42E2A"/>
    <w:rsid w:val="02D241B8"/>
    <w:rsid w:val="03500E46"/>
    <w:rsid w:val="043C407A"/>
    <w:rsid w:val="047800BD"/>
    <w:rsid w:val="04817735"/>
    <w:rsid w:val="06AB1968"/>
    <w:rsid w:val="072826F2"/>
    <w:rsid w:val="085D32BB"/>
    <w:rsid w:val="08660FC5"/>
    <w:rsid w:val="087A2721"/>
    <w:rsid w:val="0923677F"/>
    <w:rsid w:val="09455D5C"/>
    <w:rsid w:val="0A062BD7"/>
    <w:rsid w:val="0A1C264E"/>
    <w:rsid w:val="0A585A33"/>
    <w:rsid w:val="0AA725C6"/>
    <w:rsid w:val="0AB13AD2"/>
    <w:rsid w:val="0ADD3586"/>
    <w:rsid w:val="0AF850E2"/>
    <w:rsid w:val="0B2F1947"/>
    <w:rsid w:val="0B4A3521"/>
    <w:rsid w:val="0B9D668B"/>
    <w:rsid w:val="0BAC61A6"/>
    <w:rsid w:val="0C717E51"/>
    <w:rsid w:val="0EB27989"/>
    <w:rsid w:val="0FAD0040"/>
    <w:rsid w:val="0FAD77BA"/>
    <w:rsid w:val="0FBD466A"/>
    <w:rsid w:val="0FBF977E"/>
    <w:rsid w:val="10A116E6"/>
    <w:rsid w:val="10B26094"/>
    <w:rsid w:val="120D0112"/>
    <w:rsid w:val="12A25CBE"/>
    <w:rsid w:val="136C24C2"/>
    <w:rsid w:val="13E31D15"/>
    <w:rsid w:val="13E8328E"/>
    <w:rsid w:val="14743343"/>
    <w:rsid w:val="154743C2"/>
    <w:rsid w:val="15AD1EAA"/>
    <w:rsid w:val="15DF4908"/>
    <w:rsid w:val="15ED1E04"/>
    <w:rsid w:val="15EE74FF"/>
    <w:rsid w:val="172956D6"/>
    <w:rsid w:val="17A332BF"/>
    <w:rsid w:val="18022845"/>
    <w:rsid w:val="18220D00"/>
    <w:rsid w:val="18E02934"/>
    <w:rsid w:val="195C1411"/>
    <w:rsid w:val="19AA35B4"/>
    <w:rsid w:val="19DA4C66"/>
    <w:rsid w:val="1A976CF2"/>
    <w:rsid w:val="1ABB0A8E"/>
    <w:rsid w:val="1AD14A7B"/>
    <w:rsid w:val="1BD10118"/>
    <w:rsid w:val="1BE413A2"/>
    <w:rsid w:val="1BE745D6"/>
    <w:rsid w:val="1C3A0D39"/>
    <w:rsid w:val="1CF04ECD"/>
    <w:rsid w:val="1D990002"/>
    <w:rsid w:val="1E643B11"/>
    <w:rsid w:val="1F336664"/>
    <w:rsid w:val="1F5968F6"/>
    <w:rsid w:val="1F674DA0"/>
    <w:rsid w:val="1F8A45B4"/>
    <w:rsid w:val="1FC0502D"/>
    <w:rsid w:val="1FFE1407"/>
    <w:rsid w:val="20A31749"/>
    <w:rsid w:val="229A65C1"/>
    <w:rsid w:val="22C474AF"/>
    <w:rsid w:val="22F85C2F"/>
    <w:rsid w:val="22FA1C5E"/>
    <w:rsid w:val="2377288E"/>
    <w:rsid w:val="248320EB"/>
    <w:rsid w:val="24EE0204"/>
    <w:rsid w:val="25531B10"/>
    <w:rsid w:val="259B78DF"/>
    <w:rsid w:val="2777703E"/>
    <w:rsid w:val="27BD1CBE"/>
    <w:rsid w:val="28421CC6"/>
    <w:rsid w:val="28BC72D4"/>
    <w:rsid w:val="2A3D1A91"/>
    <w:rsid w:val="2B5D65DB"/>
    <w:rsid w:val="2D393A59"/>
    <w:rsid w:val="2D90619D"/>
    <w:rsid w:val="2DC46EB1"/>
    <w:rsid w:val="2DCB3E41"/>
    <w:rsid w:val="2EB77F9D"/>
    <w:rsid w:val="2ECE5E9F"/>
    <w:rsid w:val="2FEF0215"/>
    <w:rsid w:val="30523857"/>
    <w:rsid w:val="305506A0"/>
    <w:rsid w:val="307E458A"/>
    <w:rsid w:val="3130170B"/>
    <w:rsid w:val="322C44DA"/>
    <w:rsid w:val="323A6749"/>
    <w:rsid w:val="33305B24"/>
    <w:rsid w:val="3373318E"/>
    <w:rsid w:val="33F30575"/>
    <w:rsid w:val="34241371"/>
    <w:rsid w:val="360C18FB"/>
    <w:rsid w:val="368D4125"/>
    <w:rsid w:val="3737AE6C"/>
    <w:rsid w:val="37464BAF"/>
    <w:rsid w:val="37A4681A"/>
    <w:rsid w:val="37D03C8C"/>
    <w:rsid w:val="38187DAC"/>
    <w:rsid w:val="3823051B"/>
    <w:rsid w:val="386D65DB"/>
    <w:rsid w:val="3877286D"/>
    <w:rsid w:val="38EC55CD"/>
    <w:rsid w:val="393A3C14"/>
    <w:rsid w:val="3996617B"/>
    <w:rsid w:val="39B228A0"/>
    <w:rsid w:val="39B57EFC"/>
    <w:rsid w:val="39BA2421"/>
    <w:rsid w:val="3AB21E42"/>
    <w:rsid w:val="3AC33073"/>
    <w:rsid w:val="3B2F5525"/>
    <w:rsid w:val="3B362902"/>
    <w:rsid w:val="3B407A17"/>
    <w:rsid w:val="3C410834"/>
    <w:rsid w:val="3C9E7A9B"/>
    <w:rsid w:val="3CB8373E"/>
    <w:rsid w:val="3D0208EE"/>
    <w:rsid w:val="3DE613BF"/>
    <w:rsid w:val="3E662B77"/>
    <w:rsid w:val="3EF2124E"/>
    <w:rsid w:val="3F010EAF"/>
    <w:rsid w:val="3F3A0B4F"/>
    <w:rsid w:val="3F407740"/>
    <w:rsid w:val="3F4B6856"/>
    <w:rsid w:val="3F5DDAA1"/>
    <w:rsid w:val="3F953790"/>
    <w:rsid w:val="405512A9"/>
    <w:rsid w:val="41BC4BE2"/>
    <w:rsid w:val="41FF26B4"/>
    <w:rsid w:val="42976D62"/>
    <w:rsid w:val="42A45E74"/>
    <w:rsid w:val="43EC45C7"/>
    <w:rsid w:val="45C36664"/>
    <w:rsid w:val="461D6064"/>
    <w:rsid w:val="46567C4E"/>
    <w:rsid w:val="46842F34"/>
    <w:rsid w:val="46FA6798"/>
    <w:rsid w:val="47627182"/>
    <w:rsid w:val="477423C9"/>
    <w:rsid w:val="47784D4A"/>
    <w:rsid w:val="47962DFA"/>
    <w:rsid w:val="47B9666A"/>
    <w:rsid w:val="47BA5814"/>
    <w:rsid w:val="47FE9B99"/>
    <w:rsid w:val="48111777"/>
    <w:rsid w:val="48287BE3"/>
    <w:rsid w:val="48B16951"/>
    <w:rsid w:val="49F720D5"/>
    <w:rsid w:val="49F7C274"/>
    <w:rsid w:val="4A035FFF"/>
    <w:rsid w:val="4A0B312F"/>
    <w:rsid w:val="4A0D51B1"/>
    <w:rsid w:val="4A335D6E"/>
    <w:rsid w:val="4A35499C"/>
    <w:rsid w:val="4A7A7E17"/>
    <w:rsid w:val="4A7D6BE6"/>
    <w:rsid w:val="4AD489E2"/>
    <w:rsid w:val="4B9031DE"/>
    <w:rsid w:val="4BAD7C4A"/>
    <w:rsid w:val="4BDC4C98"/>
    <w:rsid w:val="4C414A91"/>
    <w:rsid w:val="4C572B1F"/>
    <w:rsid w:val="4C5B04CC"/>
    <w:rsid w:val="4C655CE9"/>
    <w:rsid w:val="4D6214C4"/>
    <w:rsid w:val="4E441C3D"/>
    <w:rsid w:val="4FB16415"/>
    <w:rsid w:val="50540609"/>
    <w:rsid w:val="50741451"/>
    <w:rsid w:val="50D03A1C"/>
    <w:rsid w:val="50D56E5A"/>
    <w:rsid w:val="50D7374D"/>
    <w:rsid w:val="514B2C75"/>
    <w:rsid w:val="51687F51"/>
    <w:rsid w:val="51BA6EA8"/>
    <w:rsid w:val="52636157"/>
    <w:rsid w:val="54B57E9F"/>
    <w:rsid w:val="55266AFD"/>
    <w:rsid w:val="556F99A4"/>
    <w:rsid w:val="558339C6"/>
    <w:rsid w:val="564D5436"/>
    <w:rsid w:val="56BE2B5F"/>
    <w:rsid w:val="56F07717"/>
    <w:rsid w:val="57DC1E40"/>
    <w:rsid w:val="57FA5C4A"/>
    <w:rsid w:val="583C5ED7"/>
    <w:rsid w:val="59153F17"/>
    <w:rsid w:val="597B1128"/>
    <w:rsid w:val="59A662C5"/>
    <w:rsid w:val="59CD274F"/>
    <w:rsid w:val="5A0E693C"/>
    <w:rsid w:val="5AA0428E"/>
    <w:rsid w:val="5AE12AD0"/>
    <w:rsid w:val="5B674203"/>
    <w:rsid w:val="5C477FB4"/>
    <w:rsid w:val="5C48019D"/>
    <w:rsid w:val="5CAD62E8"/>
    <w:rsid w:val="5DDD4D16"/>
    <w:rsid w:val="5DF8E50B"/>
    <w:rsid w:val="5E67587C"/>
    <w:rsid w:val="5F75C8DB"/>
    <w:rsid w:val="5F7C1524"/>
    <w:rsid w:val="5F924B51"/>
    <w:rsid w:val="5FF1FE24"/>
    <w:rsid w:val="606859F2"/>
    <w:rsid w:val="60A33EE9"/>
    <w:rsid w:val="612305A2"/>
    <w:rsid w:val="61964815"/>
    <w:rsid w:val="622E089E"/>
    <w:rsid w:val="62363B07"/>
    <w:rsid w:val="63361664"/>
    <w:rsid w:val="633801C6"/>
    <w:rsid w:val="63416E61"/>
    <w:rsid w:val="63A2074E"/>
    <w:rsid w:val="63AC0CE3"/>
    <w:rsid w:val="63DD5761"/>
    <w:rsid w:val="63EA143F"/>
    <w:rsid w:val="6448442F"/>
    <w:rsid w:val="647669E6"/>
    <w:rsid w:val="65C55CFB"/>
    <w:rsid w:val="660471D1"/>
    <w:rsid w:val="662B3A14"/>
    <w:rsid w:val="668671EA"/>
    <w:rsid w:val="673855EC"/>
    <w:rsid w:val="67473AC9"/>
    <w:rsid w:val="67735838"/>
    <w:rsid w:val="67F16043"/>
    <w:rsid w:val="67F71CB6"/>
    <w:rsid w:val="690A3AB7"/>
    <w:rsid w:val="69346988"/>
    <w:rsid w:val="69CD0C53"/>
    <w:rsid w:val="6A497B21"/>
    <w:rsid w:val="6A5A4B4C"/>
    <w:rsid w:val="6AAF29DF"/>
    <w:rsid w:val="6AB95928"/>
    <w:rsid w:val="6BDC50BA"/>
    <w:rsid w:val="6C752673"/>
    <w:rsid w:val="6DF900BD"/>
    <w:rsid w:val="6EB7345E"/>
    <w:rsid w:val="6ECF7A6D"/>
    <w:rsid w:val="6F1825FE"/>
    <w:rsid w:val="6FAFE0DC"/>
    <w:rsid w:val="705F54CC"/>
    <w:rsid w:val="70A814F8"/>
    <w:rsid w:val="70B148D1"/>
    <w:rsid w:val="71373D69"/>
    <w:rsid w:val="727D4D1E"/>
    <w:rsid w:val="72A3137A"/>
    <w:rsid w:val="72D6671B"/>
    <w:rsid w:val="72F35B46"/>
    <w:rsid w:val="7358109C"/>
    <w:rsid w:val="736A372F"/>
    <w:rsid w:val="73EB5A19"/>
    <w:rsid w:val="743063E4"/>
    <w:rsid w:val="7500638F"/>
    <w:rsid w:val="754B2A57"/>
    <w:rsid w:val="754F343E"/>
    <w:rsid w:val="75AF1CBB"/>
    <w:rsid w:val="75B2500D"/>
    <w:rsid w:val="760B645F"/>
    <w:rsid w:val="768A40DF"/>
    <w:rsid w:val="76985030"/>
    <w:rsid w:val="76A84821"/>
    <w:rsid w:val="770201B6"/>
    <w:rsid w:val="77381DCC"/>
    <w:rsid w:val="77427CB2"/>
    <w:rsid w:val="774A642A"/>
    <w:rsid w:val="78075892"/>
    <w:rsid w:val="781E64AC"/>
    <w:rsid w:val="78FE29B2"/>
    <w:rsid w:val="793233CD"/>
    <w:rsid w:val="7A0D49E7"/>
    <w:rsid w:val="7AB824C3"/>
    <w:rsid w:val="7ABC0CCB"/>
    <w:rsid w:val="7ADA57B2"/>
    <w:rsid w:val="7B374D98"/>
    <w:rsid w:val="7B385F51"/>
    <w:rsid w:val="7B8D6802"/>
    <w:rsid w:val="7BF34980"/>
    <w:rsid w:val="7BFE1F52"/>
    <w:rsid w:val="7BFF3A7F"/>
    <w:rsid w:val="7C5019CE"/>
    <w:rsid w:val="7D5F2CA3"/>
    <w:rsid w:val="7EFBDAF7"/>
    <w:rsid w:val="7F266182"/>
    <w:rsid w:val="7F477200"/>
    <w:rsid w:val="7F4A52A7"/>
    <w:rsid w:val="7FB70D98"/>
    <w:rsid w:val="7FEF9849"/>
    <w:rsid w:val="7FFF4BB7"/>
    <w:rsid w:val="919FC690"/>
    <w:rsid w:val="96FBBDB7"/>
    <w:rsid w:val="ABFC2283"/>
    <w:rsid w:val="B9FD93A9"/>
    <w:rsid w:val="BBCA2999"/>
    <w:rsid w:val="C7FE14EA"/>
    <w:rsid w:val="CF9784F9"/>
    <w:rsid w:val="DFB8F4DC"/>
    <w:rsid w:val="E5FDCC54"/>
    <w:rsid w:val="EF7E1362"/>
    <w:rsid w:val="F15F4B06"/>
    <w:rsid w:val="F7EF458A"/>
    <w:rsid w:val="FBFF054C"/>
    <w:rsid w:val="FDFF152A"/>
    <w:rsid w:val="FF2F188F"/>
    <w:rsid w:val="FF3EEA87"/>
    <w:rsid w:val="FFEB1306"/>
    <w:rsid w:val="FFFF343A"/>
    <w:rsid w:val="FFFFD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1"/>
    <w:qFormat/>
    <w:uiPriority w:val="0"/>
    <w:pPr>
      <w:spacing w:after="120"/>
      <w:ind w:left="420" w:leftChars="200" w:firstLine="4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2"/>
    <w:basedOn w:val="1"/>
    <w:next w:val="1"/>
    <w:unhideWhenUsed/>
    <w:qFormat/>
    <w:uiPriority w:val="39"/>
    <w:pPr>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NormalCharacter"/>
    <w:link w:val="11"/>
    <w:semiHidden/>
    <w:qFormat/>
    <w:uiPriority w:val="0"/>
  </w:style>
  <w:style w:type="paragraph" w:customStyle="1" w:styleId="11">
    <w:name w:val="UserStyle_1"/>
    <w:basedOn w:val="1"/>
    <w:link w:val="10"/>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2022-04-14T09:04:00Z</dcterms:created>
  <dc:creator>碧海红波</dc:creator>
  <cp:lastModifiedBy>杨颖</cp:lastModifiedBy>
  <cp:lastPrinted>2022-08-01T09:19:00Z</cp:lastPrinted>
  <dcterms:modified xsi:type="dcterms:W3CDTF">2022-08-03T09:40:13Z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