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bookmarkEnd w:id="0"/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为实施广州市增城区增江街建设规划，完善城市功能，改善城市环境，促进经济、文化发展，拟征收增江街道西山村新元股份经济合作社属下的集体土地0.4937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。根据《中华人民共和国土地管理法》第二条、第四十五条、第四十七条有关规定精神、《广东省实施&lt;中华人民共和国土地管理法&gt;办法》第三十条等规定，结合增城区的征收农用地区片综合地价和实际情况，拟定了征地补偿安置方案，具体如下：</w:t>
      </w:r>
    </w:p>
    <w:p>
      <w:pPr>
        <w:numPr>
          <w:ilvl w:val="0"/>
          <w:numId w:val="1"/>
        </w:num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征收集体土</w:t>
      </w:r>
      <w:r>
        <w:rPr>
          <w:rFonts w:hint="eastAsia" w:ascii="仿宋_GB2312" w:hAnsi="仿宋_GB2312" w:eastAsia="仿宋_GB2312" w:cs="仿宋_GB2312"/>
          <w:sz w:val="32"/>
          <w:szCs w:val="32"/>
        </w:rPr>
        <w:t>地总面积0.4937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</w:rPr>
        <w:t>0.4776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公顷（林地0.3137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公顷、其他农用地0.1639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公顷），建设用地0.0025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公顷，未利用土地0.0136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公顷。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二、征地补偿标准</w:t>
      </w:r>
    </w:p>
    <w:p>
      <w:pPr>
        <w:numPr>
          <w:ilvl w:val="0"/>
          <w:numId w:val="2"/>
        </w:numPr>
        <w:spacing w:line="54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土地补偿和安置补助。根据已经实施的区片综合地价，征收上述0.4937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万元/公顷），土地补偿总费用为81.4605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青苗补偿费28.8815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万元。由广州市增城区增江街西山村新元股份经济合作社转付土地承包者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及附着物产权人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。青苗暂按此补偿，待日后清点确认后，按政府有关规定进行补偿。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三、安置措施情况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为妥善安置被征地农民，切实解决被征地农民的生产生活出路，在保证货币安置落实的同时，该征收集体土地将按穗府办规〔2018〕17号文件的规定，按实际征地面积的10%比例核计出的留用地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0.0494公顷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替代以折算货币方式进行补偿，补偿标准为1938万元/公顷,补偿总额为95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7372万元；给上述被征地农民落实基本养老保险和培训就业等社会保障措施，以确保被征地农民的原有生活水平不降低，长远生计有保障，具体将按省的征地社会保障实施方案办理。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2886" w:firstLineChars="90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广州市规划和自然资源局增城区分局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2022年8月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8241DF"/>
    <w:rsid w:val="0C85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widowControl w:val="0"/>
      <w:ind w:firstLine="420" w:firstLineChars="200"/>
    </w:pPr>
    <w:rPr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2008-12-26T08:47:00Z</dcterms:created>
  <dc:creator>zhaoxinlei</dc:creator>
  <cp:lastModifiedBy>Administrator</cp:lastModifiedBy>
  <dcterms:modified xsi:type="dcterms:W3CDTF">2022-12-02T06:13:40Z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