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40" w:lineRule="exact"/>
        <w:jc w:val="both"/>
        <w:rPr>
          <w:rFonts w:hint="eastAsia" w:ascii="方正小标宋简体" w:hAnsi="宋体" w:eastAsia="方正小标宋简体" w:cs="宋体"/>
          <w:bCs/>
          <w:kern w:val="0"/>
          <w:sz w:val="44"/>
          <w:szCs w:val="44"/>
        </w:rPr>
      </w:pPr>
    </w:p>
    <w:p>
      <w:pPr>
        <w:spacing w:line="540" w:lineRule="exact"/>
        <w:jc w:val="center"/>
        <w:rPr>
          <w:rFonts w:ascii="方正小标宋简体" w:hAnsi="宋体" w:eastAsia="方正小标宋简体" w:cs="宋体"/>
          <w:bCs/>
          <w:kern w:val="0"/>
          <w:sz w:val="44"/>
          <w:szCs w:val="44"/>
        </w:rPr>
      </w:pPr>
      <w:r>
        <w:rPr>
          <w:rFonts w:hint="eastAsia" w:ascii="方正小标宋简体" w:hAnsi="宋体" w:eastAsia="方正小标宋简体" w:cs="宋体"/>
          <w:bCs/>
          <w:kern w:val="0"/>
          <w:sz w:val="44"/>
          <w:szCs w:val="44"/>
        </w:rPr>
        <w:t>征地补偿安置方案</w:t>
      </w:r>
    </w:p>
    <w:p>
      <w:pPr>
        <w:spacing w:line="54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40" w:firstLineChars="200"/>
        <w:textAlignment w:val="auto"/>
        <w:outlineLvl w:val="9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为实施广州市增城区新塘镇建设规划，完善城市功能，改善城市环境，促进经济、文化发展。拟征收新塘镇官道村福道股份经济合作社、股份经济联合社的土地面积共11.6807公顷。根据《中华人民共和国土地管理法》、《广东省土地管理条例》等规定，结合增城区的征收农用地区片综合地价和实际情况，拟定了征地补偿安置方案，具体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40" w:firstLineChars="200"/>
        <w:textAlignment w:val="auto"/>
        <w:outlineLvl w:val="9"/>
        <w:rPr>
          <w:rFonts w:ascii="黑体" w:hAnsi="黑体" w:eastAsia="黑体" w:cs="仿宋_GB2312"/>
          <w:sz w:val="32"/>
          <w:szCs w:val="32"/>
        </w:rPr>
      </w:pPr>
      <w:r>
        <w:rPr>
          <w:rFonts w:hint="eastAsia" w:ascii="黑体" w:hAnsi="黑体" w:eastAsia="黑体" w:cs="仿宋_GB2312"/>
          <w:sz w:val="32"/>
          <w:szCs w:val="32"/>
        </w:rPr>
        <w:t>一、征收集体土地情况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征收集体土地总面积11.6807公顷，征收集体土地的地类为农用地11.6807公顷（园地11.0909公顷、林地0.1392公顷、其他农用地0.4506公顷）。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（一）土地补偿和安置补助。根据已经实施的区片综合地价，征收上述11.6807公顷集体土地的区片综合地价标准为165万元/公顷（土地补偿费标准为82.5万元/公顷、安置补助费标准为82.5万元/公顷），土地补偿总费用为1927.3155万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40" w:firstLineChars="200"/>
        <w:textAlignment w:val="auto"/>
        <w:outlineLvl w:val="9"/>
        <w:rPr>
          <w:rFonts w:hint="eastAsia" w:ascii="黑体" w:hAnsi="黑体" w:eastAsia="黑体" w:cs="宋体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（二）青苗补偿费683.3210万元由新塘镇官道村被征地权属单位转付土地承包者。青苗暂按此补偿，待日后清点确认后，按实际情况予以补偿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40" w:firstLineChars="200"/>
        <w:textAlignment w:val="auto"/>
        <w:outlineLvl w:val="9"/>
        <w:rPr>
          <w:rFonts w:ascii="黑体" w:hAnsi="黑体" w:eastAsia="黑体" w:cs="宋体"/>
          <w:kern w:val="0"/>
          <w:sz w:val="32"/>
          <w:szCs w:val="32"/>
        </w:rPr>
      </w:pPr>
      <w:r>
        <w:rPr>
          <w:rFonts w:hint="eastAsia" w:ascii="黑体" w:hAnsi="黑体" w:eastAsia="黑体" w:cs="宋体"/>
          <w:kern w:val="0"/>
          <w:sz w:val="32"/>
          <w:szCs w:val="32"/>
          <w:lang w:val="en-US" w:eastAsia="zh-CN"/>
        </w:rPr>
        <w:t>二</w:t>
      </w:r>
      <w:r>
        <w:rPr>
          <w:rFonts w:hint="eastAsia" w:ascii="黑体" w:hAnsi="黑体" w:eastAsia="黑体" w:cs="宋体"/>
          <w:kern w:val="0"/>
          <w:sz w:val="32"/>
          <w:szCs w:val="32"/>
        </w:rPr>
        <w:t>、安置措施情况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27" w:firstLineChars="196"/>
        <w:jc w:val="left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为妥善安置被征地农民，切实解决被征地农民的生产生活出路，在保证货币安置落实的同时，该征收集体土地将按省、市相关文件的规定，按实际征地面积的10%（即1.1681公顷）计提留用地，在本批次内一并报批，同村留用地不作实际补偿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27" w:firstLineChars="196"/>
        <w:jc w:val="left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br w:type="page"/>
      </w:r>
    </w:p>
    <w:p>
      <w:pPr>
        <w:spacing w:line="540" w:lineRule="exact"/>
        <w:jc w:val="both"/>
        <w:rPr>
          <w:rFonts w:hint="eastAsia" w:ascii="方正小标宋简体" w:hAnsi="宋体" w:eastAsia="方正小标宋简体" w:cs="宋体"/>
          <w:bCs/>
          <w:kern w:val="0"/>
          <w:sz w:val="44"/>
          <w:szCs w:val="44"/>
        </w:rPr>
      </w:pPr>
    </w:p>
    <w:p>
      <w:pPr>
        <w:spacing w:line="540" w:lineRule="exact"/>
        <w:jc w:val="center"/>
        <w:rPr>
          <w:rFonts w:ascii="方正小标宋简体" w:hAnsi="宋体" w:eastAsia="方正小标宋简体" w:cs="宋体"/>
          <w:bCs/>
          <w:kern w:val="0"/>
          <w:sz w:val="44"/>
          <w:szCs w:val="44"/>
        </w:rPr>
      </w:pPr>
      <w:r>
        <w:rPr>
          <w:rFonts w:hint="eastAsia" w:ascii="方正小标宋简体" w:hAnsi="宋体" w:eastAsia="方正小标宋简体" w:cs="宋体"/>
          <w:bCs/>
          <w:kern w:val="0"/>
          <w:sz w:val="44"/>
          <w:szCs w:val="44"/>
        </w:rPr>
        <w:t>征地补偿安置方案</w:t>
      </w:r>
    </w:p>
    <w:p>
      <w:pPr>
        <w:spacing w:line="54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40" w:firstLineChars="200"/>
        <w:textAlignment w:val="auto"/>
        <w:outlineLvl w:val="9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为实施广州市增城区新塘镇建设规划，完善城市功能，改善城市环境，促进经济、文化发展。拟征收新塘镇官道村股份经济联合社、潮新股份经济合作（潮红股份经济合作社）共有的集体土地1.1681公顷。根据《中华人民共和国土地管理法》、《广东省土地管理条例》等规定，结合增城区的征收农用地区片综合地价和实际情况，拟定了征地补偿安置方案，具体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40" w:firstLineChars="200"/>
        <w:textAlignment w:val="auto"/>
        <w:outlineLvl w:val="9"/>
        <w:rPr>
          <w:rFonts w:ascii="黑体" w:hAnsi="黑体" w:eastAsia="黑体" w:cs="仿宋_GB2312"/>
          <w:sz w:val="32"/>
          <w:szCs w:val="32"/>
        </w:rPr>
      </w:pPr>
      <w:r>
        <w:rPr>
          <w:rFonts w:hint="eastAsia" w:ascii="黑体" w:hAnsi="黑体" w:eastAsia="黑体" w:cs="仿宋_GB2312"/>
          <w:sz w:val="32"/>
          <w:szCs w:val="32"/>
        </w:rPr>
        <w:t>一、征收集体土地情况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征收集体土地总面积1.1681公顷，征收集体土地的地类为农用地1.1681公顷（园地1.1559公顷、林地0.0122公顷）。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（一）土地补偿和安置补助。根据已经实施的区片综合地价，征收上述1.1681公顷集体土地的区片综合地价标准为165万元/公顷（土地补偿费标准为82.5万元/公顷、安置补助费标准为82.5万元/公顷）。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40" w:firstLineChars="200"/>
        <w:textAlignment w:val="auto"/>
        <w:outlineLvl w:val="9"/>
        <w:rPr>
          <w:rFonts w:hint="eastAsia" w:ascii="黑体" w:hAnsi="黑体" w:eastAsia="黑体" w:cs="宋体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（二）青苗补偿金额暂按68.3339万元计算，待日后清点确认后，按实际情况予以补偿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40" w:firstLineChars="200"/>
        <w:textAlignment w:val="auto"/>
        <w:outlineLvl w:val="9"/>
        <w:rPr>
          <w:rFonts w:ascii="黑体" w:hAnsi="黑体" w:eastAsia="黑体" w:cs="宋体"/>
          <w:kern w:val="0"/>
          <w:sz w:val="32"/>
          <w:szCs w:val="32"/>
        </w:rPr>
      </w:pPr>
      <w:r>
        <w:rPr>
          <w:rFonts w:hint="eastAsia" w:ascii="黑体" w:hAnsi="黑体" w:eastAsia="黑体" w:cs="宋体"/>
          <w:kern w:val="0"/>
          <w:sz w:val="32"/>
          <w:szCs w:val="32"/>
          <w:lang w:val="en-US" w:eastAsia="zh-CN"/>
        </w:rPr>
        <w:t>二</w:t>
      </w:r>
      <w:r>
        <w:rPr>
          <w:rFonts w:hint="eastAsia" w:ascii="黑体" w:hAnsi="黑体" w:eastAsia="黑体" w:cs="宋体"/>
          <w:kern w:val="0"/>
          <w:sz w:val="32"/>
          <w:szCs w:val="32"/>
        </w:rPr>
        <w:t>、安置措施情况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27" w:firstLineChars="196"/>
        <w:jc w:val="left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为妥善安置被征地农民，切实解决被征地农民的生产生活出路，在保证货币安置落实的同时，由于该用地为广州市增城区2022年度第七十一批次城镇建设用地（涉及新塘镇官道村土地面积共11.6807公顷）征地项目的留用地，根据有关规定，不需预留经济发展用地，不实际支付征地补偿费用，不计提养老保障资金，详见省的留用地安置政策和被征地农民养老保障方案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rightChars="0"/>
        <w:jc w:val="left"/>
        <w:textAlignment w:val="auto"/>
        <w:outlineLvl w:val="9"/>
        <w:rPr>
          <w:rFonts w:ascii="仿宋_GB2312" w:hAnsi="仿宋_GB2312" w:eastAsia="仿宋_GB2312" w:cs="仿宋_GB2312"/>
          <w:sz w:val="32"/>
          <w:szCs w:val="32"/>
        </w:rPr>
      </w:pPr>
      <w:bookmarkStart w:id="0" w:name="_GoBack"/>
      <w:bookmarkEnd w:id="0"/>
    </w:p>
    <w:sectPr>
      <w:pgSz w:w="11906" w:h="16838"/>
      <w:pgMar w:top="1440" w:right="1361" w:bottom="1440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ˎ̥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宋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彩云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华文新魏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琥珀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华文细黑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行楷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华文隶书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@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@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@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长城小标宋体">
    <w:altName w:val="宋体"/>
    <w:panose1 w:val="02010609010101010101"/>
    <w:charset w:val="00"/>
    <w:family w:val="auto"/>
    <w:pitch w:val="default"/>
    <w:sig w:usb0="00000000" w:usb1="00000000" w:usb2="00000000" w:usb3="00000000" w:csb0="00000000" w:csb1="00000000"/>
  </w:font>
  <w:font w:name="隶书">
    <w:panose1 w:val="02010509060101010101"/>
    <w:charset w:val="86"/>
    <w:family w:val="auto"/>
    <w:pitch w:val="default"/>
    <w:sig w:usb0="00000001" w:usb1="080E0000" w:usb2="00000000" w:usb3="00000000" w:csb0="00040000" w:csb1="00000000"/>
  </w:font>
  <w:font w:name="叶根友毛笔行书2.0版">
    <w:altName w:val="宋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幼圆">
    <w:panose1 w:val="0201050906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新宋体">
    <w:panose1 w:val="02010609030101010101"/>
    <w:charset w:val="86"/>
    <w:family w:val="auto"/>
    <w:pitch w:val="default"/>
    <w:sig w:usb0="00000283" w:usb1="288F0000" w:usb2="00000006" w:usb3="00000000" w:csb0="00040001" w:csb1="00000000"/>
  </w:font>
  <w:font w:name="方正姚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Calibri Light">
    <w:panose1 w:val="020F0302020204030204"/>
    <w:charset w:val="00"/>
    <w:family w:val="swiss"/>
    <w:pitch w:val="default"/>
    <w:sig w:usb0="E0002A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4E1F"/>
    <w:rsid w:val="00122C63"/>
    <w:rsid w:val="0016210F"/>
    <w:rsid w:val="002C054A"/>
    <w:rsid w:val="003C1D22"/>
    <w:rsid w:val="00524E1F"/>
    <w:rsid w:val="008E5901"/>
    <w:rsid w:val="020F60B0"/>
    <w:rsid w:val="0AB719B6"/>
    <w:rsid w:val="10056670"/>
    <w:rsid w:val="12A9763F"/>
    <w:rsid w:val="13553CA2"/>
    <w:rsid w:val="171072C1"/>
    <w:rsid w:val="18467190"/>
    <w:rsid w:val="259A5DC0"/>
    <w:rsid w:val="26F55D14"/>
    <w:rsid w:val="302336CC"/>
    <w:rsid w:val="30D577EF"/>
    <w:rsid w:val="3106521A"/>
    <w:rsid w:val="32E25A25"/>
    <w:rsid w:val="38954767"/>
    <w:rsid w:val="41324D13"/>
    <w:rsid w:val="482815CE"/>
    <w:rsid w:val="4BDA11C9"/>
    <w:rsid w:val="4CE42F02"/>
    <w:rsid w:val="4CF208EA"/>
    <w:rsid w:val="51E465C1"/>
    <w:rsid w:val="54E27642"/>
    <w:rsid w:val="557A3E15"/>
    <w:rsid w:val="56733AF8"/>
    <w:rsid w:val="5F71172E"/>
    <w:rsid w:val="609F4B82"/>
    <w:rsid w:val="613D0310"/>
    <w:rsid w:val="662B06EB"/>
    <w:rsid w:val="720F0935"/>
    <w:rsid w:val="723C2678"/>
    <w:rsid w:val="7D685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nhideWhenUsed="0" w:uiPriority="0" w:semiHidden="0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unhideWhenUsed/>
    <w:qFormat/>
    <w:uiPriority w:val="1"/>
  </w:style>
  <w:style w:type="table" w:default="1" w:styleId="5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6"/>
    <w:qFormat/>
    <w:uiPriority w:val="0"/>
    <w:pPr>
      <w:jc w:val="left"/>
    </w:pPr>
  </w:style>
  <w:style w:type="paragraph" w:styleId="3">
    <w:name w:val="Balloon Text"/>
    <w:basedOn w:val="1"/>
    <w:link w:val="7"/>
    <w:unhideWhenUsed/>
    <w:qFormat/>
    <w:uiPriority w:val="99"/>
    <w:rPr>
      <w:sz w:val="18"/>
      <w:szCs w:val="18"/>
    </w:rPr>
  </w:style>
  <w:style w:type="character" w:customStyle="1" w:styleId="6">
    <w:name w:val="批注文字 Char"/>
    <w:basedOn w:val="4"/>
    <w:link w:val="2"/>
    <w:qFormat/>
    <w:uiPriority w:val="0"/>
    <w:rPr>
      <w:rFonts w:ascii="Times New Roman" w:hAnsi="Times New Roman" w:eastAsia="宋体" w:cs="Times New Roman"/>
      <w:szCs w:val="24"/>
    </w:rPr>
  </w:style>
  <w:style w:type="character" w:customStyle="1" w:styleId="7">
    <w:name w:val="批注框文本 Char"/>
    <w:basedOn w:val="4"/>
    <w:link w:val="3"/>
    <w:semiHidden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2</Pages>
  <Words>102</Words>
  <Characters>583</Characters>
  <Lines>4</Lines>
  <Paragraphs>1</Paragraphs>
  <ScaleCrop>false</ScaleCrop>
  <LinksUpToDate>false</LinksUpToDate>
  <CharactersWithSpaces>684</CharactersWithSpaces>
  <Application>WPS Office_10.8.0.6253_F1E327BC-269C-435d-A152-05C5408002CA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2021-06-09T02:04:00Z</dcterms:created>
  <dc:creator>钟启琤</dc:creator>
  <cp:lastModifiedBy>NTKO</cp:lastModifiedBy>
  <dcterms:modified xsi:type="dcterms:W3CDTF">2022-11-24T02:24:30Z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2052-10.8.0.6253</vt:lpwstr>
  </property>
</Properties>
</file>