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6" w:lineRule="auto"/>
      </w:pPr>
      <w:bookmarkStart w:id="0" w:name="_GoBack"/>
      <w:bookmarkEnd w:id="0"/>
    </w:p>
    <w:p>
      <w:pPr>
        <w:spacing w:line="266" w:lineRule="auto"/>
      </w:pPr>
    </w:p>
    <w:p>
      <w:pPr>
        <w:spacing w:line="266" w:lineRule="auto"/>
      </w:pPr>
    </w:p>
    <w:p>
      <w:pPr>
        <w:spacing w:line="266" w:lineRule="auto"/>
      </w:pPr>
    </w:p>
    <w:p>
      <w:pPr>
        <w:spacing w:before="114" w:line="220" w:lineRule="auto"/>
        <w:ind w:firstLine="337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-3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农用地转用方案</w:t>
      </w:r>
    </w:p>
    <w:p>
      <w:pPr>
        <w:spacing w:before="105" w:line="200" w:lineRule="auto"/>
        <w:rPr>
          <w:rFonts w:ascii="宋体" w:hAnsi="宋体" w:eastAsia="宋体" w:cs="宋体"/>
          <w:spacing w:val="-10"/>
          <w:sz w:val="20"/>
          <w:szCs w:val="20"/>
        </w:rPr>
      </w:pPr>
    </w:p>
    <w:p>
      <w:pPr>
        <w:spacing w:before="105" w:line="200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0"/>
          <w:sz w:val="20"/>
          <w:szCs w:val="20"/>
        </w:rPr>
        <w:t>计量单位</w:t>
      </w:r>
      <w:r>
        <w:rPr>
          <w:rFonts w:hint="eastAsia" w:ascii="宋体" w:hAnsi="宋体" w:eastAsia="宋体" w:cs="宋体"/>
          <w:spacing w:val="-10"/>
          <w:sz w:val="20"/>
          <w:szCs w:val="20"/>
        </w:rPr>
        <w:t>：</w:t>
      </w:r>
      <w:r>
        <w:rPr>
          <w:rFonts w:ascii="宋体" w:hAnsi="宋体" w:eastAsia="宋体" w:cs="宋体"/>
          <w:spacing w:val="-10"/>
          <w:sz w:val="20"/>
          <w:szCs w:val="20"/>
        </w:rPr>
        <w:t>公顷、公斤、公里、个、万元</w:t>
      </w:r>
    </w:p>
    <w:tbl>
      <w:tblPr>
        <w:tblStyle w:val="13"/>
        <w:tblW w:w="9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268"/>
        <w:gridCol w:w="1089"/>
        <w:gridCol w:w="1089"/>
        <w:gridCol w:w="1169"/>
        <w:gridCol w:w="1259"/>
        <w:gridCol w:w="1239"/>
        <w:gridCol w:w="12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6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8" w:line="220" w:lineRule="auto"/>
              <w:ind w:firstLine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建设用地项目名称</w:t>
            </w:r>
          </w:p>
        </w:tc>
        <w:tc>
          <w:tcPr>
            <w:tcW w:w="7088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广州东部公铁联运枢纽项目（广州国际物流产业枢纽）一期工程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6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2" w:line="219" w:lineRule="auto"/>
              <w:ind w:firstLine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申请用地总面积</w:t>
            </w:r>
          </w:p>
        </w:tc>
        <w:tc>
          <w:tcPr>
            <w:tcW w:w="21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ascii="宋体" w:hAnsi="宋体" w:eastAsia="宋体" w:cs="宋体"/>
                <w:spacing w:val="-2"/>
              </w:rPr>
              <w:t>500.7637</w:t>
            </w:r>
          </w:p>
        </w:tc>
        <w:tc>
          <w:tcPr>
            <w:tcW w:w="242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3" w:line="220" w:lineRule="auto"/>
              <w:ind w:firstLine="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新增建设用地</w:t>
            </w:r>
          </w:p>
        </w:tc>
        <w:tc>
          <w:tcPr>
            <w:tcW w:w="24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pacing w:val="-2"/>
              </w:rPr>
              <w:t>495.3698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94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80" w:lineRule="auto"/>
            </w:pPr>
          </w:p>
          <w:p>
            <w:pPr>
              <w:spacing w:line="280" w:lineRule="auto"/>
            </w:pPr>
          </w:p>
          <w:p>
            <w:pPr>
              <w:spacing w:line="280" w:lineRule="auto"/>
            </w:pPr>
          </w:p>
          <w:p>
            <w:pPr>
              <w:spacing w:line="280" w:lineRule="auto"/>
            </w:pPr>
          </w:p>
          <w:p>
            <w:pPr>
              <w:spacing w:line="281" w:lineRule="auto"/>
            </w:pPr>
          </w:p>
          <w:p>
            <w:pPr>
              <w:spacing w:before="62" w:line="268" w:lineRule="auto"/>
              <w:ind w:left="155" w:righ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申请转用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面积情况</w:t>
            </w:r>
          </w:p>
        </w:tc>
        <w:tc>
          <w:tcPr>
            <w:tcW w:w="235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732" w:lineRule="exact"/>
              <w:textAlignment w:val="center"/>
            </w:pPr>
            <w:r>
              <w:pict>
                <v:group id="_x0000_s1026" o:spid="_x0000_s1026" o:spt="203" style="height:37.15pt;width:117.15pt;" coordsize="2343,743">
                  <o:lock v:ext="edit"/>
                  <v:shape id="_x0000_s1027" o:spid="_x0000_s1027" style="position:absolute;left:0;top:0;height:740;width:2343;" filled="f" coordsize="2343,740" path="m2341,734l1,4e">
                    <v:fill on="f" focussize="0,0"/>
                    <v:stroke weight="0.5pt" miterlimit="10" joinstyle="miter"/>
                    <v:imagedata o:title=""/>
                    <o:lock v:ext="edit"/>
                  </v:shape>
                  <v:shape id="_x0000_s1028" o:spid="_x0000_s1028" o:spt="202" type="#_x0000_t202" style="position:absolute;left:-20;top:-20;height:819;width:2383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pacing w:before="152" w:line="219" w:lineRule="auto"/>
                            <w:ind w:firstLine="1641"/>
                            <w:rPr>
                              <w:rFonts w:ascii="宋体" w:hAnsi="宋体" w:eastAsia="宋体" w:cs="宋体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8"/>
                              <w:sz w:val="19"/>
                              <w:szCs w:val="19"/>
                            </w:rPr>
                            <w:t>权属</w:t>
                          </w:r>
                        </w:p>
                        <w:p>
                          <w:pPr>
                            <w:spacing w:before="194" w:line="219" w:lineRule="auto"/>
                            <w:ind w:firstLine="431"/>
                            <w:rPr>
                              <w:rFonts w:ascii="宋体" w:hAnsi="宋体" w:eastAsia="宋体" w:cs="宋体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2"/>
                              <w:sz w:val="19"/>
                              <w:szCs w:val="19"/>
                            </w:rPr>
                            <w:t>地类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351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60" w:lineRule="auto"/>
            </w:pPr>
          </w:p>
          <w:p>
            <w:pPr>
              <w:spacing w:before="62" w:line="221" w:lineRule="auto"/>
              <w:ind w:firstLine="15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合计</w:t>
            </w:r>
          </w:p>
        </w:tc>
        <w:tc>
          <w:tcPr>
            <w:tcW w:w="248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59" w:lineRule="auto"/>
            </w:pPr>
          </w:p>
          <w:p>
            <w:pPr>
              <w:spacing w:before="62" w:line="219" w:lineRule="auto"/>
              <w:ind w:firstLine="6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其中:集体用地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35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4" w:line="221" w:lineRule="auto"/>
              <w:ind w:firstLine="9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总计</w:t>
            </w:r>
          </w:p>
        </w:tc>
        <w:tc>
          <w:tcPr>
            <w:tcW w:w="351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9"/>
                <w:szCs w:val="19"/>
                <w:highlight w:val="green"/>
              </w:rPr>
            </w:pPr>
            <w:r>
              <w:rPr>
                <w:rFonts w:ascii="宋体" w:hAnsi="宋体" w:eastAsia="宋体" w:cs="宋体"/>
                <w:spacing w:val="-2"/>
              </w:rPr>
              <w:t>500.7637</w:t>
            </w:r>
            <w:r>
              <w:rPr>
                <w:rFonts w:hint="eastAsia" w:ascii="宋体" w:hAnsi="Times New Roman" w:eastAsia="宋体" w:cs="Times New Roman"/>
              </w:rPr>
              <w:t xml:space="preserve"> </w:t>
            </w:r>
          </w:p>
        </w:tc>
        <w:tc>
          <w:tcPr>
            <w:tcW w:w="24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9"/>
                <w:szCs w:val="19"/>
                <w:highlight w:val="green"/>
              </w:rPr>
            </w:pPr>
            <w:r>
              <w:rPr>
                <w:rFonts w:hint="eastAsia" w:ascii="宋体" w:hAnsi="Times New Roman" w:eastAsia="宋体" w:cs="Times New Roman"/>
              </w:rPr>
              <w:t>495.9293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35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4" w:line="221" w:lineRule="auto"/>
              <w:ind w:firstLine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(一)农用地</w:t>
            </w:r>
          </w:p>
        </w:tc>
        <w:tc>
          <w:tcPr>
            <w:tcW w:w="351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494.9011 </w:t>
            </w:r>
          </w:p>
        </w:tc>
        <w:tc>
          <w:tcPr>
            <w:tcW w:w="24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492.1549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35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2" w:line="219" w:lineRule="auto"/>
              <w:ind w:firstLine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耕地</w:t>
            </w:r>
          </w:p>
        </w:tc>
        <w:tc>
          <w:tcPr>
            <w:tcW w:w="351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textAlignment w:val="auto"/>
              <w:rPr>
                <w:rFonts w:ascii="宋体" w:hAnsi="Times New Roman" w:eastAsia="宋体" w:cs="Times New Roman"/>
                <w:color w:val="auto"/>
              </w:rPr>
            </w:pPr>
            <w:r>
              <w:rPr>
                <w:rFonts w:ascii="宋体" w:hAnsi="Times New Roman" w:eastAsia="宋体" w:cs="Times New Roman"/>
                <w:color w:val="auto"/>
                <w:lang w:bidi="ar"/>
              </w:rPr>
              <w:t xml:space="preserve">39.1534 </w:t>
            </w:r>
          </w:p>
        </w:tc>
        <w:tc>
          <w:tcPr>
            <w:tcW w:w="24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textAlignment w:val="auto"/>
              <w:rPr>
                <w:rFonts w:ascii="宋体" w:hAnsi="Times New Roman" w:eastAsia="宋体" w:cs="Times New Roman"/>
                <w:color w:val="auto"/>
              </w:rPr>
            </w:pPr>
            <w:r>
              <w:rPr>
                <w:rFonts w:ascii="宋体" w:hAnsi="Times New Roman" w:eastAsia="宋体" w:cs="Times New Roman"/>
                <w:color w:val="auto"/>
                <w:lang w:bidi="ar"/>
              </w:rPr>
              <w:t xml:space="preserve">38.3779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35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3" w:line="219" w:lineRule="auto"/>
              <w:ind w:firstLine="7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其中水田</w:t>
            </w:r>
          </w:p>
        </w:tc>
        <w:tc>
          <w:tcPr>
            <w:tcW w:w="351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textAlignment w:val="auto"/>
              <w:rPr>
                <w:rFonts w:ascii="宋体" w:hAnsi="Times New Roman" w:eastAsia="宋体" w:cs="Times New Roman"/>
                <w:color w:val="auto"/>
              </w:rPr>
            </w:pPr>
            <w:r>
              <w:rPr>
                <w:rFonts w:ascii="宋体" w:hAnsi="Times New Roman" w:eastAsia="宋体" w:cs="Times New Roman"/>
                <w:color w:val="auto"/>
                <w:lang w:bidi="ar"/>
              </w:rPr>
              <w:t xml:space="preserve">18.7123 </w:t>
            </w:r>
          </w:p>
        </w:tc>
        <w:tc>
          <w:tcPr>
            <w:tcW w:w="24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textAlignment w:val="auto"/>
              <w:rPr>
                <w:rFonts w:ascii="宋体" w:hAnsi="Times New Roman" w:eastAsia="宋体" w:cs="Times New Roman"/>
                <w:color w:val="auto"/>
              </w:rPr>
            </w:pPr>
            <w:r>
              <w:rPr>
                <w:rFonts w:ascii="宋体" w:hAnsi="Times New Roman" w:eastAsia="宋体" w:cs="Times New Roman"/>
                <w:color w:val="auto"/>
                <w:lang w:bidi="ar"/>
              </w:rPr>
              <w:t xml:space="preserve">17.9987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35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2" w:line="219" w:lineRule="auto"/>
              <w:ind w:firstLine="7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其中永久基本农田</w:t>
            </w:r>
          </w:p>
        </w:tc>
        <w:tc>
          <w:tcPr>
            <w:tcW w:w="351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Times New Roman" w:eastAsia="宋体" w:cs="Times New Roman"/>
                <w:color w:val="auto"/>
                <w:lang w:eastAsia="zh-CN"/>
              </w:rPr>
            </w:pPr>
            <w:r>
              <w:rPr>
                <w:rFonts w:ascii="宋体" w:hAnsi="Times New Roman" w:eastAsia="宋体" w:cs="Times New Roman"/>
                <w:color w:val="auto"/>
                <w:lang w:bidi="ar"/>
              </w:rPr>
              <w:t>73.389</w:t>
            </w:r>
            <w:r>
              <w:rPr>
                <w:rFonts w:hint="eastAsia" w:ascii="宋体" w:hAnsi="Times New Roman" w:eastAsia="宋体" w:cs="Times New Roman"/>
                <w:color w:val="auto"/>
                <w:lang w:val="en-US" w:eastAsia="zh-CN" w:bidi="ar"/>
              </w:rPr>
              <w:t>9</w:t>
            </w:r>
          </w:p>
        </w:tc>
        <w:tc>
          <w:tcPr>
            <w:tcW w:w="24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textAlignment w:val="auto"/>
              <w:rPr>
                <w:rFonts w:hint="eastAsia" w:ascii="宋体" w:hAnsi="Times New Roman" w:eastAsia="宋体" w:cs="Times New Roman"/>
                <w:color w:val="auto"/>
                <w:lang w:eastAsia="zh-CN" w:bidi="ar"/>
              </w:rPr>
            </w:pPr>
            <w:r>
              <w:rPr>
                <w:rFonts w:ascii="宋体" w:hAnsi="Times New Roman" w:eastAsia="宋体" w:cs="Times New Roman"/>
                <w:color w:val="auto"/>
                <w:lang w:bidi="ar"/>
              </w:rPr>
              <w:t>73.301</w:t>
            </w:r>
            <w:r>
              <w:rPr>
                <w:rFonts w:hint="eastAsia" w:ascii="宋体" w:hAnsi="Times New Roman" w:eastAsia="宋体" w:cs="Times New Roman"/>
                <w:color w:va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4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35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4" w:line="220" w:lineRule="auto"/>
              <w:ind w:firstLine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(二)未利用地</w:t>
            </w:r>
          </w:p>
        </w:tc>
        <w:tc>
          <w:tcPr>
            <w:tcW w:w="351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宋体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0.4687 </w:t>
            </w:r>
          </w:p>
        </w:tc>
        <w:tc>
          <w:tcPr>
            <w:tcW w:w="24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宋体" w:hAnsi="Times New Roman" w:eastAsia="宋体" w:cs="Times New Roman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450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4" w:line="220" w:lineRule="auto"/>
              <w:ind w:firstLine="28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国土空间规划、土地利用计划情况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36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3" w:line="219" w:lineRule="auto"/>
              <w:ind w:firstLine="6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是否符合规划</w:t>
            </w:r>
          </w:p>
        </w:tc>
        <w:tc>
          <w:tcPr>
            <w:tcW w:w="21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是</w:t>
            </w:r>
          </w:p>
        </w:tc>
        <w:tc>
          <w:tcPr>
            <w:tcW w:w="242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4" w:line="220" w:lineRule="auto"/>
              <w:ind w:firstLine="8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规划级别</w:t>
            </w:r>
          </w:p>
        </w:tc>
        <w:tc>
          <w:tcPr>
            <w:tcW w:w="24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国家级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540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3" w:line="219" w:lineRule="auto"/>
              <w:ind w:firstLine="1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申请使用国家计划</w:t>
            </w:r>
          </w:p>
        </w:tc>
        <w:tc>
          <w:tcPr>
            <w:tcW w:w="4910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3" w:line="219" w:lineRule="auto"/>
              <w:ind w:firstLine="1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已安排使用省级计划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3" w:line="219" w:lineRule="auto"/>
              <w:ind w:firstLine="3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年度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4" w:line="220" w:lineRule="auto"/>
              <w:ind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新增建设用地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4" w:line="221" w:lineRule="auto"/>
              <w:ind w:firstLine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农用地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2" w:line="219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其中:耕地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3" w:line="219" w:lineRule="auto"/>
              <w:ind w:firstLine="3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年度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4" w:line="220" w:lineRule="auto"/>
              <w:ind w:firstLine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新增建设用地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4" w:line="221" w:lineRule="auto"/>
              <w:ind w:firstLine="3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农用地</w:t>
            </w: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2" w:line="219" w:lineRule="auto"/>
              <w:ind w:firstLine="1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其中:耕地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2022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495.3698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494.9011</w:t>
            </w:r>
            <w:r>
              <w:rPr>
                <w:rFonts w:hint="eastAsia" w:ascii="宋体" w:hAnsi="Times New Roman" w:eastAsia="宋体" w:cs="Times New Roman"/>
              </w:rPr>
              <w:t xml:space="preserve"> 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lang w:bidi="ar"/>
              </w:rPr>
            </w:pPr>
            <w:r>
              <w:rPr>
                <w:rFonts w:ascii="宋体" w:hAnsi="Times New Roman" w:eastAsia="宋体" w:cs="Times New Roman"/>
                <w:lang w:bidi="ar"/>
              </w:rPr>
              <w:t>41.7057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450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219" w:lineRule="auto"/>
              <w:ind w:firstLine="39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补充耕地情况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6" w:line="220" w:lineRule="auto"/>
              <w:ind w:firstLine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需补充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4" w:line="219" w:lineRule="auto"/>
              <w:ind w:firstLine="2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耕地数量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ascii="宋体" w:hAnsi="Times New Roman" w:eastAsia="宋体" w:cs="Times New Roman"/>
                <w:lang w:bidi="ar"/>
              </w:rPr>
              <w:t>41.7057</w:t>
            </w:r>
          </w:p>
        </w:tc>
        <w:tc>
          <w:tcPr>
            <w:tcW w:w="225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5" w:line="219" w:lineRule="auto"/>
              <w:ind w:firstLine="7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水田规模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lang w:bidi="ar"/>
              </w:rPr>
            </w:pPr>
            <w:r>
              <w:rPr>
                <w:rFonts w:ascii="宋体" w:hAnsi="Times New Roman" w:eastAsia="宋体" w:cs="Times New Roman"/>
                <w:lang w:bidi="ar"/>
              </w:rPr>
              <w:t>18.8646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4" w:line="219" w:lineRule="auto"/>
              <w:ind w:firstLine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标准粮食产能</w:t>
            </w: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Times New Roman" w:eastAsia="宋体" w:cs="Times New Roman"/>
                <w:lang w:bidi="ar"/>
              </w:rPr>
              <w:t>612654.90</w:t>
            </w:r>
            <w:r>
              <w:rPr>
                <w:rFonts w:hint="eastAsia" w:ascii="Times New Roman" w:hAnsi="Times New Roman" w:eastAsia="宋体" w:cs="Times New Roman"/>
                <w:kern w:val="2"/>
                <w:szCs w:val="20"/>
                <w:lang w:bidi="ar"/>
              </w:rPr>
              <w:t xml:space="preserve">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36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4" w:line="219" w:lineRule="auto"/>
              <w:ind w:firstLine="22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补充耕地确认信息编号</w:t>
            </w:r>
          </w:p>
        </w:tc>
        <w:tc>
          <w:tcPr>
            <w:tcW w:w="7088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宋体" w:hAnsi="Times New Roman" w:eastAsia="宋体" w:cs="Times New Roman"/>
                <w:lang w:val="en-US" w:eastAsia="zh-CN" w:bidi="ar"/>
              </w:rPr>
              <w:t>440000202210273781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6" w:line="220" w:lineRule="auto"/>
              <w:ind w:firstLine="2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已补充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4" w:line="219" w:lineRule="auto"/>
              <w:ind w:firstLine="2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耕地数量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Times New Roman" w:eastAsia="宋体" w:cs="Times New Roman"/>
                <w:lang w:bidi="ar"/>
              </w:rPr>
              <w:t>41.7057</w:t>
            </w:r>
          </w:p>
        </w:tc>
        <w:tc>
          <w:tcPr>
            <w:tcW w:w="225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5" w:line="219" w:lineRule="auto"/>
              <w:ind w:firstLine="7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水田规模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宋体" w:hAnsi="Times New Roman" w:eastAsia="宋体" w:cs="Times New Roman"/>
                <w:lang w:val="en-US" w:eastAsia="zh-CN" w:bidi="ar"/>
              </w:rPr>
              <w:t>0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4" w:line="219" w:lineRule="auto"/>
              <w:ind w:firstLine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标准粮食产能</w:t>
            </w: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Times New Roman" w:eastAsia="宋体" w:cs="Times New Roman"/>
                <w:lang w:bidi="ar"/>
              </w:rPr>
              <w:t>612654.90</w:t>
            </w:r>
            <w:r>
              <w:rPr>
                <w:rFonts w:hint="eastAsia" w:ascii="Times New Roman" w:hAnsi="Times New Roman" w:eastAsia="宋体" w:cs="Times New Roman"/>
                <w:kern w:val="2"/>
                <w:szCs w:val="20"/>
                <w:lang w:bidi="ar"/>
              </w:rPr>
              <w:t>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5" w:line="195" w:lineRule="auto"/>
              <w:ind w:firstLine="3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承诺</w:t>
            </w:r>
          </w:p>
          <w:p>
            <w:pPr>
              <w:spacing w:line="220" w:lineRule="auto"/>
              <w:ind w:firstLine="3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补充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4" w:line="219" w:lineRule="auto"/>
              <w:ind w:firstLine="2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耕地数量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宋体" w:hAnsi="Times New Roman" w:eastAsia="宋体" w:cs="Times New Roman"/>
                <w:lang w:val="en-US" w:eastAsia="zh-CN" w:bidi="ar"/>
              </w:rPr>
              <w:t>0</w:t>
            </w:r>
          </w:p>
        </w:tc>
        <w:tc>
          <w:tcPr>
            <w:tcW w:w="225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5" w:line="219" w:lineRule="auto"/>
              <w:ind w:firstLine="7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水田规模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Times New Roman" w:eastAsia="宋体" w:cs="Times New Roman"/>
                <w:lang w:bidi="ar"/>
              </w:rPr>
              <w:t>18.8646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4" w:line="219" w:lineRule="auto"/>
              <w:ind w:firstLine="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标准粮食产能</w:t>
            </w: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宋体" w:hAnsi="Times New Roman" w:eastAsia="宋体" w:cs="Times New Roman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6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5" w:line="219" w:lineRule="auto"/>
              <w:ind w:firstLine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承诺补充耕地完成时限</w:t>
            </w:r>
          </w:p>
        </w:tc>
        <w:tc>
          <w:tcPr>
            <w:tcW w:w="334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宋体" w:hAnsi="Times New Roman" w:eastAsia="宋体" w:cs="Times New Roman"/>
                <w:spacing w:val="0"/>
                <w:sz w:val="21"/>
                <w:szCs w:val="21"/>
                <w:lang w:val="en-US" w:eastAsia="zh-CN" w:bidi="ar"/>
              </w:rPr>
              <w:t>202</w:t>
            </w:r>
            <w:r>
              <w:rPr>
                <w:rFonts w:hint="default" w:ascii="宋体" w:hAnsi="Times New Roman" w:eastAsia="宋体" w:cs="Times New Roman"/>
                <w:spacing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宋体" w:hAnsi="Times New Roman" w:eastAsia="宋体" w:cs="Times New Roman"/>
                <w:spacing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宋体" w:hAnsi="Times New Roman" w:eastAsia="宋体" w:cs="Times New Roman"/>
                <w:spacing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宋体" w:hAnsi="Times New Roman" w:eastAsia="宋体" w:cs="Times New Roman"/>
                <w:spacing w:val="0"/>
                <w:sz w:val="21"/>
                <w:szCs w:val="21"/>
                <w:lang w:val="en-US" w:eastAsia="zh-CN" w:bidi="ar"/>
              </w:rPr>
              <w:t>月31日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6" w:line="213" w:lineRule="auto"/>
              <w:ind w:left="146" w:right="129" w:firstLine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补充耕地  实际总费用</w:t>
            </w:r>
          </w:p>
        </w:tc>
        <w:tc>
          <w:tcPr>
            <w:tcW w:w="24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9427.448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450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7" w:line="219" w:lineRule="auto"/>
              <w:ind w:firstLine="3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补划永久基本农田情况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540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6" w:line="219" w:lineRule="auto"/>
              <w:ind w:firstLine="1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补划永久基本农田</w:t>
            </w:r>
          </w:p>
        </w:tc>
        <w:tc>
          <w:tcPr>
            <w:tcW w:w="491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73.3898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945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" w:line="216" w:lineRule="auto"/>
              <w:jc w:val="both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Times New Roman" w:eastAsia="宋体" w:cs="宋体"/>
                <w:kern w:val="2"/>
                <w:sz w:val="19"/>
                <w:szCs w:val="19"/>
                <w:lang w:bidi="ar"/>
              </w:rPr>
              <w:t>占用永久基本农田的必要性、合理性:</w:t>
            </w:r>
          </w:p>
          <w:p>
            <w:pPr>
              <w:spacing w:before="3" w:line="216" w:lineRule="auto"/>
              <w:ind w:firstLine="349" w:firstLineChars="184"/>
              <w:jc w:val="both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本项目已纳入经国务院审定的发改基础〔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2020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〕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830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号文、《“十四五”现代综合交通运输体系发展规划》（国发〔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2021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〕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号）项目清单，属于国家重点项目。根据“自然资规〔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2018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〕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号”规定，项目属于符合占用永久基本农田的重大建设项目用地预审范围。本项目选址位于增城区中新镇、宁西街道，紧邻铁路东北货车外绕线和增城西站，周边有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条高速公路环绕通过，公路交通便捷，具备发展公铁联运或公铁空多式联运的极佳条件。</w:t>
            </w:r>
          </w:p>
          <w:p>
            <w:pPr>
              <w:spacing w:before="3" w:line="216" w:lineRule="auto"/>
              <w:ind w:firstLine="349" w:firstLineChars="184"/>
              <w:jc w:val="both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本项目作为交通类项目，由于用地选址的特殊性、工程技术标准的限制，在符合交通和货运枢纽建设技术基础上，用地选址严格遵循“少占或不占耕地”、“能占劣地不占好地”的原则，但由于项目涉及范围内永久基本农田保护区分布广、连片程度较高，无法完全避让现行永久基本农田，需占用现行永久基本农田</w:t>
            </w:r>
            <w:r>
              <w:rPr>
                <w:rFonts w:ascii="宋体" w:hAnsi="Times New Roman" w:eastAsia="宋体" w:cs="Times New Roman"/>
                <w:lang w:bidi="ar"/>
              </w:rPr>
              <w:t>73.389</w:t>
            </w:r>
            <w:r>
              <w:rPr>
                <w:rFonts w:hint="eastAsia" w:ascii="宋体" w:hAnsi="Times New Roman" w:eastAsia="宋体" w:cs="Times New Roman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公顷。</w:t>
            </w:r>
          </w:p>
        </w:tc>
      </w:tr>
    </w:tbl>
    <w:p>
      <w:pPr>
        <w:spacing w:line="19" w:lineRule="exact"/>
        <w:rPr>
          <w:color w:val="auto"/>
        </w:rPr>
      </w:pPr>
    </w:p>
    <w:tbl>
      <w:tblPr>
        <w:tblStyle w:val="13"/>
        <w:tblW w:w="9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303"/>
        <w:gridCol w:w="229"/>
        <w:gridCol w:w="914"/>
        <w:gridCol w:w="941"/>
        <w:gridCol w:w="995"/>
        <w:gridCol w:w="3450"/>
        <w:gridCol w:w="1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9459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" w:line="216" w:lineRule="auto"/>
              <w:ind w:firstLine="349" w:firstLineChars="184"/>
              <w:jc w:val="both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补划永久基本农田的可行性:</w:t>
            </w:r>
          </w:p>
          <w:p>
            <w:pPr>
              <w:spacing w:before="3" w:line="216" w:lineRule="auto"/>
              <w:ind w:firstLine="349" w:firstLineChars="184"/>
              <w:jc w:val="both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本项目补划永久基本农田地块已于2021年9月16日通过省厅组织的专家踏勘论证，本次上报补划地块均在通过专家踏勘评审的地块范围内。补划永久基本农田面积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  <w:lang w:bidi="ar"/>
              </w:rPr>
              <w:t>73.389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公顷（其中现状水田67.4644公顷、水浇地5.925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公顷），耕地质量等别（国家利用等）平均质量等别为5.9等。补划地块均位于城市周边范围外，涉及朱村街道、宁西街道、石滩镇、中新镇、正果镇、派潭镇、小楼镇、仙村镇八个镇街。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59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" w:line="216" w:lineRule="auto"/>
              <w:ind w:firstLine="364" w:firstLineChars="184"/>
              <w:jc w:val="center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</w:p>
          <w:p>
            <w:pPr>
              <w:ind w:left="210" w:leftChars="100"/>
              <w:jc w:val="center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节约集约用地情况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3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0"/>
                <w:szCs w:val="20"/>
              </w:rPr>
              <w:t>功能分区</w:t>
            </w:r>
          </w:p>
        </w:tc>
        <w:tc>
          <w:tcPr>
            <w:tcW w:w="5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0"/>
                <w:szCs w:val="20"/>
              </w:rPr>
              <w:t>数量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0"/>
                <w:szCs w:val="20"/>
              </w:rPr>
              <w:t>申请用地</w:t>
            </w: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0"/>
                <w:szCs w:val="20"/>
              </w:rPr>
              <w:t>原有用地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0"/>
                <w:szCs w:val="20"/>
              </w:rPr>
              <w:t>(改扩建项自)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0"/>
                <w:szCs w:val="20"/>
              </w:rPr>
              <w:t>指标控制面积</w:t>
            </w:r>
          </w:p>
        </w:tc>
        <w:tc>
          <w:tcPr>
            <w:tcW w:w="3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0"/>
                <w:szCs w:val="20"/>
              </w:rPr>
              <w:t>所选取单项指标对应的具体条件参数</w:t>
            </w:r>
          </w:p>
        </w:tc>
        <w:tc>
          <w:tcPr>
            <w:tcW w:w="12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0"/>
                <w:szCs w:val="20"/>
              </w:rPr>
              <w:t>节地技术、模式应用情况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3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" w:line="216" w:lineRule="auto"/>
              <w:jc w:val="center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交通集疏运系统</w:t>
            </w:r>
          </w:p>
        </w:tc>
        <w:tc>
          <w:tcPr>
            <w:tcW w:w="5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" w:line="216" w:lineRule="auto"/>
              <w:jc w:val="center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1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" w:line="216" w:lineRule="auto"/>
              <w:jc w:val="center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177.2545</w:t>
            </w: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" w:line="216" w:lineRule="auto"/>
              <w:jc w:val="center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0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" w:line="216" w:lineRule="auto"/>
              <w:jc w:val="center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197.8453</w:t>
            </w:r>
          </w:p>
        </w:tc>
        <w:tc>
          <w:tcPr>
            <w:tcW w:w="3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" w:line="216" w:lineRule="auto"/>
              <w:jc w:val="both"/>
              <w:rPr>
                <w:rFonts w:hint="eastAsia" w:ascii="宋体" w:hAnsi="宋体" w:eastAsia="宋体" w:cs="宋体"/>
                <w:snapToGrid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Ⅱ类地形区，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建标〔2011〕124号设置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一、二及三级公路指标</w:t>
            </w:r>
          </w:p>
        </w:tc>
        <w:tc>
          <w:tcPr>
            <w:tcW w:w="124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3" w:line="216" w:lineRule="auto"/>
              <w:ind w:firstLine="380" w:firstLineChars="200"/>
              <w:jc w:val="both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该项目利用地下空间用作整个项目的人防工程，地上各功能分区建筑密度达60%，容积率达1.5以上，高于广州市类似项目的平均水平。通过合理科学使用空间，以提高项目投资强度、开发强度。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3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交通集疏运系统（加油站）</w:t>
            </w:r>
          </w:p>
        </w:tc>
        <w:tc>
          <w:tcPr>
            <w:tcW w:w="5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0.6000</w:t>
            </w: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0.6000</w:t>
            </w:r>
          </w:p>
        </w:tc>
        <w:tc>
          <w:tcPr>
            <w:tcW w:w="3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汽车加油加气站设计与施工规范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GB50156-2012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设加油站</w:t>
            </w: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3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货运作业区（铁路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运站）</w:t>
            </w:r>
          </w:p>
        </w:tc>
        <w:tc>
          <w:tcPr>
            <w:tcW w:w="5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67.6767</w:t>
            </w: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69.4895</w:t>
            </w:r>
          </w:p>
        </w:tc>
        <w:tc>
          <w:tcPr>
            <w:tcW w:w="3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9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napToGrid/>
                <w:color w:val="auto"/>
                <w:spacing w:val="-1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-1"/>
                <w:sz w:val="19"/>
                <w:szCs w:val="19"/>
                <w:lang w:val="en-US" w:eastAsia="zh-CN"/>
              </w:rPr>
              <w:t>按建标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〔20</w:t>
            </w:r>
            <w:r>
              <w:rPr>
                <w:rFonts w:hint="eastAsia" w:ascii="宋体" w:hAnsi="宋体" w:cs="宋体"/>
                <w:color w:val="auto"/>
                <w:spacing w:val="-1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〕</w:t>
            </w:r>
            <w:r>
              <w:rPr>
                <w:rFonts w:hint="eastAsia" w:ascii="宋体" w:hAnsi="宋体" w:cs="宋体"/>
                <w:color w:val="auto"/>
                <w:spacing w:val="-1"/>
                <w:sz w:val="18"/>
                <w:szCs w:val="18"/>
                <w:lang w:val="en-US" w:eastAsia="zh-CN"/>
              </w:rPr>
              <w:t>232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lang w:val="en-US" w:eastAsia="zh-CN"/>
              </w:rPr>
              <w:t>号</w:t>
            </w:r>
            <w:r>
              <w:rPr>
                <w:rFonts w:hint="eastAsia" w:ascii="宋体" w:hAnsi="宋体" w:cs="宋体"/>
                <w:color w:val="auto"/>
                <w:spacing w:val="-1"/>
                <w:sz w:val="18"/>
                <w:szCs w:val="18"/>
                <w:lang w:val="en-US" w:eastAsia="zh-CN"/>
              </w:rPr>
              <w:t>中3.2.4和3.4.15设计</w:t>
            </w: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3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货运作业区（多式联运货运作业区）</w:t>
            </w:r>
          </w:p>
        </w:tc>
        <w:tc>
          <w:tcPr>
            <w:tcW w:w="5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211.1732</w:t>
            </w: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9"/>
              <w:ind w:left="0" w:leftChars="0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30.9479</w:t>
            </w:r>
          </w:p>
        </w:tc>
        <w:tc>
          <w:tcPr>
            <w:tcW w:w="3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18" w:lineRule="auto"/>
              <w:ind w:firstLine="0" w:firstLineChars="0"/>
              <w:jc w:val="both"/>
              <w:rPr>
                <w:rFonts w:hint="default" w:ascii="宋体" w:hAnsi="宋体" w:eastAsia="宋体" w:cs="宋体"/>
                <w:snapToGrid/>
                <w:color w:val="auto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1"/>
                <w:sz w:val="18"/>
                <w:szCs w:val="18"/>
                <w:lang w:val="en-US" w:eastAsia="zh-CN"/>
              </w:rPr>
              <w:t>物流量及《综合货运枢纽分类与基本要求》（JT/T1111-2017）</w:t>
            </w: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3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货运作业区（邮件处理中心）</w:t>
            </w:r>
          </w:p>
        </w:tc>
        <w:tc>
          <w:tcPr>
            <w:tcW w:w="5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13.5231</w:t>
            </w: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13.5231</w:t>
            </w:r>
          </w:p>
        </w:tc>
        <w:tc>
          <w:tcPr>
            <w:tcW w:w="3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firstLine="0" w:firstLineChars="0"/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1"/>
                <w:sz w:val="18"/>
                <w:szCs w:val="18"/>
                <w:lang w:val="en-US" w:eastAsia="zh-CN"/>
              </w:rPr>
              <w:t>物流量及《综合货运枢纽分类与基本要求》（JT/T1111-2017）</w:t>
            </w: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货运作业区（应急物资储备中心）</w:t>
            </w:r>
          </w:p>
        </w:tc>
        <w:tc>
          <w:tcPr>
            <w:tcW w:w="5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19.0348</w:t>
            </w: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19.0348</w:t>
            </w:r>
          </w:p>
        </w:tc>
        <w:tc>
          <w:tcPr>
            <w:tcW w:w="3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firstLine="0" w:firstLineChars="0"/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1"/>
                <w:sz w:val="18"/>
                <w:szCs w:val="18"/>
                <w:lang w:val="en-US" w:eastAsia="zh-CN"/>
              </w:rPr>
              <w:t>物流量及《综合货运枢纽分类与基本要求》（JT/T1111-2017）</w:t>
            </w: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货运作业区（制氢站及综合能源服务设施）</w:t>
            </w:r>
          </w:p>
        </w:tc>
        <w:tc>
          <w:tcPr>
            <w:tcW w:w="5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9.9610</w:t>
            </w: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9.9610</w:t>
            </w:r>
          </w:p>
        </w:tc>
        <w:tc>
          <w:tcPr>
            <w:tcW w:w="3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按十四五交通规划，设置制氢站及综合能源设施功能区1处</w:t>
            </w:r>
          </w:p>
        </w:tc>
        <w:tc>
          <w:tcPr>
            <w:tcW w:w="1246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货运作业区（其他设施）</w:t>
            </w:r>
          </w:p>
        </w:tc>
        <w:tc>
          <w:tcPr>
            <w:tcW w:w="5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1.5404</w:t>
            </w:r>
          </w:p>
        </w:tc>
        <w:tc>
          <w:tcPr>
            <w:tcW w:w="94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1.7676</w:t>
            </w:r>
          </w:p>
        </w:tc>
        <w:tc>
          <w:tcPr>
            <w:tcW w:w="34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ind w:firstLine="0" w:firstLineChars="0"/>
              <w:jc w:val="both"/>
              <w:rPr>
                <w:rFonts w:hint="default" w:ascii="宋体" w:hAnsi="宋体" w:eastAsia="仿宋_GB2312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建标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  <w:lang w:val="en-US" w:eastAsia="zh-CN"/>
              </w:rPr>
              <w:t>〔2010〕78号、建标152-2017及铁路物流中心设计规范</w:t>
            </w:r>
          </w:p>
        </w:tc>
        <w:tc>
          <w:tcPr>
            <w:tcW w:w="1246" w:type="dxa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9459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44" w:line="218" w:lineRule="auto"/>
              <w:ind w:firstLine="44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说明开展节地评价论证情况:</w:t>
            </w:r>
          </w:p>
          <w:p>
            <w:pPr>
              <w:spacing w:before="44" w:line="218" w:lineRule="auto"/>
              <w:ind w:firstLine="44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bidi="ar"/>
              </w:rPr>
              <w:t>该项目用地规模、功能配置及用地指标都符合要求，符合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节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bidi="ar"/>
              </w:rPr>
              <w:t>约集约用地标准。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1684" w:type="dxa"/>
            <w:gridSpan w:val="2"/>
            <w:tcBorders>
              <w:top w:val="single" w:color="000000" w:sz="2" w:space="0"/>
              <w:bottom w:val="nil"/>
            </w:tcBorders>
          </w:tcPr>
          <w:p>
            <w:pPr>
              <w:spacing w:line="308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308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309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县人民政府自然资源主管部门审核意见</w:t>
            </w:r>
          </w:p>
          <w:p>
            <w:pPr>
              <w:spacing w:before="65" w:line="229" w:lineRule="auto"/>
              <w:ind w:left="364" w:right="58" w:hanging="300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75" w:type="dxa"/>
            <w:gridSpan w:val="6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684" w:type="dxa"/>
            <w:gridSpan w:val="2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75" w:type="dxa"/>
            <w:gridSpan w:val="6"/>
            <w:tcBorders>
              <w:top w:val="nil"/>
              <w:bottom w:val="single" w:color="000000" w:sz="2" w:space="0"/>
            </w:tcBorders>
          </w:tcPr>
          <w:p>
            <w:pPr>
              <w:spacing w:line="356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pict>
                <v:shape id="_x0000_s1029" o:spid="_x0000_s1029" o:spt="202" type="#_x0000_t202" style="position:absolute;left:0pt;margin-left:182.9pt;margin-top:20.85pt;height:10.95pt;width:22.1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before="20" w:line="220" w:lineRule="auto"/>
                          <w:ind w:firstLine="2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w w:val="101"/>
                            <w:sz w:val="15"/>
                            <w:szCs w:val="15"/>
                          </w:rPr>
                          <w:t>日期;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before="49" w:line="219" w:lineRule="auto"/>
              <w:ind w:firstLine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主管领导: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</w:trPr>
        <w:tc>
          <w:tcPr>
            <w:tcW w:w="1684" w:type="dxa"/>
            <w:gridSpan w:val="2"/>
            <w:tcBorders>
              <w:top w:val="single" w:color="000000" w:sz="2" w:space="0"/>
              <w:bottom w:val="nil"/>
            </w:tcBorders>
          </w:tcPr>
          <w:p>
            <w:pPr>
              <w:spacing w:line="308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308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spacing w:line="309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县人民政府审核意见</w:t>
            </w:r>
          </w:p>
          <w:p>
            <w:pPr>
              <w:spacing w:before="65" w:line="238" w:lineRule="auto"/>
              <w:ind w:left="763" w:right="458" w:hanging="29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75" w:type="dxa"/>
            <w:gridSpan w:val="6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84" w:type="dxa"/>
            <w:gridSpan w:val="2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775" w:type="dxa"/>
            <w:gridSpan w:val="6"/>
            <w:tcBorders>
              <w:top w:val="nil"/>
              <w:bottom w:val="single" w:color="000000" w:sz="2" w:space="0"/>
            </w:tcBorders>
          </w:tcPr>
          <w:p>
            <w:pPr>
              <w:spacing w:line="445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pict>
                <v:shape id="_x0000_s1030" o:spid="_x0000_s1030" o:spt="202" type="#_x0000_t202" style="position:absolute;left:0pt;margin-left:183.9pt;margin-top:24.35pt;height:10.95pt;width:22.0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pacing w:before="20" w:line="220" w:lineRule="auto"/>
                          <w:ind w:firstLine="2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w w:val="101"/>
                            <w:sz w:val="15"/>
                            <w:szCs w:val="15"/>
                          </w:rPr>
                          <w:t>日期: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before="49" w:line="219" w:lineRule="auto"/>
              <w:ind w:firstLine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主管领导;</w:t>
            </w:r>
          </w:p>
        </w:tc>
      </w:tr>
    </w:tbl>
    <w:p/>
    <w:sectPr>
      <w:footerReference r:id="rId3" w:type="default"/>
      <w:pgSz w:w="12040" w:h="16860"/>
      <w:pgMar w:top="400" w:right="1690" w:bottom="400" w:left="177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displayBackgroundShape w:val="1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DUyNmVjYjA0YWI0YWViOTYxODBmNzIzYTQ3MTRlMmEifQ=="/>
  </w:docVars>
  <w:rsids>
    <w:rsidRoot w:val="000F4974"/>
    <w:rsid w:val="00042ED7"/>
    <w:rsid w:val="00061FE0"/>
    <w:rsid w:val="00090128"/>
    <w:rsid w:val="000F4974"/>
    <w:rsid w:val="00131EE6"/>
    <w:rsid w:val="0014089A"/>
    <w:rsid w:val="00170EC7"/>
    <w:rsid w:val="00185E6B"/>
    <w:rsid w:val="00215B3D"/>
    <w:rsid w:val="00231E2D"/>
    <w:rsid w:val="0023669B"/>
    <w:rsid w:val="002475AC"/>
    <w:rsid w:val="002500B1"/>
    <w:rsid w:val="00251300"/>
    <w:rsid w:val="002A70A0"/>
    <w:rsid w:val="003132A2"/>
    <w:rsid w:val="00380FA2"/>
    <w:rsid w:val="00381BF8"/>
    <w:rsid w:val="00394CB6"/>
    <w:rsid w:val="004554F4"/>
    <w:rsid w:val="0046517E"/>
    <w:rsid w:val="00482BB5"/>
    <w:rsid w:val="004A309E"/>
    <w:rsid w:val="004B035F"/>
    <w:rsid w:val="004E6432"/>
    <w:rsid w:val="00560058"/>
    <w:rsid w:val="0056013C"/>
    <w:rsid w:val="00591C39"/>
    <w:rsid w:val="005D0716"/>
    <w:rsid w:val="005E1AB6"/>
    <w:rsid w:val="005E2B0D"/>
    <w:rsid w:val="005F48AE"/>
    <w:rsid w:val="00604998"/>
    <w:rsid w:val="0061335F"/>
    <w:rsid w:val="006F7AF6"/>
    <w:rsid w:val="00703869"/>
    <w:rsid w:val="0071477D"/>
    <w:rsid w:val="00737DD0"/>
    <w:rsid w:val="007F01E0"/>
    <w:rsid w:val="00843812"/>
    <w:rsid w:val="008D0D0C"/>
    <w:rsid w:val="008D191C"/>
    <w:rsid w:val="008D7189"/>
    <w:rsid w:val="008E511B"/>
    <w:rsid w:val="00935A49"/>
    <w:rsid w:val="00977669"/>
    <w:rsid w:val="009967E3"/>
    <w:rsid w:val="009E067B"/>
    <w:rsid w:val="00A4242D"/>
    <w:rsid w:val="00A55E7B"/>
    <w:rsid w:val="00A65026"/>
    <w:rsid w:val="00A74118"/>
    <w:rsid w:val="00AD0400"/>
    <w:rsid w:val="00B50F08"/>
    <w:rsid w:val="00B93154"/>
    <w:rsid w:val="00BA50D5"/>
    <w:rsid w:val="00BB7BE5"/>
    <w:rsid w:val="00BE0741"/>
    <w:rsid w:val="00C45F20"/>
    <w:rsid w:val="00C856D7"/>
    <w:rsid w:val="00D55579"/>
    <w:rsid w:val="00D623E9"/>
    <w:rsid w:val="00DC3184"/>
    <w:rsid w:val="00E32652"/>
    <w:rsid w:val="00E520A6"/>
    <w:rsid w:val="00EC2025"/>
    <w:rsid w:val="00EF336D"/>
    <w:rsid w:val="00F90CD3"/>
    <w:rsid w:val="00FA6FE1"/>
    <w:rsid w:val="00FE7EB7"/>
    <w:rsid w:val="00FF0E66"/>
    <w:rsid w:val="03316BC4"/>
    <w:rsid w:val="04714B20"/>
    <w:rsid w:val="047C1BB9"/>
    <w:rsid w:val="052E656D"/>
    <w:rsid w:val="05551D4C"/>
    <w:rsid w:val="072F15FC"/>
    <w:rsid w:val="08D51B22"/>
    <w:rsid w:val="09A861E6"/>
    <w:rsid w:val="0B554854"/>
    <w:rsid w:val="0BBF6171"/>
    <w:rsid w:val="0E2C1D0A"/>
    <w:rsid w:val="0E5E6115"/>
    <w:rsid w:val="0F20161D"/>
    <w:rsid w:val="105A46BB"/>
    <w:rsid w:val="10C5247C"/>
    <w:rsid w:val="113B273E"/>
    <w:rsid w:val="13314E8A"/>
    <w:rsid w:val="13790587"/>
    <w:rsid w:val="166E0EC0"/>
    <w:rsid w:val="19AA66B3"/>
    <w:rsid w:val="1A66082C"/>
    <w:rsid w:val="1C4F3541"/>
    <w:rsid w:val="1CA078F9"/>
    <w:rsid w:val="1CCC6940"/>
    <w:rsid w:val="1CE54DC2"/>
    <w:rsid w:val="1D4209B0"/>
    <w:rsid w:val="1F90634B"/>
    <w:rsid w:val="1FF16DE9"/>
    <w:rsid w:val="21222FD3"/>
    <w:rsid w:val="22F32E79"/>
    <w:rsid w:val="23FD46CB"/>
    <w:rsid w:val="243279D1"/>
    <w:rsid w:val="2483022C"/>
    <w:rsid w:val="25145328"/>
    <w:rsid w:val="25407ECB"/>
    <w:rsid w:val="25BD151C"/>
    <w:rsid w:val="276F6846"/>
    <w:rsid w:val="27F154AD"/>
    <w:rsid w:val="28760EC1"/>
    <w:rsid w:val="2B0717C1"/>
    <w:rsid w:val="2C732934"/>
    <w:rsid w:val="2D48172D"/>
    <w:rsid w:val="2D8F379E"/>
    <w:rsid w:val="2EA8720D"/>
    <w:rsid w:val="2F715851"/>
    <w:rsid w:val="307A6987"/>
    <w:rsid w:val="319E48F7"/>
    <w:rsid w:val="31E73FD5"/>
    <w:rsid w:val="33291F9F"/>
    <w:rsid w:val="337B72C0"/>
    <w:rsid w:val="34E659E3"/>
    <w:rsid w:val="35CF3DA3"/>
    <w:rsid w:val="35E93C67"/>
    <w:rsid w:val="35FC399A"/>
    <w:rsid w:val="364041CF"/>
    <w:rsid w:val="36BD5820"/>
    <w:rsid w:val="36E67CE5"/>
    <w:rsid w:val="37103BA1"/>
    <w:rsid w:val="37DD29AC"/>
    <w:rsid w:val="395A75BD"/>
    <w:rsid w:val="3A12378C"/>
    <w:rsid w:val="3B6F41E0"/>
    <w:rsid w:val="3B8A37F6"/>
    <w:rsid w:val="3C6D55F2"/>
    <w:rsid w:val="3D5227F9"/>
    <w:rsid w:val="3D540560"/>
    <w:rsid w:val="3DBF1E7D"/>
    <w:rsid w:val="3DD82F3F"/>
    <w:rsid w:val="3DEA67CE"/>
    <w:rsid w:val="403221B3"/>
    <w:rsid w:val="41594397"/>
    <w:rsid w:val="416C231C"/>
    <w:rsid w:val="42D926D5"/>
    <w:rsid w:val="43413334"/>
    <w:rsid w:val="449C6A74"/>
    <w:rsid w:val="44D426B2"/>
    <w:rsid w:val="456F274C"/>
    <w:rsid w:val="45837C34"/>
    <w:rsid w:val="46AF05B5"/>
    <w:rsid w:val="48C540C0"/>
    <w:rsid w:val="49E50EBD"/>
    <w:rsid w:val="4A4D7D9B"/>
    <w:rsid w:val="4B667DDC"/>
    <w:rsid w:val="4BA32DDE"/>
    <w:rsid w:val="4C975D73"/>
    <w:rsid w:val="50A8054F"/>
    <w:rsid w:val="514E5A05"/>
    <w:rsid w:val="517174DB"/>
    <w:rsid w:val="52FF1D8B"/>
    <w:rsid w:val="53B86CFB"/>
    <w:rsid w:val="53DF072C"/>
    <w:rsid w:val="53EB5322"/>
    <w:rsid w:val="56206DD9"/>
    <w:rsid w:val="565F7902"/>
    <w:rsid w:val="592F5CB1"/>
    <w:rsid w:val="5AFA22EF"/>
    <w:rsid w:val="5BAF6C35"/>
    <w:rsid w:val="5DAA7DC9"/>
    <w:rsid w:val="5DEF3C61"/>
    <w:rsid w:val="5F9A5E4E"/>
    <w:rsid w:val="60825B30"/>
    <w:rsid w:val="60AF1486"/>
    <w:rsid w:val="61C86CA3"/>
    <w:rsid w:val="61E138C1"/>
    <w:rsid w:val="620D0B5A"/>
    <w:rsid w:val="62190E0E"/>
    <w:rsid w:val="623F6839"/>
    <w:rsid w:val="6271733B"/>
    <w:rsid w:val="641E1DB5"/>
    <w:rsid w:val="64436AB5"/>
    <w:rsid w:val="64CE3B78"/>
    <w:rsid w:val="665705F5"/>
    <w:rsid w:val="670047E9"/>
    <w:rsid w:val="67AB6E4B"/>
    <w:rsid w:val="68515686"/>
    <w:rsid w:val="69603C65"/>
    <w:rsid w:val="6AAD2EDA"/>
    <w:rsid w:val="6AE461D0"/>
    <w:rsid w:val="6BE0028C"/>
    <w:rsid w:val="6CFC1620"/>
    <w:rsid w:val="6D2C27DC"/>
    <w:rsid w:val="6D325918"/>
    <w:rsid w:val="6D5136A1"/>
    <w:rsid w:val="6D97577B"/>
    <w:rsid w:val="6E47674F"/>
    <w:rsid w:val="6E9371BE"/>
    <w:rsid w:val="6FD827A7"/>
    <w:rsid w:val="70CE7706"/>
    <w:rsid w:val="71970440"/>
    <w:rsid w:val="71A92259"/>
    <w:rsid w:val="72907369"/>
    <w:rsid w:val="74B82BA7"/>
    <w:rsid w:val="74BA691F"/>
    <w:rsid w:val="74F82FA3"/>
    <w:rsid w:val="754E0E15"/>
    <w:rsid w:val="784C3D32"/>
    <w:rsid w:val="785E3A65"/>
    <w:rsid w:val="7931090C"/>
    <w:rsid w:val="79AC5C8A"/>
    <w:rsid w:val="79BD2A0E"/>
    <w:rsid w:val="79E32474"/>
    <w:rsid w:val="7AD375E4"/>
    <w:rsid w:val="7C1E3C37"/>
    <w:rsid w:val="7C30396B"/>
    <w:rsid w:val="7D5176F5"/>
    <w:rsid w:val="7E1C7D03"/>
    <w:rsid w:val="7E2E7A36"/>
    <w:rsid w:val="7E8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spacing w:line="580" w:lineRule="exact"/>
      <w:ind w:firstLine="643" w:firstLineChars="200"/>
      <w:outlineLvl w:val="2"/>
    </w:pPr>
    <w:rPr>
      <w:rFonts w:ascii="Times New Roman" w:hAnsi="Times New Roman" w:eastAsia="仿宋_GB2312"/>
      <w:b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18"/>
    <w:qFormat/>
    <w:uiPriority w:val="0"/>
    <w:rPr>
      <w:b/>
      <w:bCs/>
    </w:rPr>
  </w:style>
  <w:style w:type="paragraph" w:styleId="5">
    <w:name w:val="annotation text"/>
    <w:basedOn w:val="1"/>
    <w:link w:val="17"/>
    <w:qFormat/>
    <w:uiPriority w:val="0"/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table" w:customStyle="1" w:styleId="13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Char"/>
    <w:basedOn w:val="10"/>
    <w:link w:val="8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5">
    <w:name w:val="页脚 Char"/>
    <w:basedOn w:val="10"/>
    <w:link w:val="7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6">
    <w:name w:val="批注框文本 Char"/>
    <w:basedOn w:val="10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7">
    <w:name w:val="批注文字 Char"/>
    <w:basedOn w:val="10"/>
    <w:link w:val="5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8">
    <w:name w:val="批注主题 Char"/>
    <w:basedOn w:val="17"/>
    <w:link w:val="4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paragraph" w:customStyle="1" w:styleId="19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20">
    <w:name w:val="标题 1 Char"/>
    <w:basedOn w:val="10"/>
    <w:link w:val="2"/>
    <w:qFormat/>
    <w:uiPriority w:val="0"/>
    <w:rPr>
      <w:rFonts w:ascii="Arial" w:hAnsi="Arial" w:eastAsia="Arial" w:cs="Arial"/>
      <w:b/>
      <w:bCs/>
      <w:snapToGrid w:val="0"/>
      <w:color w:val="000000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1415</Words>
  <Characters>1821</Characters>
  <Lines>64</Lines>
  <Paragraphs>18</Paragraphs>
  <TotalTime>0</TotalTime>
  <ScaleCrop>false</ScaleCrop>
  <LinksUpToDate>false</LinksUpToDate>
  <CharactersWithSpaces>1833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2022-05-23T12:04:00Z</dcterms:created>
  <dc:creator>Kingsoft-PDF</dc:creator>
  <cp:keywords>628b07b2b2ef130015b4aee4</cp:keywords>
  <cp:lastModifiedBy>温振锋</cp:lastModifiedBy>
  <cp:lastPrinted>2022-07-01T01:38:00Z</cp:lastPrinted>
  <dcterms:modified xsi:type="dcterms:W3CDTF">2022-12-02T08:53:43Z</dcterms:modified>
  <dc:subject>pdfbuilder</dc:subject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2022-05-23T12:04:54Z</vt:filetime>
  </property>
  <property fmtid="{D5CDD505-2E9C-101B-9397-08002B2CF9AE}" pid="4" name="KSOProductBuildVer">
    <vt:lpwstr>2052-10.8.0.6253</vt:lpwstr>
  </property>
  <property fmtid="{D5CDD505-2E9C-101B-9397-08002B2CF9AE}" pid="5" name="ICV">
    <vt:lpwstr>B87F811D6B2E41CFA680E633E96AA4A3</vt:lpwstr>
  </property>
</Properties>
</file>