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征地补偿安置方案</w:t>
      </w:r>
    </w:p>
    <w:p>
      <w:pPr>
        <w:ind w:firstLine="1980" w:firstLineChars="450"/>
        <w:rPr>
          <w:rFonts w:hint="eastAsia" w:ascii="宋体" w:hAnsi="宋体" w:cs="宋体"/>
          <w:bCs/>
          <w:kern w:val="0"/>
          <w:sz w:val="44"/>
          <w:szCs w:val="44"/>
        </w:rPr>
      </w:pPr>
    </w:p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为实施广州市增城区中新镇建设规划，完善城市功能，改善城市环境，促进股份经济、文化发展。拟征收中新镇乌石村大公一股份经济合作社、乌石村大公二股份经济合作社、乌石村大公三股份经济合作社、乌石村大公四股份经济合作社、乌石村大公五股份经济合作社的集体土地共</w:t>
      </w:r>
      <w:r>
        <w:rPr>
          <w:rFonts w:hint="eastAsia" w:ascii="仿宋_GB2312" w:hAnsi="仿宋_GB2312" w:eastAsia="仿宋_GB2312" w:cs="仿宋_GB2312"/>
          <w:sz w:val="32"/>
          <w:szCs w:val="32"/>
        </w:rPr>
        <w:t>6.6267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顷（具体范围以被征地单位确认的征地红线图为准），为切实做好安置补偿工作，确保征地工作顺利进行，根据《中华人民共和国土地管理法》、《广东省实施&lt;中华人民共和国土地管理法&gt;办法》等规定，拟定了征地补偿安置方案，并予以公告，具体征地安置补偿情况如下：</w:t>
      </w:r>
    </w:p>
    <w:p>
      <w:pPr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一、征收集体土地情况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征收集体土地总面积</w:t>
      </w:r>
      <w:r>
        <w:rPr>
          <w:rFonts w:hint="eastAsia" w:ascii="仿宋_GB2312" w:hAnsi="仿宋_GB2312" w:eastAsia="仿宋_GB2312" w:cs="仿宋_GB2312"/>
          <w:sz w:val="32"/>
          <w:szCs w:val="32"/>
        </w:rPr>
        <w:t>6.6267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公顷，征收集体土地的地类为</w:t>
      </w:r>
      <w:r>
        <w:rPr>
          <w:rFonts w:hint="eastAsia" w:ascii="仿宋_GB2312" w:eastAsia="仿宋_GB2312"/>
          <w:sz w:val="32"/>
          <w:szCs w:val="32"/>
        </w:rPr>
        <w:t>农用地6.6267公顷（其中耕地5.8373公顷、园地0.4020公顷、林地0.0008公顷、其他农用地&lt;不含养殖水面&gt;0.3866公顷）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。</w:t>
      </w:r>
    </w:p>
    <w:p>
      <w:pPr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二、征地补偿标准</w:t>
      </w:r>
    </w:p>
    <w:p>
      <w:pPr>
        <w:numPr>
          <w:ilvl w:val="0"/>
          <w:numId w:val="1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土地补偿和安置补助。根据已经实施的区片综合地价，征收上述6.6267公顷集体土地的区片综合地价标准为165.0000万元/公顷（土地补偿费标准为82.5000万元/公顷、安置补助费标准为82.5000万元/公顷），土地补偿总费用为1093.4055万元。</w:t>
      </w:r>
    </w:p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（二）青苗补偿费155.064万元由</w:t>
      </w:r>
      <w:r>
        <w:rPr>
          <w:rFonts w:hint="eastAsia" w:ascii="仿宋_GB2312" w:eastAsia="仿宋_GB2312"/>
          <w:sz w:val="32"/>
          <w:szCs w:val="32"/>
        </w:rPr>
        <w:t>广州市增城区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中新镇乌石村大公一股份经济合作社、乌石村大公二股份经济合作社、乌石村大公三股份经济合作社、乌石村大公四股份经济合作社、乌石村大公五股份经济合作社</w:t>
      </w:r>
      <w:r>
        <w:rPr>
          <w:rFonts w:hint="eastAsia" w:ascii="仿宋_GB2312" w:eastAsia="仿宋_GB2312"/>
          <w:sz w:val="32"/>
          <w:szCs w:val="32"/>
        </w:rPr>
        <w:t>转付</w:t>
      </w:r>
      <w:r>
        <w:rPr>
          <w:rFonts w:hint="eastAsia" w:ascii="仿宋_GB2312" w:hAnsi="仿宋_GB2312" w:eastAsia="仿宋_GB2312" w:cs="仿宋_GB2312"/>
          <w:sz w:val="32"/>
          <w:szCs w:val="32"/>
        </w:rPr>
        <w:t>土地承包者</w:t>
      </w:r>
      <w:r>
        <w:rPr>
          <w:rFonts w:hint="eastAsia" w:ascii="仿宋_GB2312" w:eastAsia="仿宋_GB2312"/>
          <w:sz w:val="32"/>
          <w:szCs w:val="32"/>
        </w:rPr>
        <w:t>。青苗暂按此补偿，待日后清算确认后如不足的，将补足差额部份。</w:t>
      </w:r>
    </w:p>
    <w:p>
      <w:pPr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三、安置措施情况</w:t>
      </w:r>
    </w:p>
    <w:p>
      <w:pPr>
        <w:ind w:firstLine="627" w:firstLineChars="196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为妥善安置被征地农民，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切实解决被征地农民的生产生活出路，在保证货币安置落实的同时，该征收集体土地将按穗府办规〔2018〕17号文件的规定，按实际征地面积的10%比例(即0.6627公顷) 在</w:t>
      </w:r>
      <w:r>
        <w:rPr>
          <w:rFonts w:hint="eastAsia" w:eastAsia="仿宋_GB2312"/>
          <w:sz w:val="32"/>
          <w:szCs w:val="32"/>
        </w:rPr>
        <w:t>被征地村</w:t>
      </w:r>
      <w:r>
        <w:rPr>
          <w:rFonts w:eastAsia="仿宋_GB2312"/>
          <w:sz w:val="32"/>
          <w:szCs w:val="32"/>
        </w:rPr>
        <w:t>范围内另外选址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落实留用地；给上述被征地农民落实基本</w:t>
      </w:r>
      <w:r>
        <w:rPr>
          <w:rFonts w:hint="eastAsia" w:ascii="仿宋_GB2312" w:hAnsi="宋体" w:eastAsia="仿宋_GB2312"/>
          <w:sz w:val="32"/>
          <w:szCs w:val="32"/>
        </w:rPr>
        <w:t>养老保险和培训就业等社会保障措施，以确保被征地农民的原有生活水平不降低，长远生计有保障，具体将按省的留用地安置和征地社会保障实施方案办理。</w:t>
      </w:r>
    </w:p>
    <w:p>
      <w:pPr>
        <w:ind w:firstLine="627" w:firstLineChars="196"/>
        <w:rPr>
          <w:rFonts w:hint="eastAsia" w:ascii="仿宋_GB2312" w:hAnsi="宋体" w:eastAsia="仿宋_GB2312"/>
          <w:sz w:val="32"/>
          <w:szCs w:val="32"/>
        </w:rPr>
      </w:pPr>
    </w:p>
    <w:p>
      <w:pPr>
        <w:ind w:right="1120"/>
        <w:jc w:val="center"/>
        <w:rPr>
          <w:rFonts w:hint="eastAsia" w:ascii="仿宋_GB2312" w:hAnsi="宋体" w:eastAsia="仿宋_GB2312"/>
          <w:sz w:val="32"/>
          <w:szCs w:val="32"/>
        </w:rPr>
      </w:pPr>
    </w:p>
    <w:p>
      <w:pPr>
        <w:ind w:right="1120"/>
        <w:jc w:val="center"/>
        <w:rPr>
          <w:rFonts w:hint="eastAsia" w:ascii="仿宋_GB2312" w:hAnsi="宋体" w:eastAsia="仿宋_GB2312"/>
          <w:sz w:val="32"/>
          <w:szCs w:val="32"/>
        </w:rPr>
      </w:pPr>
      <w:bookmarkStart w:id="0" w:name="_GoBack"/>
      <w:bookmarkEnd w:id="0"/>
    </w:p>
    <w:p>
      <w:pPr>
        <w:ind w:right="1120"/>
        <w:jc w:val="center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</w:t>
      </w:r>
    </w:p>
    <w:p>
      <w:pPr>
        <w:ind w:right="1120"/>
        <w:jc w:val="center"/>
        <w:rPr>
          <w:rFonts w:hint="eastAsia" w:ascii="仿宋_GB2312" w:hAnsi="宋体" w:eastAsia="仿宋_GB2312"/>
          <w:sz w:val="32"/>
          <w:szCs w:val="32"/>
        </w:rPr>
      </w:pPr>
    </w:p>
    <w:p>
      <w:pPr>
        <w:ind w:right="1120"/>
        <w:jc w:val="center"/>
        <w:rPr>
          <w:rFonts w:hint="eastAsia" w:ascii="仿宋_GB2312" w:hAnsi="宋体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80F8D"/>
    <w:multiLevelType w:val="singleLevel"/>
    <w:tmpl w:val="60780F8D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2C74AE"/>
    <w:rsid w:val="018241DF"/>
    <w:rsid w:val="312C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2022-12-07T09:05:00Z</dcterms:created>
  <dc:creator>Administrator</dc:creator>
  <cp:lastModifiedBy>Administrator</cp:lastModifiedBy>
  <dcterms:modified xsi:type="dcterms:W3CDTF">2022-12-07T09:06:13Z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