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荔湖街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建设规划，完善城市功能，改善城市环境，促进经济、文化发展。拟征收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荔湖街光明村沐鱼岭股份经济合作社、明星村股份经济联合社、安和股份经济合作社、横岭经济合作社、田心股份经济合作社、椅二股份经济合作社（椅一股份经济合作社）共有的土地面积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8.5881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为切实做好安置补偿工作，确保征地工作顺利进行，根据《中华人民共和国土地管理法》、《广东省实施&lt;中华人民共和国土地管理法&gt;办法》等规定，结合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荔湖街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实际情况拟定了征地补偿安置方案，并予以公告，具体征地安置补偿情况如下：</w:t>
      </w:r>
    </w:p>
    <w:p>
      <w:pPr>
        <w:numPr>
          <w:ilvl w:val="0"/>
          <w:numId w:val="1"/>
        </w:numPr>
        <w:spacing w:line="54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8.5881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公顷，征收集体土地的地类为农用地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8.4175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耕地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0.4853公顷、园地5.6634公顷、林地1.8646公顷、其他农用地0.4042公顷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，未利用地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0.1706公顷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征地补偿标准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8.5881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万元/公顷），土地补偿总费用为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1417.0365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青苗补偿费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502.4039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荔湖街光明村、明星村被征地权属单位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转付土地承包者。青苗暂按此补偿，待日后清点确认后，按实际情况予以补偿。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宋体"/>
          <w:kern w:val="0"/>
          <w:sz w:val="32"/>
          <w:szCs w:val="32"/>
        </w:rPr>
        <w:t>、安置措施情况</w:t>
      </w: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为妥善安置被征地农民，切实解决被征地农民的生产生活出路，在保证货币安置落实的同时，该征收集体土地将按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省、市相关文件的规定，按实际征地面积的10%（含异村提留、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0.8594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）计提留用地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，在本批次内一并报批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给上述被征地农民落实基本</w:t>
      </w:r>
      <w:r>
        <w:rPr>
          <w:rFonts w:hint="eastAsia" w:ascii="仿宋_GB2312" w:hAnsi="宋体" w:eastAsia="仿宋_GB2312"/>
          <w:sz w:val="32"/>
          <w:szCs w:val="32"/>
        </w:rPr>
        <w:t>养老保险和培训就业等社会保障措施，以确保被征地农民的原有生活水平不降低，长远生计有保障，具体将按省的留用地安置和征地社会保障实施方案办理。</w:t>
      </w: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</w:t>
      </w: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荔湖街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建设规划，完善城市功能，改善城市环境，促进经济、文化发展。拟征收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荔湖街明星村天合股份经济合作社、安和股份经济合作社共有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集体土</w:t>
      </w:r>
      <w:r>
        <w:rPr>
          <w:rFonts w:ascii="仿宋_GB2312" w:hAnsi="仿宋_GB2312" w:eastAsia="仿宋_GB2312" w:cs="仿宋_GB2312"/>
          <w:sz w:val="32"/>
          <w:szCs w:val="32"/>
        </w:rPr>
        <w:t>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0.8594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公顷，为切实做好安置补偿工作，确保征地工作顺利进行，根据《中华人民共和国土地管理法》、《广东省实施&lt;中华人民共和国土地管理法&gt;办法》等规定，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荔湖街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实际情况拟</w:t>
      </w:r>
      <w:r>
        <w:rPr>
          <w:rFonts w:hint="eastAsia" w:ascii="仿宋_GB2312" w:hAnsi="仿宋_GB2312" w:eastAsia="仿宋_GB2312" w:cs="仿宋_GB2312"/>
          <w:sz w:val="32"/>
          <w:szCs w:val="32"/>
        </w:rPr>
        <w:t>定了征地补偿安置方案，并予以公告，具体征地安置补偿情况如下：</w:t>
      </w:r>
    </w:p>
    <w:p>
      <w:pPr>
        <w:numPr>
          <w:ilvl w:val="0"/>
          <w:numId w:val="1"/>
        </w:numPr>
        <w:spacing w:line="54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征收集体土地总面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0.8594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公顷，征收集体土地的地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类为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0.8594公顷（园地0.81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53公顷、其他农用地0.0441公顷）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征地补偿标准</w:t>
      </w:r>
    </w:p>
    <w:p>
      <w:pPr>
        <w:numPr>
          <w:ilvl w:val="0"/>
          <w:numId w:val="2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0.8594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土地补偿总费用为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141.801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其中同村安置留用地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0.8539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公顷，土地补偿费用为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140.8935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万元，该部分不作实际补偿，故实际土地补偿款为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0.9075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万元。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青苗补偿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50.2749 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其中同村安置留用地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0.8539公顷的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青苗补偿费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49.9532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万元，该部分不作实际补偿，实际补偿暂按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0.3217万元，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待</w:t>
      </w:r>
      <w:r>
        <w:rPr>
          <w:rFonts w:hint="eastAsia" w:ascii="仿宋_GB2312" w:hAnsi="仿宋_GB2312" w:eastAsia="仿宋_GB2312" w:cs="仿宋_GB2312"/>
          <w:sz w:val="32"/>
          <w:szCs w:val="32"/>
        </w:rPr>
        <w:t>日后清点确认后，按实际情况予以补偿。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宋体"/>
          <w:kern w:val="0"/>
          <w:sz w:val="32"/>
          <w:szCs w:val="32"/>
        </w:rPr>
        <w:t>、安置措施情况</w:t>
      </w:r>
    </w:p>
    <w:p>
      <w:pPr>
        <w:ind w:firstLine="627" w:firstLineChars="196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为妥善安置被征地农民，切实解决被征地农民的生产生活出路，在保证货币安置落实的同时，由于该用地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0.0055公顷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批次城镇建设用地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eastAsia="仿宋_GB2312"/>
          <w:color w:val="auto"/>
          <w:sz w:val="32"/>
          <w:szCs w:val="32"/>
        </w:rPr>
        <w:t>涉及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荔湖街光明村、明星村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土地面积共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8.5881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公顷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征地项目的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异村安置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留用地，根据有关规定，预留经济发展用地，支付征地补偿费用，计提养老保障资金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；剩余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0.8539公顷为同村安置留用地，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不实际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支付征地补偿费用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详见省的留用地安置政策和被征地农民养老保障方案。</w:t>
      </w: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ESRI AMFM Electric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Letter Gothic">
    <w:altName w:val="Segoe Print"/>
    <w:panose1 w:val="020B0409020202030204"/>
    <w:charset w:val="00"/>
    <w:family w:val="auto"/>
    <w:pitch w:val="default"/>
    <w:sig w:usb0="00000000" w:usb1="00000000" w:usb2="00000000" w:usb3="00000000" w:csb0="00000093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΢ȭхڢ; line-height:23px;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ystem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27E17"/>
    <w:multiLevelType w:val="multilevel"/>
    <w:tmpl w:val="27227E17"/>
    <w:lvl w:ilvl="0" w:tentative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1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4E1F"/>
    <w:rsid w:val="003C1D22"/>
    <w:rsid w:val="00524E1F"/>
    <w:rsid w:val="023C6D03"/>
    <w:rsid w:val="04445A21"/>
    <w:rsid w:val="0751147B"/>
    <w:rsid w:val="07574BF1"/>
    <w:rsid w:val="1C353BCF"/>
    <w:rsid w:val="25BA27BE"/>
    <w:rsid w:val="28F77D4E"/>
    <w:rsid w:val="2CAD5732"/>
    <w:rsid w:val="31CE1D67"/>
    <w:rsid w:val="3B141793"/>
    <w:rsid w:val="49CB03CB"/>
    <w:rsid w:val="4F3F5222"/>
    <w:rsid w:val="5018524C"/>
    <w:rsid w:val="52D30EA3"/>
    <w:rsid w:val="54E60A5C"/>
    <w:rsid w:val="61A275AE"/>
    <w:rsid w:val="63526B42"/>
    <w:rsid w:val="636B681E"/>
    <w:rsid w:val="64AA06E9"/>
    <w:rsid w:val="6B4A2155"/>
    <w:rsid w:val="6DC329E0"/>
    <w:rsid w:val="71966A39"/>
    <w:rsid w:val="7200781D"/>
    <w:rsid w:val="73153F22"/>
    <w:rsid w:val="7F04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6"/>
    <w:qFormat/>
    <w:uiPriority w:val="0"/>
    <w:pPr>
      <w:jc w:val="left"/>
    </w:pPr>
  </w:style>
  <w:style w:type="paragraph" w:styleId="3">
    <w:name w:val="Balloon Text"/>
    <w:basedOn w:val="1"/>
    <w:link w:val="7"/>
    <w:unhideWhenUsed/>
    <w:qFormat/>
    <w:uiPriority w:val="99"/>
    <w:rPr>
      <w:sz w:val="18"/>
      <w:szCs w:val="18"/>
    </w:rPr>
  </w:style>
  <w:style w:type="character" w:customStyle="1" w:styleId="6">
    <w:name w:val="批注文字 Char"/>
    <w:basedOn w:val="4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">
    <w:name w:val="批注框文本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141</Words>
  <Characters>806</Characters>
  <Lines>6</Lines>
  <Paragraphs>1</Paragraphs>
  <ScaleCrop>false</ScaleCrop>
  <LinksUpToDate>false</LinksUpToDate>
  <CharactersWithSpaces>946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2021-04-25T06:28:00Z</dcterms:created>
  <dc:creator>钟启琤</dc:creator>
  <cp:lastModifiedBy>NTKO</cp:lastModifiedBy>
  <dcterms:modified xsi:type="dcterms:W3CDTF">2023-01-19T07:12:41Z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