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bidi w:val="0"/>
        <w:adjustRightInd/>
        <w:snapToGrid/>
        <w:spacing w:line="600" w:lineRule="exact"/>
        <w:ind w:firstLine="640" w:firstLineChars="200"/>
        <w:jc w:val="right"/>
        <w:textAlignment w:val="auto"/>
        <w:rPr>
          <w:rFonts w:hint="eastAsia" w:ascii="仿宋_GB2312" w:hAnsi="仿宋_GB2312" w:eastAsia="仿宋_GB2312" w:cs="仿宋_GB2312"/>
          <w:b w:val="0"/>
          <w:bCs/>
          <w:color w:val="auto"/>
          <w:kern w:val="0"/>
          <w:sz w:val="44"/>
          <w:szCs w:val="44"/>
          <w:highlight w:val="none"/>
          <w:lang w:val="en-US" w:eastAsia="zh-CN" w:bidi="ar"/>
        </w:rPr>
      </w:pPr>
      <w:r>
        <w:rPr>
          <w:rFonts w:hint="eastAsia" w:ascii="仿宋_GB2312" w:hAnsi="仿宋_GB2312" w:eastAsia="仿宋_GB2312" w:cs="仿宋_GB2312"/>
          <w:sz w:val="32"/>
          <w:szCs w:val="32"/>
          <w:lang w:val="en-US" w:eastAsia="zh-CN"/>
        </w:rPr>
        <w:t>粤府土审（授）〔202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en-US" w:eastAsia="zh-CN"/>
        </w:rPr>
        <w:t>〕13号</w:t>
      </w:r>
    </w:p>
    <w:p>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方正小标宋简体" w:cs="Times New Roman"/>
          <w:b w:val="0"/>
          <w:bCs/>
          <w:color w:val="auto"/>
          <w:kern w:val="0"/>
          <w:sz w:val="44"/>
          <w:szCs w:val="44"/>
          <w:highlight w:val="none"/>
          <w:lang w:val="en-US" w:eastAsia="zh-CN" w:bidi="ar"/>
        </w:rPr>
      </w:pPr>
    </w:p>
    <w:p>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方正小标宋简体" w:cs="Times New Roman"/>
          <w:b w:val="0"/>
          <w:bCs/>
          <w:color w:val="auto"/>
          <w:kern w:val="0"/>
          <w:sz w:val="44"/>
          <w:szCs w:val="44"/>
          <w:highlight w:val="none"/>
          <w:lang w:val="en-US" w:eastAsia="zh-CN" w:bidi="ar"/>
        </w:rPr>
      </w:pPr>
      <w:r>
        <w:rPr>
          <w:rFonts w:hint="default" w:ascii="Times New Roman" w:hAnsi="Times New Roman" w:eastAsia="方正小标宋简体" w:cs="Times New Roman"/>
          <w:b w:val="0"/>
          <w:bCs/>
          <w:color w:val="auto"/>
          <w:kern w:val="0"/>
          <w:sz w:val="44"/>
          <w:szCs w:val="44"/>
          <w:highlight w:val="none"/>
          <w:lang w:val="en-US" w:eastAsia="zh-CN" w:bidi="ar"/>
        </w:rPr>
        <w:t>广东省人民政府关于广州市增城区新塘镇永和河调蓄区建设工程项目</w:t>
      </w:r>
    </w:p>
    <w:p>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方正小标宋简体" w:cs="Times New Roman"/>
          <w:b w:val="0"/>
          <w:bCs/>
          <w:color w:val="auto"/>
          <w:kern w:val="0"/>
          <w:sz w:val="44"/>
          <w:szCs w:val="44"/>
          <w:highlight w:val="none"/>
          <w:lang w:val="en-US" w:eastAsia="zh-CN" w:bidi="ar"/>
        </w:rPr>
      </w:pPr>
      <w:r>
        <w:rPr>
          <w:rFonts w:hint="default" w:ascii="Times New Roman" w:hAnsi="Times New Roman" w:eastAsia="方正小标宋简体" w:cs="Times New Roman"/>
          <w:b w:val="0"/>
          <w:bCs/>
          <w:color w:val="auto"/>
          <w:spacing w:val="-6"/>
          <w:kern w:val="0"/>
          <w:sz w:val="44"/>
          <w:szCs w:val="44"/>
          <w:highlight w:val="none"/>
          <w:lang w:val="en-US" w:eastAsia="zh-CN" w:bidi="ar"/>
        </w:rPr>
        <w:t>建设用</w:t>
      </w:r>
      <w:r>
        <w:rPr>
          <w:rFonts w:hint="default" w:ascii="Times New Roman" w:hAnsi="Times New Roman" w:eastAsia="方正小标宋简体" w:cs="Times New Roman"/>
          <w:b w:val="0"/>
          <w:bCs/>
          <w:color w:val="auto"/>
          <w:kern w:val="0"/>
          <w:sz w:val="44"/>
          <w:szCs w:val="44"/>
          <w:highlight w:val="none"/>
          <w:lang w:val="en-US" w:eastAsia="zh-CN" w:bidi="ar"/>
        </w:rPr>
        <w:t>地的批复</w:t>
      </w:r>
    </w:p>
    <w:p>
      <w:pPr>
        <w:keepNext w:val="0"/>
        <w:keepLines w:val="0"/>
        <w:pageBreakBefore w:val="0"/>
        <w:widowControl/>
        <w:suppressLineNumbers w:val="0"/>
        <w:kinsoku/>
        <w:wordWrap/>
        <w:overflowPunct/>
        <w:topLinePunct w:val="0"/>
        <w:bidi w:val="0"/>
        <w:adjustRightInd/>
        <w:snapToGrid/>
        <w:spacing w:line="600" w:lineRule="exact"/>
        <w:jc w:val="center"/>
        <w:textAlignment w:val="auto"/>
        <w:rPr>
          <w:rFonts w:hint="default" w:ascii="Times New Roman" w:hAnsi="Times New Roman" w:eastAsia="楷体" w:cs="Times New Roman"/>
          <w:b w:val="0"/>
          <w:bCs/>
          <w:color w:val="auto"/>
          <w:kern w:val="0"/>
          <w:sz w:val="32"/>
          <w:szCs w:val="32"/>
          <w:highlight w:val="none"/>
          <w:lang w:val="en-US" w:eastAsia="zh-CN" w:bidi="ar"/>
        </w:rPr>
      </w:pPr>
    </w:p>
    <w:p>
      <w:pPr>
        <w:keepNext w:val="0"/>
        <w:keepLines w:val="0"/>
        <w:pageBreakBefore w:val="0"/>
        <w:widowControl/>
        <w:suppressLineNumbers w:val="0"/>
        <w:kinsoku/>
        <w:wordWrap/>
        <w:overflowPunct/>
        <w:topLinePunct w:val="0"/>
        <w:bidi w:val="0"/>
        <w:adjustRightInd/>
        <w:snapToGrid/>
        <w:spacing w:line="600" w:lineRule="exact"/>
        <w:jc w:val="center"/>
        <w:textAlignment w:val="auto"/>
        <w:rPr>
          <w:rFonts w:hint="default" w:ascii="Times New Roman" w:hAnsi="Times New Roman" w:eastAsia="楷体" w:cs="Times New Roman"/>
          <w:b w:val="0"/>
          <w:bCs/>
          <w:color w:val="auto"/>
          <w:kern w:val="0"/>
          <w:sz w:val="32"/>
          <w:szCs w:val="32"/>
          <w:highlight w:val="none"/>
          <w:lang w:val="en-US" w:eastAsia="zh-CN" w:bidi="ar"/>
        </w:rPr>
      </w:pPr>
    </w:p>
    <w:p>
      <w:pPr>
        <w:keepNext w:val="0"/>
        <w:keepLines w:val="0"/>
        <w:pageBreakBefore w:val="0"/>
        <w:widowControl/>
        <w:suppressLineNumbers w:val="0"/>
        <w:kinsoku/>
        <w:wordWrap/>
        <w:overflowPunct/>
        <w:topLinePunct w:val="0"/>
        <w:bidi w:val="0"/>
        <w:adjustRightInd/>
        <w:snapToGrid/>
        <w:spacing w:line="600" w:lineRule="exact"/>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bCs/>
          <w:color w:val="auto"/>
          <w:kern w:val="0"/>
          <w:sz w:val="32"/>
          <w:szCs w:val="32"/>
          <w:highlight w:val="none"/>
          <w:lang w:val="en-US" w:eastAsia="zh-CN" w:bidi="ar"/>
        </w:rPr>
        <w:t>广州市人</w:t>
      </w:r>
      <w:r>
        <w:rPr>
          <w:rFonts w:hint="eastAsia" w:ascii="仿宋_GB2312" w:hAnsi="仿宋_GB2312" w:eastAsia="仿宋_GB2312" w:cs="仿宋_GB2312"/>
          <w:color w:val="auto"/>
          <w:kern w:val="0"/>
          <w:sz w:val="32"/>
          <w:szCs w:val="32"/>
          <w:highlight w:val="none"/>
          <w:lang w:val="en-US" w:eastAsia="zh-CN" w:bidi="ar"/>
        </w:rPr>
        <w:t xml:space="preserve">民政府： </w:t>
      </w:r>
    </w:p>
    <w:p>
      <w:pPr>
        <w:keepNext w:val="0"/>
        <w:keepLines w:val="0"/>
        <w:pageBreakBefore w:val="0"/>
        <w:widowControl/>
        <w:suppressLineNumbers w:val="0"/>
        <w:kinsoku/>
        <w:wordWrap/>
        <w:overflowPunct/>
        <w:topLinePunct w:val="0"/>
        <w:bidi w:val="0"/>
        <w:adjustRightInd/>
        <w:snapToGrid/>
        <w:spacing w:line="60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sz w:val="32"/>
          <w:szCs w:val="32"/>
          <w:highlight w:val="none"/>
          <w:lang w:val="en-US" w:eastAsia="zh-CN"/>
        </w:rPr>
        <w:t>《广州市增城区人民政府关于申请广州市增城区新塘镇永和河调蓄区建设工程项目土地征收的请示</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（增府报〔2022〕70号</w:t>
      </w:r>
      <w:r>
        <w:rPr>
          <w:rFonts w:hint="eastAsia"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kern w:val="0"/>
          <w:sz w:val="32"/>
          <w:szCs w:val="32"/>
          <w:highlight w:val="none"/>
          <w:lang w:val="zh-CN" w:eastAsia="zh-CN" w:bidi="ar"/>
        </w:rPr>
        <w:t>收悉</w:t>
      </w:r>
      <w:r>
        <w:rPr>
          <w:rFonts w:hint="eastAsia" w:ascii="仿宋_GB2312" w:hAnsi="仿宋_GB2312" w:eastAsia="仿宋_GB2312" w:cs="仿宋_GB2312"/>
          <w:color w:val="auto"/>
          <w:kern w:val="0"/>
          <w:sz w:val="32"/>
          <w:szCs w:val="32"/>
          <w:highlight w:val="none"/>
          <w:lang w:val="en-US" w:eastAsia="zh-CN" w:bidi="ar"/>
        </w:rPr>
        <w:t>，现批复如下：</w:t>
      </w:r>
    </w:p>
    <w:p>
      <w:pPr>
        <w:keepNext w:val="0"/>
        <w:keepLines w:val="0"/>
        <w:pageBreakBefore w:val="0"/>
        <w:widowControl/>
        <w:suppressLineNumbers w:val="0"/>
        <w:kinsoku/>
        <w:wordWrap/>
        <w:overflowPunct/>
        <w:topLinePunct w:val="0"/>
        <w:bidi w:val="0"/>
        <w:adjustRightInd/>
        <w:snapToGrid/>
        <w:spacing w:line="60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一、同意你市增城区将农民集体所有农用</w:t>
      </w:r>
      <w:r>
        <w:rPr>
          <w:rFonts w:hint="eastAsia" w:ascii="仿宋_GB2312" w:hAnsi="仿宋_GB2312" w:eastAsia="仿宋_GB2312" w:cs="仿宋_GB2312"/>
          <w:color w:val="auto"/>
          <w:sz w:val="32"/>
          <w:szCs w:val="32"/>
          <w:highlight w:val="none"/>
          <w:lang w:val="en-US" w:eastAsia="zh-CN"/>
        </w:rPr>
        <w:t>地38.8430</w:t>
      </w:r>
      <w:r>
        <w:rPr>
          <w:rFonts w:hint="eastAsia" w:ascii="仿宋_GB2312" w:hAnsi="仿宋_GB2312" w:eastAsia="仿宋_GB2312" w:cs="仿宋_GB2312"/>
          <w:color w:val="auto"/>
          <w:kern w:val="0"/>
          <w:sz w:val="32"/>
          <w:szCs w:val="32"/>
          <w:highlight w:val="none"/>
          <w:lang w:val="en-US" w:eastAsia="zh-CN" w:bidi="ar"/>
        </w:rPr>
        <w:t>公顷（其中耕地10.5320公顷）和未利用地1.9536公顷转为建设用地并办理征地手续，</w:t>
      </w:r>
      <w:r>
        <w:rPr>
          <w:rFonts w:hint="eastAsia" w:ascii="仿宋_GB2312" w:hAnsi="仿宋_GB2312" w:eastAsia="仿宋_GB2312" w:cs="仿宋_GB2312"/>
          <w:color w:val="auto"/>
          <w:kern w:val="0"/>
          <w:sz w:val="32"/>
          <w:szCs w:val="32"/>
          <w:highlight w:val="none"/>
          <w:lang w:eastAsia="zh-CN" w:bidi="ar"/>
        </w:rPr>
        <w:t>另征收农民集体所有建设用地</w:t>
      </w:r>
      <w:r>
        <w:rPr>
          <w:rFonts w:hint="eastAsia" w:ascii="仿宋_GB2312" w:hAnsi="仿宋_GB2312" w:eastAsia="仿宋_GB2312" w:cs="仿宋_GB2312"/>
          <w:color w:val="auto"/>
          <w:sz w:val="32"/>
          <w:szCs w:val="32"/>
          <w:highlight w:val="none"/>
          <w:lang w:val="en-US" w:eastAsia="zh-CN"/>
        </w:rPr>
        <w:t>0.1376</w:t>
      </w:r>
      <w:r>
        <w:rPr>
          <w:rFonts w:hint="eastAsia" w:ascii="仿宋_GB2312" w:hAnsi="仿宋_GB2312" w:eastAsia="仿宋_GB2312" w:cs="仿宋_GB2312"/>
          <w:color w:val="auto"/>
          <w:kern w:val="0"/>
          <w:sz w:val="32"/>
          <w:szCs w:val="32"/>
          <w:highlight w:val="none"/>
          <w:lang w:eastAsia="zh-CN" w:bidi="ar"/>
        </w:rPr>
        <w:t>公顷。</w:t>
      </w:r>
      <w:r>
        <w:rPr>
          <w:rFonts w:hint="eastAsia" w:ascii="仿宋_GB2312" w:hAnsi="仿宋_GB2312" w:eastAsia="仿宋_GB2312" w:cs="仿宋_GB2312"/>
          <w:color w:val="auto"/>
          <w:kern w:val="0"/>
          <w:sz w:val="32"/>
          <w:szCs w:val="32"/>
          <w:highlight w:val="none"/>
          <w:lang w:val="en-US" w:eastAsia="zh-CN" w:bidi="ar"/>
        </w:rPr>
        <w:t>上述批准建设用地</w:t>
      </w:r>
      <w:r>
        <w:rPr>
          <w:rFonts w:hint="eastAsia" w:ascii="仿宋_GB2312" w:hAnsi="仿宋_GB2312" w:eastAsia="仿宋_GB2312" w:cs="仿宋_GB2312"/>
          <w:color w:val="auto"/>
          <w:sz w:val="32"/>
          <w:szCs w:val="32"/>
          <w:highlight w:val="none"/>
          <w:lang w:val="en-US" w:eastAsia="zh-CN"/>
        </w:rPr>
        <w:t>40.9342</w:t>
      </w:r>
      <w:r>
        <w:rPr>
          <w:rFonts w:hint="eastAsia" w:ascii="仿宋_GB2312" w:hAnsi="仿宋_GB2312" w:eastAsia="仿宋_GB2312" w:cs="仿宋_GB2312"/>
          <w:color w:val="auto"/>
          <w:kern w:val="0"/>
          <w:sz w:val="32"/>
          <w:szCs w:val="32"/>
          <w:highlight w:val="none"/>
          <w:lang w:val="en-US" w:eastAsia="zh-CN" w:bidi="ar"/>
        </w:rPr>
        <w:t>公顷，由当地人民政府依法依规供应，作为广州市增城区新塘镇永和河调蓄区建设工程项目建设用地。</w:t>
      </w:r>
    </w:p>
    <w:p>
      <w:pPr>
        <w:keepNext w:val="0"/>
        <w:keepLines w:val="0"/>
        <w:pageBreakBefore w:val="0"/>
        <w:widowControl/>
        <w:suppressLineNumbers w:val="0"/>
        <w:kinsoku/>
        <w:wordWrap/>
        <w:overflowPunct/>
        <w:topLinePunct w:val="0"/>
        <w:bidi w:val="0"/>
        <w:adjustRightInd/>
        <w:snapToGrid/>
        <w:spacing w:line="60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 xml:space="preserve">二、请你市人民政府按照《中华人民共和国土地管理法》有关规定，严格履行征地批后实施程序，及时足额支付补偿费用，落实被征地农民的社会保障费用等安置措施，妥善安排好被征地农民的生产和生活，保证原有生活水平不降低，长远生计有保障。征地补偿安置不落实的，不得动工用地。 </w:t>
      </w:r>
    </w:p>
    <w:p>
      <w:pPr>
        <w:keepNext w:val="0"/>
        <w:keepLines w:val="0"/>
        <w:pageBreakBefore w:val="0"/>
        <w:widowControl/>
        <w:suppressLineNumbers w:val="0"/>
        <w:kinsoku/>
        <w:wordWrap/>
        <w:overflowPunct/>
        <w:topLinePunct w:val="0"/>
        <w:bidi w:val="0"/>
        <w:adjustRightInd/>
        <w:snapToGrid/>
        <w:spacing w:line="60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三、请你</w:t>
      </w:r>
      <w:r>
        <w:rPr>
          <w:rFonts w:hint="eastAsia" w:ascii="仿宋_GB2312" w:hAnsi="仿宋_GB2312" w:eastAsia="仿宋_GB2312" w:cs="仿宋_GB2312"/>
          <w:color w:val="auto"/>
          <w:kern w:val="0"/>
          <w:sz w:val="32"/>
          <w:szCs w:val="32"/>
          <w:highlight w:val="none"/>
          <w:lang w:eastAsia="zh-CN" w:bidi="ar"/>
        </w:rPr>
        <w:t>市人民</w:t>
      </w:r>
      <w:r>
        <w:rPr>
          <w:rFonts w:hint="eastAsia" w:ascii="仿宋_GB2312" w:hAnsi="仿宋_GB2312" w:eastAsia="仿宋_GB2312" w:cs="仿宋_GB2312"/>
          <w:color w:val="auto"/>
          <w:kern w:val="0"/>
          <w:sz w:val="32"/>
          <w:szCs w:val="32"/>
          <w:highlight w:val="none"/>
          <w:lang w:val="en-US" w:eastAsia="zh-CN" w:bidi="ar"/>
        </w:rPr>
        <w:t>政府负责落实补充耕地。督促补充耕地责任单位认真按照补充耕地方案，补充数量相等、质量相当的耕地，落实建设占用耕地耕作层土壤剥离利用。</w:t>
      </w:r>
    </w:p>
    <w:p>
      <w:pPr>
        <w:keepNext w:val="0"/>
        <w:keepLines w:val="0"/>
        <w:pageBreakBefore w:val="0"/>
        <w:widowControl/>
        <w:suppressLineNumbers w:val="0"/>
        <w:kinsoku/>
        <w:wordWrap/>
        <w:overflowPunct/>
        <w:topLinePunct w:val="0"/>
        <w:bidi w:val="0"/>
        <w:adjustRightInd/>
        <w:snapToGrid/>
        <w:spacing w:line="60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四、严格按照国家有关规定征收新增建设用地土地有偿使用费。</w:t>
      </w:r>
    </w:p>
    <w:p>
      <w:pPr>
        <w:keepNext w:val="0"/>
        <w:keepLines w:val="0"/>
        <w:pageBreakBefore w:val="0"/>
        <w:widowControl/>
        <w:suppressLineNumbers w:val="0"/>
        <w:kinsoku/>
        <w:wordWrap/>
        <w:overflowPunct/>
        <w:topLinePunct w:val="0"/>
        <w:bidi w:val="0"/>
        <w:adjustRightInd/>
        <w:snapToGrid/>
        <w:spacing w:line="600" w:lineRule="exact"/>
        <w:ind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bidi="ar"/>
        </w:rPr>
      </w:pPr>
    </w:p>
    <w:p>
      <w:pPr>
        <w:keepNext w:val="0"/>
        <w:keepLines w:val="0"/>
        <w:pageBreakBefore w:val="0"/>
        <w:widowControl/>
        <w:suppressLineNumbers w:val="0"/>
        <w:kinsoku/>
        <w:wordWrap/>
        <w:overflowPunct/>
        <w:topLinePunct w:val="0"/>
        <w:bidi w:val="0"/>
        <w:adjustRightInd/>
        <w:snapToGrid/>
        <w:spacing w:line="600" w:lineRule="exact"/>
        <w:ind w:firstLine="640" w:firstLineChars="200"/>
        <w:jc w:val="both"/>
        <w:textAlignment w:val="auto"/>
        <w:rPr>
          <w:rFonts w:hint="default" w:ascii="Times New Roman" w:hAnsi="Times New Roman" w:eastAsia="仿宋_GB2312" w:cs="Times New Roman"/>
          <w:color w:val="auto"/>
          <w:kern w:val="0"/>
          <w:sz w:val="32"/>
          <w:szCs w:val="32"/>
          <w:highlight w:val="none"/>
          <w:u w:val="none"/>
          <w:lang w:val="en-US" w:eastAsia="zh-CN" w:bidi="ar"/>
        </w:rPr>
      </w:pPr>
    </w:p>
    <w:p>
      <w:pPr>
        <w:keepNext w:val="0"/>
        <w:keepLines w:val="0"/>
        <w:pageBreakBefore w:val="0"/>
        <w:widowControl/>
        <w:suppressLineNumbers w:val="0"/>
        <w:kinsoku/>
        <w:wordWrap/>
        <w:overflowPunct/>
        <w:topLinePunct w:val="0"/>
        <w:bidi w:val="0"/>
        <w:adjustRightInd/>
        <w:snapToGrid/>
        <w:spacing w:line="600" w:lineRule="exact"/>
        <w:jc w:val="both"/>
        <w:textAlignment w:val="auto"/>
        <w:rPr>
          <w:rFonts w:hint="default" w:ascii="Times New Roman" w:hAnsi="Times New Roman" w:eastAsia="仿宋_GB2312" w:cs="Times New Roman"/>
          <w:color w:val="auto"/>
          <w:kern w:val="0"/>
          <w:sz w:val="32"/>
          <w:szCs w:val="32"/>
          <w:highlight w:val="none"/>
          <w:lang w:val="en-US" w:eastAsia="zh-CN" w:bidi="ar"/>
        </w:rPr>
      </w:pPr>
    </w:p>
    <w:p>
      <w:pPr>
        <w:keepNext w:val="0"/>
        <w:keepLines w:val="0"/>
        <w:pageBreakBefore w:val="0"/>
        <w:widowControl/>
        <w:suppressLineNumbers w:val="0"/>
        <w:kinsoku/>
        <w:wordWrap/>
        <w:overflowPunct/>
        <w:topLinePunct w:val="0"/>
        <w:bidi w:val="0"/>
        <w:adjustRightInd/>
        <w:snapToGrid/>
        <w:spacing w:line="600" w:lineRule="exact"/>
        <w:jc w:val="center"/>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 xml:space="preserve">                                    广东省人民政府 </w:t>
      </w:r>
    </w:p>
    <w:p>
      <w:pPr>
        <w:keepNext w:val="0"/>
        <w:keepLines w:val="0"/>
        <w:pageBreakBefore w:val="0"/>
        <w:widowControl/>
        <w:suppressLineNumbers w:val="0"/>
        <w:kinsoku/>
        <w:wordWrap/>
        <w:overflowPunct/>
        <w:topLinePunct w:val="0"/>
        <w:bidi w:val="0"/>
        <w:adjustRightInd/>
        <w:snapToGrid/>
        <w:spacing w:line="600" w:lineRule="exact"/>
        <w:jc w:val="right"/>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sz w:val="32"/>
          <w:szCs w:val="32"/>
          <w:highlight w:val="none"/>
          <w:lang w:val="en-US" w:eastAsia="zh-CN"/>
        </w:rPr>
        <w:t>2023</w:t>
      </w:r>
      <w:r>
        <w:rPr>
          <w:rFonts w:hint="eastAsia" w:ascii="仿宋_GB2312" w:hAnsi="仿宋_GB2312" w:eastAsia="仿宋_GB2312" w:cs="仿宋_GB2312"/>
          <w:color w:val="auto"/>
          <w:kern w:val="0"/>
          <w:sz w:val="32"/>
          <w:szCs w:val="32"/>
          <w:highlight w:val="none"/>
          <w:lang w:val="en-US" w:eastAsia="zh-CN" w:bidi="ar"/>
        </w:rPr>
        <w:t xml:space="preserve">年1月30日 </w:t>
      </w:r>
    </w:p>
    <w:p>
      <w:pPr>
        <w:keepNext w:val="0"/>
        <w:keepLines w:val="0"/>
        <w:pageBreakBefore w:val="0"/>
        <w:widowControl/>
        <w:suppressLineNumbers w:val="0"/>
        <w:kinsoku/>
        <w:wordWrap/>
        <w:overflowPunct/>
        <w:topLinePunct w:val="0"/>
        <w:bidi w:val="0"/>
        <w:adjustRightInd/>
        <w:snapToGrid/>
        <w:spacing w:line="600" w:lineRule="exact"/>
        <w:jc w:val="both"/>
        <w:textAlignment w:val="auto"/>
        <w:rPr>
          <w:rFonts w:hint="default" w:ascii="Times New Roman" w:hAnsi="Times New Roman" w:eastAsia="仿宋_GB2312" w:cs="Times New Roman"/>
          <w:color w:val="auto"/>
          <w:kern w:val="0"/>
          <w:sz w:val="32"/>
          <w:szCs w:val="32"/>
          <w:highlight w:val="none"/>
          <w:lang w:val="en-US" w:eastAsia="zh-CN" w:bidi="ar"/>
        </w:rPr>
      </w:pPr>
    </w:p>
    <w:p>
      <w:pPr>
        <w:keepNext w:val="0"/>
        <w:keepLines w:val="0"/>
        <w:pageBreakBefore w:val="0"/>
        <w:widowControl/>
        <w:suppressLineNumbers w:val="0"/>
        <w:kinsoku/>
        <w:wordWrap/>
        <w:overflowPunct/>
        <w:topLinePunct w:val="0"/>
        <w:bidi w:val="0"/>
        <w:adjustRightInd/>
        <w:snapToGrid/>
        <w:spacing w:line="600" w:lineRule="exact"/>
        <w:jc w:val="both"/>
        <w:textAlignment w:val="auto"/>
        <w:rPr>
          <w:rFonts w:hint="default" w:ascii="Times New Roman" w:hAnsi="Times New Roman" w:eastAsia="仿宋_GB2312" w:cs="Times New Roman"/>
          <w:color w:val="auto"/>
          <w:kern w:val="0"/>
          <w:sz w:val="32"/>
          <w:szCs w:val="32"/>
          <w:highlight w:val="none"/>
          <w:lang w:val="en-US" w:eastAsia="zh-CN" w:bidi="ar"/>
        </w:rPr>
      </w:pPr>
    </w:p>
    <w:p>
      <w:pPr>
        <w:keepNext w:val="0"/>
        <w:keepLines w:val="0"/>
        <w:pageBreakBefore w:val="0"/>
        <w:widowControl/>
        <w:suppressLineNumbers w:val="0"/>
        <w:kinsoku/>
        <w:wordWrap/>
        <w:overflowPunct/>
        <w:topLinePunct w:val="0"/>
        <w:bidi w:val="0"/>
        <w:adjustRightInd/>
        <w:snapToGrid/>
        <w:spacing w:line="600" w:lineRule="exact"/>
        <w:jc w:val="both"/>
        <w:textAlignment w:val="auto"/>
        <w:rPr>
          <w:rFonts w:hint="default" w:ascii="Times New Roman" w:hAnsi="Times New Roman" w:eastAsia="仿宋_GB2312" w:cs="Times New Roman"/>
          <w:color w:val="auto"/>
          <w:kern w:val="0"/>
          <w:sz w:val="32"/>
          <w:szCs w:val="32"/>
          <w:highlight w:val="none"/>
          <w:lang w:val="en-US" w:eastAsia="zh-CN" w:bidi="ar"/>
        </w:rPr>
      </w:pPr>
    </w:p>
    <w:p>
      <w:pPr>
        <w:keepNext w:val="0"/>
        <w:keepLines w:val="0"/>
        <w:pageBreakBefore w:val="0"/>
        <w:widowControl/>
        <w:suppressLineNumbers w:val="0"/>
        <w:kinsoku/>
        <w:wordWrap/>
        <w:overflowPunct/>
        <w:topLinePunct w:val="0"/>
        <w:bidi w:val="0"/>
        <w:adjustRightInd/>
        <w:snapToGrid/>
        <w:spacing w:line="600" w:lineRule="exact"/>
        <w:jc w:val="both"/>
        <w:textAlignment w:val="auto"/>
        <w:rPr>
          <w:rFonts w:hint="default" w:ascii="Times New Roman" w:hAnsi="Times New Roman" w:eastAsia="仿宋_GB2312" w:cs="Times New Roman"/>
          <w:color w:val="auto"/>
          <w:kern w:val="0"/>
          <w:sz w:val="32"/>
          <w:szCs w:val="32"/>
          <w:highlight w:val="none"/>
          <w:lang w:val="en-US" w:eastAsia="zh-CN" w:bidi="ar"/>
        </w:rPr>
      </w:pPr>
    </w:p>
    <w:p>
      <w:pPr>
        <w:keepNext w:val="0"/>
        <w:keepLines w:val="0"/>
        <w:pageBreakBefore w:val="0"/>
        <w:widowControl/>
        <w:suppressLineNumbers w:val="0"/>
        <w:kinsoku/>
        <w:wordWrap/>
        <w:overflowPunct/>
        <w:topLinePunct w:val="0"/>
        <w:bidi w:val="0"/>
        <w:adjustRightInd/>
        <w:snapToGrid/>
        <w:spacing w:line="600" w:lineRule="exact"/>
        <w:jc w:val="both"/>
        <w:textAlignment w:val="auto"/>
        <w:rPr>
          <w:rFonts w:hint="default" w:ascii="Times New Roman" w:hAnsi="Times New Roman" w:eastAsia="仿宋_GB2312" w:cs="Times New Roman"/>
          <w:color w:val="auto"/>
          <w:kern w:val="0"/>
          <w:sz w:val="32"/>
          <w:szCs w:val="32"/>
          <w:highlight w:val="none"/>
          <w:lang w:val="en-US" w:eastAsia="zh-CN" w:bidi="ar"/>
        </w:rPr>
      </w:pPr>
      <w:bookmarkStart w:id="0" w:name="_GoBack"/>
      <w:bookmarkEnd w:id="0"/>
    </w:p>
    <w:p>
      <w:pPr>
        <w:keepNext w:val="0"/>
        <w:keepLines w:val="0"/>
        <w:pageBreakBefore w:val="0"/>
        <w:widowControl/>
        <w:suppressLineNumbers w:val="0"/>
        <w:kinsoku/>
        <w:wordWrap/>
        <w:overflowPunct/>
        <w:topLinePunct w:val="0"/>
        <w:bidi w:val="0"/>
        <w:adjustRightInd/>
        <w:snapToGrid/>
        <w:spacing w:line="600" w:lineRule="exact"/>
        <w:jc w:val="both"/>
        <w:textAlignment w:val="auto"/>
        <w:rPr>
          <w:rFonts w:hint="default" w:ascii="Times New Roman" w:hAnsi="Times New Roman" w:eastAsia="仿宋_GB2312" w:cs="Times New Roman"/>
          <w:color w:val="auto"/>
          <w:kern w:val="0"/>
          <w:sz w:val="32"/>
          <w:szCs w:val="32"/>
          <w:highlight w:val="none"/>
          <w:lang w:val="en-US" w:eastAsia="zh-CN" w:bidi="ar"/>
        </w:rPr>
      </w:pPr>
    </w:p>
    <w:p>
      <w:pPr>
        <w:keepNext w:val="0"/>
        <w:keepLines w:val="0"/>
        <w:pageBreakBefore w:val="0"/>
        <w:widowControl/>
        <w:suppressLineNumbers w:val="0"/>
        <w:kinsoku/>
        <w:wordWrap/>
        <w:overflowPunct/>
        <w:topLinePunct w:val="0"/>
        <w:bidi w:val="0"/>
        <w:adjustRightInd/>
        <w:snapToGrid/>
        <w:spacing w:line="600" w:lineRule="exact"/>
        <w:jc w:val="both"/>
        <w:textAlignment w:val="auto"/>
        <w:rPr>
          <w:rFonts w:hint="default" w:ascii="Times New Roman" w:hAnsi="Times New Roman" w:eastAsia="仿宋_GB2312" w:cs="Times New Roman"/>
          <w:color w:val="auto"/>
          <w:kern w:val="0"/>
          <w:sz w:val="32"/>
          <w:szCs w:val="32"/>
          <w:highlight w:val="none"/>
          <w:lang w:val="en-US" w:eastAsia="zh-CN" w:bidi="ar"/>
        </w:rPr>
      </w:pPr>
    </w:p>
    <w:p>
      <w:pPr>
        <w:keepNext w:val="0"/>
        <w:keepLines w:val="0"/>
        <w:pageBreakBefore w:val="0"/>
        <w:widowControl/>
        <w:suppressLineNumbers w:val="0"/>
        <w:kinsoku/>
        <w:wordWrap/>
        <w:overflowPunct/>
        <w:topLinePunct w:val="0"/>
        <w:bidi w:val="0"/>
        <w:adjustRightInd/>
        <w:snapToGrid/>
        <w:spacing w:line="600" w:lineRule="exact"/>
        <w:jc w:val="both"/>
        <w:textAlignment w:val="auto"/>
        <w:rPr>
          <w:rFonts w:hint="default" w:ascii="Times New Roman" w:hAnsi="Times New Roman" w:eastAsia="仿宋_GB2312" w:cs="Times New Roman"/>
          <w:color w:val="auto"/>
          <w:kern w:val="0"/>
          <w:sz w:val="32"/>
          <w:szCs w:val="32"/>
          <w:highlight w:val="none"/>
          <w:lang w:val="en-US" w:eastAsia="zh-CN" w:bidi="ar"/>
        </w:rPr>
      </w:pPr>
    </w:p>
    <w:p>
      <w:pPr>
        <w:keepNext w:val="0"/>
        <w:keepLines w:val="0"/>
        <w:pageBreakBefore w:val="0"/>
        <w:widowControl/>
        <w:suppressLineNumbers w:val="0"/>
        <w:kinsoku/>
        <w:wordWrap/>
        <w:overflowPunct/>
        <w:topLinePunct w:val="0"/>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kern w:val="0"/>
          <w:sz w:val="32"/>
          <w:szCs w:val="32"/>
          <w:highlight w:val="none"/>
          <w:lang w:val="en-US" w:eastAsia="zh-CN" w:bidi="ar"/>
        </w:rPr>
        <w:t xml:space="preserve">公开方式：主动公开 </w:t>
      </w:r>
    </w:p>
    <w:p>
      <w:pPr>
        <w:keepNext w:val="0"/>
        <w:keepLines w:val="0"/>
        <w:pageBreakBefore w:val="0"/>
        <w:widowControl/>
        <w:suppressLineNumbers w:val="0"/>
        <w:kinsoku/>
        <w:wordWrap/>
        <w:overflowPunct/>
        <w:topLinePunct w:val="0"/>
        <w:bidi w:val="0"/>
        <w:adjustRightInd/>
        <w:snapToGrid/>
        <w:spacing w:line="600" w:lineRule="exact"/>
        <w:ind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cs="Times New Roman"/>
          <w:color w:val="auto"/>
          <w:highlight w:val="none"/>
          <w:lang w:val="en-US" w:eastAsia="zh-CN"/>
        </w:rPr>
      </w:pPr>
      <w:r>
        <w:rPr>
          <w:rFonts w:hint="default" w:ascii="Times New Roman" w:hAnsi="Times New Roman" w:eastAsia="仿宋_GB2312" w:cs="Times New Roman"/>
          <w:color w:val="auto"/>
          <w:kern w:val="0"/>
          <w:sz w:val="32"/>
          <w:szCs w:val="32"/>
          <w:highlight w:val="none"/>
          <w:lang w:val="en-US" w:eastAsia="zh-CN" w:bidi="ar"/>
        </w:rPr>
        <w:t>抄送：</w:t>
      </w:r>
      <w:r>
        <w:rPr>
          <w:rFonts w:hint="default" w:ascii="Times New Roman" w:hAnsi="Times New Roman" w:eastAsia="仿宋_GB2312" w:cs="Times New Roman"/>
          <w:color w:val="auto"/>
          <w:kern w:val="0"/>
          <w:sz w:val="32"/>
          <w:szCs w:val="32"/>
          <w:highlight w:val="none"/>
          <w:lang w:eastAsia="zh-CN" w:bidi="ar"/>
        </w:rPr>
        <w:t>省</w:t>
      </w:r>
      <w:r>
        <w:rPr>
          <w:rFonts w:hint="default" w:ascii="Times New Roman" w:hAnsi="Times New Roman" w:eastAsia="仿宋_GB2312" w:cs="Times New Roman"/>
          <w:color w:val="auto"/>
          <w:sz w:val="32"/>
          <w:szCs w:val="32"/>
          <w:highlight w:val="none"/>
          <w:lang w:val="en-US" w:eastAsia="zh-CN"/>
        </w:rPr>
        <w:t>财政厅、人力资源社会保障厅、自然资源厅、农业农村厅</w:t>
      </w:r>
      <w:r>
        <w:rPr>
          <w:rFonts w:hint="default" w:ascii="Times New Roman" w:hAnsi="Times New Roman" w:eastAsia="仿宋_GB2312" w:cs="Times New Roman"/>
          <w:color w:val="auto"/>
          <w:kern w:val="0"/>
          <w:sz w:val="32"/>
          <w:szCs w:val="32"/>
          <w:highlight w:val="none"/>
          <w:lang w:eastAsia="zh-CN" w:bidi="ar"/>
        </w:rPr>
        <w:t>，财政部广东监管局、国家自然资源督察广州局</w:t>
      </w:r>
      <w:r>
        <w:rPr>
          <w:rFonts w:hint="default" w:ascii="Times New Roman" w:hAnsi="Times New Roman" w:eastAsia="仿宋_GB2312" w:cs="Times New Roman"/>
          <w:color w:val="auto"/>
          <w:sz w:val="32"/>
          <w:szCs w:val="32"/>
          <w:highlight w:val="none"/>
          <w:lang w:val="en-US" w:eastAsia="zh-CN"/>
        </w:rPr>
        <w:t>。</w:t>
      </w:r>
    </w:p>
    <w:p>
      <w:pPr>
        <w:rPr>
          <w:color w:val="auto"/>
          <w:highlight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0002A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9671DC"/>
    <w:rsid w:val="12FD2CBA"/>
    <w:rsid w:val="1A1E0BB2"/>
    <w:rsid w:val="20EE17F3"/>
    <w:rsid w:val="266E7DCC"/>
    <w:rsid w:val="28FA096F"/>
    <w:rsid w:val="2F460646"/>
    <w:rsid w:val="55EB6E15"/>
    <w:rsid w:val="5A410B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Office_10.8.0.6253_F1E327BC-269C-435d-A152-05C5408002CA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2023-01-03T03:08:00Z</dcterms:created>
  <dc:creator>gtt</dc:creator>
  <cp:lastModifiedBy>NTKO</cp:lastModifiedBy>
  <cp:lastPrinted>2023-01-04T01:53:00Z</cp:lastPrinted>
  <dcterms:modified xsi:type="dcterms:W3CDTF">2023-03-13T08:59:01Z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2052-10.8.0.6253</vt:lpwstr>
  </property>
  <property fmtid="{D5CDD505-2E9C-101B-9397-08002B2CF9AE}" pid="3" name="ICV">
    <vt:lpwstr>F37EC6FC06A64C92825584CCFAE5A5B7</vt:lpwstr>
  </property>
</Properties>
</file>