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Cs/>
          <w:kern w:val="0"/>
          <w:sz w:val="44"/>
          <w:szCs w:val="44"/>
        </w:rPr>
        <w:t>征地补偿安置方案</w:t>
      </w:r>
    </w:p>
    <w:p>
      <w:pPr>
        <w:ind w:firstLine="1980" w:firstLineChars="450"/>
        <w:rPr>
          <w:rFonts w:hint="eastAsia" w:ascii="宋体" w:hAnsi="宋体" w:cs="宋体"/>
          <w:bCs/>
          <w:kern w:val="0"/>
          <w:sz w:val="44"/>
          <w:szCs w:val="44"/>
        </w:rPr>
      </w:pPr>
    </w:p>
    <w:p>
      <w:pPr>
        <w:ind w:firstLine="640" w:firstLineChars="200"/>
        <w:rPr>
          <w:rFonts w:hint="eastAsia" w:ascii="仿宋_GB2312" w:hAnsi="仿宋_GB2312" w:eastAsia="仿宋_GB2312" w:cs="仿宋_GB2312"/>
          <w:kern w:val="0"/>
          <w:sz w:val="32"/>
          <w:szCs w:val="32"/>
        </w:rPr>
      </w:pPr>
      <w:r>
        <w:rPr>
          <w:rFonts w:hint="eastAsia" w:ascii="仿宋_GB2312" w:hAnsi="宋体" w:eastAsia="仿宋_GB2312" w:cs="宋体"/>
          <w:kern w:val="0"/>
          <w:sz w:val="32"/>
          <w:szCs w:val="32"/>
        </w:rPr>
        <w:t>为实施广州市增城区石滩镇建设规划，完善城市功能，改善城市环境，促进经济、文化发展，广州市增城区人民政府拟征收该区石滩镇麻车村股份经济联合社属下的集体土地1.6193公顷。根据《中华人民共和国土地管理法》第二条、第四十五条、第四十七条有关规定精神、《广东省实施&lt;中华人民共和国土地管理法&gt;办法》第三十条等规定，结合增城区的征收农用地区片综合地价和实际情况，拟定了征地补偿安置方案，具体如下：</w:t>
      </w:r>
    </w:p>
    <w:p>
      <w:pPr>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一、征收集体土地情况</w:t>
      </w:r>
    </w:p>
    <w:p>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征收集体土地总面积1.6193公顷，征收集体土地的地类为农用地1.6193公顷（其中园地0.1602公顷、林地1.4092公顷、草地0.0205公顷、其他农用地0.0294公顷）。</w:t>
      </w:r>
    </w:p>
    <w:p>
      <w:pPr>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二、征地补偿标准</w:t>
      </w:r>
    </w:p>
    <w:p>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（一）土地补偿和安置补助。根据已经实施的区片综合地价，征收上述1.6193公顷集体土地的区片综合地价标准为165.0000万元/公顷（土地补偿费标准为82.5000万元/公顷、安置补助费标准为82.5000万元/公顷）。</w:t>
      </w:r>
    </w:p>
    <w:p>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（二）青苗补偿费51.0080万元由广州市增城区石滩镇麻车村股份经济联合社转付土地承包者。</w:t>
      </w:r>
      <w:r>
        <w:rPr>
          <w:rFonts w:hint="eastAsia" w:ascii="仿宋_GB2312" w:eastAsia="仿宋_GB2312"/>
          <w:sz w:val="32"/>
          <w:szCs w:val="32"/>
        </w:rPr>
        <w:t>青苗暂按此补偿，待日后清点确认后，按政府有关规定进行补偿。</w:t>
      </w:r>
    </w:p>
    <w:p>
      <w:pPr>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三、安置措施情况</w:t>
      </w:r>
      <w:bookmarkStart w:id="0" w:name="_GoBack"/>
      <w:bookmarkEnd w:id="0"/>
    </w:p>
    <w:p>
      <w:pPr>
        <w:ind w:firstLine="627" w:firstLineChars="196"/>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为妥善安置被征地农民，切实解决被征地农民的生产生活出路，在保证货币安置落实的同时，由于该用地作为</w:t>
      </w:r>
      <w:r>
        <w:rPr>
          <w:rFonts w:hint="eastAsia" w:ascii="仿宋_GB2312" w:hAnsi="仿宋_GB2312" w:eastAsia="仿宋_GB2312" w:cs="仿宋_GB2312"/>
          <w:color w:val="000000"/>
          <w:sz w:val="32"/>
          <w:szCs w:val="32"/>
        </w:rPr>
        <w:t>广州市增城区</w:t>
      </w:r>
      <w:r>
        <w:rPr>
          <w:rFonts w:hint="eastAsia" w:ascii="仿宋_GB2312" w:hAnsi="仿宋_GB2312" w:eastAsia="仿宋_GB2312" w:cs="仿宋_GB2312"/>
          <w:color w:val="000000"/>
          <w:sz w:val="32"/>
          <w:szCs w:val="32"/>
          <w:lang w:val="en-US" w:eastAsia="zh-CN"/>
        </w:rPr>
        <w:t>2022</w:t>
      </w:r>
      <w:r>
        <w:rPr>
          <w:rFonts w:hint="eastAsia" w:ascii="仿宋_GB2312" w:hAnsi="仿宋_GB2312" w:eastAsia="仿宋_GB2312" w:cs="仿宋_GB2312"/>
          <w:color w:val="000000"/>
          <w:sz w:val="32"/>
          <w:szCs w:val="32"/>
        </w:rPr>
        <w:t>年度第</w:t>
      </w:r>
      <w:r>
        <w:rPr>
          <w:rFonts w:hint="eastAsia" w:ascii="仿宋_GB2312" w:hAnsi="仿宋_GB2312" w:eastAsia="仿宋_GB2312" w:cs="仿宋_GB2312"/>
          <w:color w:val="000000"/>
          <w:sz w:val="32"/>
          <w:szCs w:val="32"/>
          <w:lang w:eastAsia="zh-CN"/>
        </w:rPr>
        <w:t>九十二</w:t>
      </w:r>
      <w:r>
        <w:rPr>
          <w:rFonts w:hint="eastAsia" w:ascii="仿宋_GB2312" w:hAnsi="仿宋_GB2312" w:eastAsia="仿宋_GB2312" w:cs="仿宋_GB2312"/>
          <w:color w:val="000000"/>
          <w:sz w:val="32"/>
          <w:szCs w:val="32"/>
        </w:rPr>
        <w:t>批次城镇建设用地</w:t>
      </w:r>
      <w:r>
        <w:rPr>
          <w:rFonts w:hint="eastAsia" w:ascii="仿宋_GB2312" w:hAnsi="仿宋_GB2312" w:eastAsia="仿宋_GB2312" w:cs="仿宋_GB2312"/>
          <w:sz w:val="32"/>
          <w:szCs w:val="32"/>
        </w:rPr>
        <w:t>征地项目的留用地，根据有关规定，不需预留经济发展用地，不实际支付征地补偿费用，不计提养老保障资金，详见省的留用地安置政策和被征地农民养老保障方案。</w:t>
      </w:r>
    </w:p>
    <w:p>
      <w:pPr>
        <w:ind w:firstLine="627" w:firstLineChars="196"/>
        <w:rPr>
          <w:rFonts w:hint="eastAsia" w:ascii="仿宋_GB2312" w:hAnsi="仿宋_GB2312" w:eastAsia="仿宋_GB2312" w:cs="仿宋_GB2312"/>
          <w:sz w:val="32"/>
          <w:szCs w:val="32"/>
        </w:rPr>
      </w:pPr>
    </w:p>
    <w:p>
      <w:pPr>
        <w:ind w:firstLine="627" w:firstLineChars="196"/>
        <w:rPr>
          <w:rFonts w:hint="eastAsia" w:ascii="仿宋_GB2312" w:hAnsi="仿宋_GB2312" w:eastAsia="仿宋_GB2312" w:cs="仿宋_GB2312"/>
          <w:sz w:val="32"/>
          <w:szCs w:val="32"/>
        </w:rPr>
      </w:pPr>
    </w:p>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577CE"/>
    <w:rsid w:val="018241DF"/>
    <w:rsid w:val="7AF57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Indent"/>
    <w:basedOn w:val="1"/>
    <w:uiPriority w:val="0"/>
    <w:pPr>
      <w:widowControl w:val="0"/>
      <w:ind w:firstLine="42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2023-04-23T06:39:00Z</dcterms:created>
  <dc:creator>Administrator</dc:creator>
  <cp:lastModifiedBy>Administrator</cp:lastModifiedBy>
  <dcterms:modified xsi:type="dcterms:W3CDTF">2023-04-23T06:42:44Z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