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Cs/>
          <w:kern w:val="0"/>
          <w:sz w:val="44"/>
          <w:szCs w:val="44"/>
        </w:rPr>
        <w:t>征地补偿安置方案</w:t>
      </w:r>
    </w:p>
    <w:p>
      <w:pPr>
        <w:ind w:firstLine="1980" w:firstLineChars="450"/>
        <w:rPr>
          <w:rFonts w:hint="eastAsia" w:ascii="宋体" w:hAnsi="宋体" w:cs="宋体"/>
          <w:bCs/>
          <w:kern w:val="0"/>
          <w:sz w:val="44"/>
          <w:szCs w:val="44"/>
        </w:rPr>
      </w:pPr>
    </w:p>
    <w:p>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为实施广州市增城区石滩镇建设规划，完善城市功能，改善城市环境，促进经济、文化发展，广州市增城区人民政府拟征收该区石滩镇麻车村股份经济联合社属下的集体土地10.7955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一、征收集体土地情况</w:t>
      </w:r>
    </w:p>
    <w:p>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征收集体土地总面积10.7955公顷，征收集体土地的地类为农用地10.7955公顷（其中耕地0.1816公顷、园地4.4388公顷、林地0.4458公顷、草地0.5295公顷、其他农用地5.1998公顷）。</w:t>
      </w:r>
    </w:p>
    <w:p>
      <w:pPr>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二、征地补偿标准</w:t>
      </w:r>
    </w:p>
    <w:p>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土地补偿和安置补助。根据已经实施的区片综合地价，征收上述10.7955公顷集体土地的区片综合地价标准为165.0000万元/公顷（土地补偿费标准为82.5000万元/公顷、安置补助费标准为82.5000万元/公顷），土地补偿总费用为1781.2575万元。</w:t>
      </w:r>
    </w:p>
    <w:p>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（二）青苗补偿费340.0583万元由广州市增城区石滩镇麻车村股份经济联合社转付土地承包者。青苗暂按此补偿，待日后清点确认后，按政府有关规定进行补偿。</w:t>
      </w:r>
    </w:p>
    <w:p>
      <w:pPr>
        <w:ind w:firstLine="640" w:firstLineChars="200"/>
        <w:rPr>
          <w:rFonts w:hint="eastAsia" w:ascii="黑体" w:hAnsi="黑体" w:eastAsia="黑体" w:cs="黑体"/>
          <w:kern w:val="0"/>
          <w:sz w:val="32"/>
          <w:szCs w:val="32"/>
        </w:rPr>
      </w:pPr>
      <w:bookmarkStart w:id="0" w:name="_GoBack"/>
      <w:bookmarkEnd w:id="0"/>
      <w:r>
        <w:rPr>
          <w:rFonts w:hint="eastAsia" w:ascii="黑体" w:hAnsi="黑体" w:eastAsia="黑体" w:cs="黑体"/>
          <w:kern w:val="0"/>
          <w:sz w:val="32"/>
          <w:szCs w:val="32"/>
        </w:rPr>
        <w:t>三、安置措施情况</w:t>
      </w:r>
    </w:p>
    <w:p>
      <w:pPr>
        <w:ind w:firstLine="640" w:firstLineChars="200"/>
        <w:rPr>
          <w:rFonts w:hint="eastAsia" w:ascii="仿宋_GB2312" w:hAnsi="宋体" w:eastAsia="仿宋_GB2312"/>
          <w:sz w:val="32"/>
          <w:szCs w:val="32"/>
        </w:rPr>
      </w:pPr>
      <w:r>
        <w:rPr>
          <w:rFonts w:hint="eastAsia" w:ascii="仿宋_GB2312" w:hAnsi="宋体" w:eastAsia="仿宋_GB2312" w:cs="宋体"/>
          <w:kern w:val="0"/>
          <w:sz w:val="32"/>
          <w:szCs w:val="32"/>
        </w:rPr>
        <w:t>为妥善安置被征地农民，切实解决被征地农民的生产生活出路，在保证货币安置落实的同时，该征收集体土地将按穗府办规〔2018〕17号文件的规定，按实际征地面积的15%比例(即1.6193公顷) 在广州市增城区</w:t>
      </w:r>
      <w:r>
        <w:rPr>
          <w:rFonts w:hint="eastAsia" w:ascii="仿宋_GB2312" w:hAnsi="宋体" w:eastAsia="仿宋_GB2312" w:cs="宋体"/>
          <w:kern w:val="0"/>
          <w:sz w:val="32"/>
          <w:szCs w:val="32"/>
          <w:lang w:val="en-US" w:eastAsia="zh-CN"/>
        </w:rPr>
        <w:t>2022</w:t>
      </w:r>
      <w:r>
        <w:rPr>
          <w:rFonts w:hint="eastAsia" w:ascii="仿宋_GB2312" w:hAnsi="宋体" w:eastAsia="仿宋_GB2312" w:cs="宋体"/>
          <w:kern w:val="0"/>
          <w:sz w:val="32"/>
          <w:szCs w:val="32"/>
        </w:rPr>
        <w:t>年度第</w:t>
      </w:r>
      <w:r>
        <w:rPr>
          <w:rFonts w:hint="eastAsia" w:ascii="仿宋_GB2312" w:hAnsi="宋体" w:eastAsia="仿宋_GB2312" w:cs="宋体"/>
          <w:kern w:val="0"/>
          <w:sz w:val="32"/>
          <w:szCs w:val="32"/>
          <w:lang w:eastAsia="zh-CN"/>
        </w:rPr>
        <w:t>九十三</w:t>
      </w:r>
      <w:r>
        <w:rPr>
          <w:rFonts w:hint="eastAsia" w:ascii="仿宋_GB2312" w:hAnsi="宋体" w:eastAsia="仿宋_GB2312" w:cs="宋体"/>
          <w:kern w:val="0"/>
          <w:sz w:val="32"/>
          <w:szCs w:val="32"/>
        </w:rPr>
        <w:t>批次城镇建设用地中落实；给上述被征地农民落实基本</w:t>
      </w:r>
      <w:r>
        <w:rPr>
          <w:rFonts w:hint="eastAsia" w:ascii="仿宋_GB2312" w:hAnsi="宋体" w:eastAsia="仿宋_GB2312"/>
          <w:sz w:val="32"/>
          <w:szCs w:val="32"/>
        </w:rPr>
        <w:t>养老保险和培训就业等社会保障措施，以确保被征地农民的原有生活水平不降低，长远生计有保障，具体将按省的留用地安置和征地社会保障实施方案办理。</w:t>
      </w:r>
    </w:p>
    <w:p>
      <w:pPr>
        <w:ind w:firstLine="627" w:firstLineChars="196"/>
        <w:rPr>
          <w:rFonts w:hint="eastAsia" w:ascii="仿宋_GB2312" w:hAnsi="宋体" w:eastAsia="仿宋_GB2312"/>
          <w:sz w:val="32"/>
          <w:szCs w:val="32"/>
        </w:rPr>
      </w:pPr>
    </w:p>
    <w:p>
      <w:pPr>
        <w:ind w:firstLine="627" w:firstLineChars="196"/>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sectPr>
      <w:pgSz w:w="11906" w:h="16838"/>
      <w:pgMar w:top="1440" w:right="1474"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EF2648"/>
    <w:rsid w:val="018241DF"/>
    <w:rsid w:val="76EF2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Indent"/>
    <w:basedOn w:val="1"/>
    <w:uiPriority w:val="0"/>
    <w:pPr>
      <w:widowControl w:val="0"/>
      <w:ind w:firstLine="42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2023-04-23T06:38:00Z</dcterms:created>
  <dc:creator>Administrator</dc:creator>
  <cp:lastModifiedBy>Administrator</cp:lastModifiedBy>
  <dcterms:modified xsi:type="dcterms:W3CDTF">2023-04-23T06:43:46Z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