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color w:val="auto"/>
          <w:kern w:val="0"/>
          <w:sz w:val="44"/>
          <w:szCs w:val="44"/>
        </w:rPr>
        <w:t>征地补偿安置方案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为实施广州市增城区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建设规划，完善城市功能，改善城市环境，促进经济、文化发展。拟征收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新塘镇塘边村经济联合社土地面积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9.1497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为切实做好安置补偿工作，确保征地工作顺利进行，根据《中华人民共和国土地管理法》、《广东省实施&lt;中华人民共和国土地管理法&gt;办法》等规定，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新塘镇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实际情况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拟定了征地补偿安置方案，并予以公告，具体征地安置补偿情况如下：</w:t>
      </w:r>
    </w:p>
    <w:p>
      <w:pPr>
        <w:numPr>
          <w:ilvl w:val="0"/>
          <w:numId w:val="1"/>
        </w:numPr>
        <w:spacing w:line="540" w:lineRule="exact"/>
        <w:rPr>
          <w:rFonts w:hint="eastAsia" w:ascii="黑体" w:hAnsi="黑体" w:eastAsia="黑体" w:cs="仿宋_GB2312"/>
          <w:color w:val="auto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sz w:val="32"/>
          <w:szCs w:val="32"/>
        </w:rPr>
        <w:t>征收集体土地情况</w:t>
      </w:r>
      <w:bookmarkStart w:id="0" w:name="_GoBack"/>
      <w:bookmarkEnd w:id="0"/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9.1497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公顷，征收集体土地的地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类为农用地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5.8168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园地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5.51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公顷、林地0.197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公顷、其它农用地(不含养殖水面)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0.1091公顷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建设用地3.3329公顷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numPr>
          <w:ilvl w:val="0"/>
          <w:numId w:val="2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9.1497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公顷集体土地的区片综合地价标准为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165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万元/公顷（土地补偿费标准为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万元/公顷、安置补助费标准为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82.5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万元/公顷），土地补偿总费用为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1509.7005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" w:hAnsi="仿宋" w:eastAsia="仿宋" w:cs="宋体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auto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青苗补偿费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535.2575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万元由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新塘镇塘边村被征地权属单位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转付土地承包者。青苗暂按此补偿，待日后清点确认后，按实际情况予以补偿。</w:t>
      </w:r>
    </w:p>
    <w:p>
      <w:pPr>
        <w:ind w:firstLine="640" w:firstLineChars="200"/>
        <w:rPr>
          <w:rFonts w:hint="eastAsia"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二、安置措施情况</w:t>
      </w:r>
    </w:p>
    <w:p>
      <w:pPr>
        <w:ind w:firstLine="627" w:firstLineChars="196"/>
        <w:jc w:val="left"/>
        <w:rPr>
          <w:rFonts w:hint="eastAsia"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为妥善安置被征地农民，切实解决被征地农民的生产生活出路，在保证货币安置落实的同时，该征收集体土地将按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省、市相关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文件的规定，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按实际征地面积的10%比例核计出的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0.9150公顷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留用地替代以折算货币方式进行补偿，补偿标准为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2598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万元/公顷,补偿总额为</w:t>
      </w:r>
      <w:r>
        <w:rPr>
          <w:rFonts w:hint="eastAsia" w:ascii="仿宋_GB2312" w:hAnsi="宋体" w:eastAsia="仿宋_GB2312" w:cs="仿宋_GB2312"/>
          <w:color w:val="auto"/>
          <w:sz w:val="32"/>
          <w:szCs w:val="32"/>
          <w:lang w:val="en-US" w:eastAsia="zh-CN"/>
        </w:rPr>
        <w:t>2377.1700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万元。</w:t>
      </w: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ind w:firstLine="627" w:firstLineChars="196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</w:t>
      </w: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altName w:val="Segoe UI Semilight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27E17"/>
    <w:multiLevelType w:val="multilevel"/>
    <w:tmpl w:val="27227E17"/>
    <w:lvl w:ilvl="0" w:tentative="0">
      <w:start w:val="1"/>
      <w:numFmt w:val="japaneseCounting"/>
      <w:lvlText w:val="%1、"/>
      <w:lvlJc w:val="left"/>
      <w:pPr>
        <w:tabs>
          <w:tab w:val="left" w:pos="1280"/>
        </w:tabs>
        <w:ind w:left="128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00"/>
        </w:tabs>
        <w:ind w:left="140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1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24E1F"/>
    <w:rsid w:val="003C1D22"/>
    <w:rsid w:val="00524E1F"/>
    <w:rsid w:val="34A16027"/>
    <w:rsid w:val="3D7D230C"/>
    <w:rsid w:val="40CA0C4B"/>
    <w:rsid w:val="46B73F1C"/>
    <w:rsid w:val="4CBB1665"/>
    <w:rsid w:val="52D30EA3"/>
    <w:rsid w:val="5E4E6B50"/>
    <w:rsid w:val="6DC329E0"/>
    <w:rsid w:val="6E482232"/>
    <w:rsid w:val="7200781D"/>
    <w:rsid w:val="7315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6"/>
    <w:qFormat/>
    <w:uiPriority w:val="0"/>
    <w:pPr>
      <w:jc w:val="left"/>
    </w:pPr>
  </w:style>
  <w:style w:type="paragraph" w:styleId="3">
    <w:name w:val="Balloon Text"/>
    <w:basedOn w:val="1"/>
    <w:link w:val="7"/>
    <w:unhideWhenUsed/>
    <w:qFormat/>
    <w:uiPriority w:val="99"/>
    <w:rPr>
      <w:sz w:val="18"/>
      <w:szCs w:val="18"/>
    </w:rPr>
  </w:style>
  <w:style w:type="character" w:customStyle="1" w:styleId="6">
    <w:name w:val="批注文字 Char"/>
    <w:basedOn w:val="4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7">
    <w:name w:val="批注框文本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141</Words>
  <Characters>806</Characters>
  <Lines>6</Lines>
  <Paragraphs>1</Paragraphs>
  <ScaleCrop>false</ScaleCrop>
  <LinksUpToDate>false</LinksUpToDate>
  <CharactersWithSpaces>946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2021-04-25T06:28:00Z</dcterms:created>
  <dc:creator>钟启琤</dc:creator>
  <cp:lastModifiedBy>陈佩珊</cp:lastModifiedBy>
  <dcterms:modified xsi:type="dcterms:W3CDTF">2023-07-03T03:11:40Z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