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仙村镇上境村宝田片股份经济合作社属下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集体土地2.5768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2.5768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2.5768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其中园地2.4236公顷、草地0.1011</w:t>
      </w:r>
      <w:r>
        <w:rPr>
          <w:rFonts w:hint="eastAsia" w:ascii="仿宋_GB2312" w:eastAsia="仿宋_GB2312"/>
          <w:sz w:val="32"/>
          <w:szCs w:val="32"/>
        </w:rPr>
        <w:t>公顷、其他农用地0.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0521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2.5768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425.1720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60.2971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即0.2577公顷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集中安置选址于仙村镇上境村并与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广州市增城区2023年度第一百七十八批次城镇建设用地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并报批，本村范围内选址的留用地不需实际支付征地补偿款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仙村镇上境村宝田片股份经济合作社属下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集体土地0.2577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0.2577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0.2577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其中园地0.2495公顷、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0082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0.2577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6.0302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其中同村安置留用地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6.0302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，该部分不作实际补偿，故实际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给上述被征地农民落实培训就业等社会保障措施，以确保被征地农民的原有生活水平不降低，长远生计有保障。由于该0.2577公顷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一百七十八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批次城镇建设用地实际征收仙村镇上境村2.5768公顷土地产生的留用地，为本村范围内选址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D7B66C6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2023-10-27T03:31:45Z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