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ind w:right="-153" w:rightChars="-73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53" w:rightChars="-73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广州市增城区科技工业商务和信息化局202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年度行政许可实施和监督管理情况报告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</w:t>
      </w:r>
      <w:r>
        <w:rPr>
          <w:rFonts w:hint="eastAsia" w:eastAsia="仿宋_GB2312"/>
          <w:sz w:val="32"/>
          <w:szCs w:val="32"/>
          <w:lang w:eastAsia="zh-CN"/>
        </w:rPr>
        <w:t>广东省行政许可监督管理条例</w:t>
      </w:r>
      <w:r>
        <w:rPr>
          <w:rFonts w:eastAsia="仿宋_GB2312"/>
          <w:sz w:val="32"/>
          <w:szCs w:val="32"/>
        </w:rPr>
        <w:t>》</w:t>
      </w:r>
      <w:r>
        <w:rPr>
          <w:rFonts w:hint="eastAsia" w:eastAsia="仿宋_GB2312"/>
          <w:sz w:val="32"/>
          <w:szCs w:val="32"/>
          <w:lang w:eastAsia="zh-CN"/>
        </w:rPr>
        <w:t>的</w:t>
      </w:r>
      <w:r>
        <w:rPr>
          <w:rFonts w:eastAsia="仿宋_GB2312"/>
          <w:sz w:val="32"/>
          <w:szCs w:val="32"/>
        </w:rPr>
        <w:t>要求，现将我</w:t>
      </w:r>
      <w:r>
        <w:rPr>
          <w:rFonts w:hint="eastAsia" w:eastAsia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eastAsia="仿宋_GB2312"/>
          <w:sz w:val="32"/>
          <w:szCs w:val="32"/>
        </w:rPr>
        <w:t>行政许可实施和监督管理情况报告如下：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2023年，我局行政许可事项共1项，其中2023年度保留1项，为“对外劳务合作经营资格核准”，上述事项已进驻广东政务服务网。全年受理业务量为0。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楷体_GB2312"/>
          <w:b/>
          <w:bCs/>
          <w:sz w:val="32"/>
          <w:szCs w:val="32"/>
          <w:lang w:eastAsia="zh-CN"/>
        </w:rPr>
        <w:t>（一）</w:t>
      </w:r>
      <w:r>
        <w:rPr>
          <w:rFonts w:eastAsia="楷体_GB2312"/>
          <w:b/>
          <w:bCs/>
          <w:sz w:val="32"/>
          <w:szCs w:val="32"/>
        </w:rPr>
        <w:t>依法实施情况。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我局事项办理人员认真学习国家有关政策，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依法行政，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法律法规规定的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审批权限、程序、环节、条件等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；不</w:t>
      </w:r>
      <w:r>
        <w:rPr>
          <w:rFonts w:eastAsia="仿宋_GB2312"/>
          <w:sz w:val="32"/>
          <w:szCs w:val="32"/>
        </w:rPr>
        <w:t>存在变相设定和</w:t>
      </w:r>
      <w:r>
        <w:rPr>
          <w:rFonts w:hint="eastAsia" w:eastAsia="仿宋_GB2312"/>
          <w:sz w:val="32"/>
          <w:szCs w:val="32"/>
          <w:lang w:eastAsia="zh-CN"/>
        </w:rPr>
        <w:t>变相</w:t>
      </w:r>
      <w:r>
        <w:rPr>
          <w:rFonts w:eastAsia="仿宋_GB2312"/>
          <w:sz w:val="32"/>
          <w:szCs w:val="32"/>
        </w:rPr>
        <w:t>实施行政许可情况</w:t>
      </w:r>
      <w:r>
        <w:rPr>
          <w:rFonts w:hint="eastAsia" w:eastAsia="仿宋_GB2312"/>
          <w:sz w:val="32"/>
          <w:szCs w:val="32"/>
          <w:lang w:eastAsia="zh-CN"/>
        </w:rPr>
        <w:t>；实时更新办事指南，规范办理流程。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行政审批事项均在广东政务服务网上公开并接受申请人在线办理，实行全流程网办。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eastAsia="楷体_GB2312"/>
          <w:sz w:val="32"/>
          <w:szCs w:val="32"/>
          <w:lang w:val="en-US" w:eastAsia="zh-CN"/>
        </w:rPr>
      </w:pPr>
      <w:r>
        <w:rPr>
          <w:rFonts w:hint="eastAsia" w:eastAsia="楷体_GB2312"/>
          <w:b/>
          <w:bCs/>
          <w:sz w:val="32"/>
          <w:szCs w:val="32"/>
          <w:lang w:eastAsia="zh-CN"/>
        </w:rPr>
        <w:t>（二）</w:t>
      </w:r>
      <w:r>
        <w:rPr>
          <w:rFonts w:eastAsia="楷体_GB2312"/>
          <w:b/>
          <w:bCs/>
          <w:sz w:val="32"/>
          <w:szCs w:val="32"/>
        </w:rPr>
        <w:t>公开公示情况。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</w:rPr>
        <w:t>建立健全公开办事制度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eastAsia="仿宋_GB2312"/>
          <w:b w:val="0"/>
          <w:bCs w:val="0"/>
          <w:sz w:val="32"/>
          <w:szCs w:val="32"/>
          <w:lang w:val="en-US" w:eastAsia="zh-CN"/>
        </w:rPr>
        <w:t>我局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已在广东</w:t>
      </w:r>
      <w:r>
        <w:rPr>
          <w:rFonts w:hint="default" w:eastAsia="仿宋_GB2312"/>
          <w:b w:val="0"/>
          <w:bCs w:val="0"/>
          <w:sz w:val="32"/>
          <w:szCs w:val="32"/>
          <w:lang w:val="en-US" w:eastAsia="zh-CN"/>
        </w:rPr>
        <w:t>政务服务网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对外公布</w:t>
      </w:r>
      <w:r>
        <w:rPr>
          <w:rFonts w:eastAsia="仿宋_GB2312"/>
          <w:b w:val="0"/>
          <w:bCs w:val="0"/>
          <w:sz w:val="32"/>
          <w:szCs w:val="32"/>
        </w:rPr>
        <w:t>实施主体、依据、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流程</w:t>
      </w:r>
      <w:r>
        <w:rPr>
          <w:rFonts w:eastAsia="仿宋_GB2312"/>
          <w:b w:val="0"/>
          <w:bCs w:val="0"/>
          <w:sz w:val="32"/>
          <w:szCs w:val="32"/>
        </w:rPr>
        <w:t>、条件、期限、申请材料及办法、收费标准、申请书格式文本、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联系</w:t>
      </w:r>
      <w:r>
        <w:rPr>
          <w:rFonts w:eastAsia="仿宋_GB2312"/>
          <w:b w:val="0"/>
          <w:bCs w:val="0"/>
          <w:sz w:val="32"/>
          <w:szCs w:val="32"/>
        </w:rPr>
        <w:t>方式等信息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eastAsia="楷体_GB2312"/>
          <w:sz w:val="32"/>
          <w:szCs w:val="32"/>
          <w:lang w:val="en-US" w:eastAsia="zh-CN"/>
        </w:rPr>
      </w:pPr>
      <w:r>
        <w:rPr>
          <w:rFonts w:hint="eastAsia" w:eastAsia="楷体_GB2312"/>
          <w:b/>
          <w:bCs/>
          <w:sz w:val="32"/>
          <w:szCs w:val="32"/>
          <w:lang w:eastAsia="zh-CN"/>
        </w:rPr>
        <w:t>（三）</w:t>
      </w:r>
      <w:r>
        <w:rPr>
          <w:rFonts w:hint="eastAsia" w:eastAsia="楷体_GB2312"/>
          <w:b/>
          <w:bCs/>
          <w:sz w:val="32"/>
          <w:szCs w:val="32"/>
        </w:rPr>
        <w:t>监督管理情况</w:t>
      </w:r>
      <w:r>
        <w:rPr>
          <w:rFonts w:eastAsia="楷体_GB2312"/>
          <w:b/>
          <w:bCs/>
          <w:sz w:val="32"/>
          <w:szCs w:val="32"/>
        </w:rPr>
        <w:t>。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一是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加强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廉政风险预警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监测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</w:rPr>
        <w:t>通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过廉政风险动态监控、群众测评、效能投诉等发现存在或可能发生廉政问题时，及时向有关窗口或个人发出预警信号，及时纠正工作中的失误和偏差，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坚决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堵塞漏洞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 w:cs="仿宋_GB2312"/>
          <w:color w:val="auto"/>
          <w:sz w:val="32"/>
          <w:szCs w:val="32"/>
        </w:rPr>
        <w:t>避免问题演化发展成违纪违法行为。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二是</w:t>
      </w:r>
      <w:r>
        <w:rPr>
          <w:rFonts w:hint="eastAsia" w:eastAsia="仿宋_GB2312"/>
          <w:sz w:val="32"/>
          <w:szCs w:val="32"/>
          <w:lang w:val="en-US" w:eastAsia="zh-CN"/>
        </w:rPr>
        <w:t>加强对防控监管措施落实情况开展监督检查，确保行政审批依法依规。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2023年全年未发</w:t>
      </w:r>
      <w:r>
        <w:rPr>
          <w:rFonts w:hint="eastAsia" w:eastAsia="仿宋_GB2312"/>
          <w:sz w:val="32"/>
          <w:szCs w:val="32"/>
          <w:lang w:val="en-US" w:eastAsia="zh-CN"/>
        </w:rPr>
        <w:t>现有关违法违规行为和举报投诉情况。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楷体_GB2312"/>
          <w:b/>
          <w:bCs/>
          <w:sz w:val="32"/>
          <w:szCs w:val="32"/>
          <w:lang w:eastAsia="zh-CN"/>
        </w:rPr>
        <w:t>（四）</w:t>
      </w:r>
      <w:r>
        <w:rPr>
          <w:rFonts w:eastAsia="楷体_GB2312"/>
          <w:b/>
          <w:bCs/>
          <w:sz w:val="32"/>
          <w:szCs w:val="32"/>
        </w:rPr>
        <w:t>实施效果情况。</w:t>
      </w:r>
      <w:r>
        <w:rPr>
          <w:rFonts w:hint="eastAsia" w:eastAsia="仿宋_GB2312"/>
          <w:sz w:val="32"/>
          <w:szCs w:val="32"/>
        </w:rPr>
        <w:t>缩短行政许可的</w:t>
      </w:r>
      <w:r>
        <w:rPr>
          <w:rFonts w:hint="eastAsia" w:eastAsia="仿宋_GB2312"/>
          <w:sz w:val="32"/>
          <w:szCs w:val="32"/>
          <w:lang w:eastAsia="zh-CN"/>
        </w:rPr>
        <w:t>办结</w:t>
      </w:r>
      <w:r>
        <w:rPr>
          <w:rFonts w:hint="eastAsia" w:eastAsia="仿宋_GB2312"/>
          <w:sz w:val="32"/>
          <w:szCs w:val="32"/>
        </w:rPr>
        <w:t>时限</w:t>
      </w:r>
      <w:r>
        <w:rPr>
          <w:rFonts w:hint="eastAsia" w:eastAsia="仿宋_GB2312"/>
          <w:sz w:val="32"/>
          <w:szCs w:val="32"/>
          <w:lang w:eastAsia="zh-CN"/>
        </w:rPr>
        <w:t>，通过</w:t>
      </w:r>
      <w:r>
        <w:rPr>
          <w:rFonts w:hint="default" w:eastAsia="仿宋_GB2312"/>
          <w:sz w:val="32"/>
          <w:szCs w:val="32"/>
          <w:lang w:val="en-US" w:eastAsia="zh-CN"/>
        </w:rPr>
        <w:t>优化和规范审批流程、</w:t>
      </w:r>
      <w:r>
        <w:rPr>
          <w:rFonts w:hint="eastAsia" w:eastAsia="仿宋_GB2312"/>
          <w:sz w:val="32"/>
          <w:szCs w:val="32"/>
          <w:lang w:val="en-US" w:eastAsia="zh-CN"/>
        </w:rPr>
        <w:t>实行“网上办，一次办，马上办”的审批服务形式，</w:t>
      </w:r>
      <w:r>
        <w:rPr>
          <w:rFonts w:hint="default" w:eastAsia="仿宋_GB2312"/>
          <w:sz w:val="32"/>
          <w:szCs w:val="32"/>
          <w:lang w:val="en-US" w:eastAsia="zh-CN"/>
        </w:rPr>
        <w:t>方便行政相对人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default" w:eastAsia="仿宋_GB2312"/>
          <w:sz w:val="32"/>
          <w:szCs w:val="32"/>
          <w:lang w:val="en-US" w:eastAsia="zh-CN"/>
        </w:rPr>
        <w:t>提高审批效率，</w:t>
      </w:r>
      <w:r>
        <w:rPr>
          <w:rFonts w:hint="eastAsia" w:eastAsia="仿宋_GB2312"/>
          <w:sz w:val="32"/>
          <w:szCs w:val="32"/>
          <w:lang w:val="en-US" w:eastAsia="zh-CN"/>
        </w:rPr>
        <w:t>实现</w:t>
      </w:r>
      <w:r>
        <w:rPr>
          <w:rFonts w:hint="default" w:eastAsia="仿宋_GB2312"/>
          <w:sz w:val="32"/>
          <w:szCs w:val="32"/>
          <w:lang w:val="en-US" w:eastAsia="zh-CN"/>
        </w:rPr>
        <w:t>企业办事全程网络化，</w:t>
      </w:r>
      <w:r>
        <w:rPr>
          <w:rFonts w:hint="eastAsia" w:eastAsia="仿宋_GB2312"/>
          <w:sz w:val="32"/>
          <w:szCs w:val="32"/>
          <w:lang w:val="en-US" w:eastAsia="zh-CN"/>
        </w:rPr>
        <w:t>做到</w:t>
      </w:r>
      <w:r>
        <w:rPr>
          <w:rFonts w:hint="default" w:eastAsia="仿宋_GB2312"/>
          <w:sz w:val="32"/>
          <w:szCs w:val="32"/>
          <w:lang w:val="en-US" w:eastAsia="zh-CN"/>
        </w:rPr>
        <w:t>方便快捷。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楷体_GB2312"/>
          <w:b/>
          <w:bCs/>
          <w:sz w:val="32"/>
          <w:szCs w:val="32"/>
          <w:lang w:eastAsia="zh-CN"/>
        </w:rPr>
        <w:t>（五）</w:t>
      </w:r>
      <w:r>
        <w:rPr>
          <w:rFonts w:eastAsia="楷体_GB2312"/>
          <w:b/>
          <w:bCs/>
          <w:sz w:val="32"/>
          <w:szCs w:val="32"/>
        </w:rPr>
        <w:t>推行标准化情况。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我局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</w:rPr>
        <w:t>按全市统一要求收取申请人申请材料，没有擅自改变、增设提交申请材料要求，没有变相提高准入门槛。在全市统一的审批承诺时限内，严格在承诺时间办结项目，没有擅自延长办结时限</w:t>
      </w:r>
      <w:r>
        <w:rPr>
          <w:rFonts w:hint="eastAsia" w:asci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Style w:val="5"/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现我局行政审批没有涉企收费和中介服务项目。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二、存在问题和困难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暂无。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三、下一步工作措施及有关建议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default" w:eastAsia="仿宋_GB2312"/>
          <w:sz w:val="32"/>
          <w:szCs w:val="32"/>
          <w:lang w:val="en-US" w:eastAsia="zh-CN"/>
        </w:rPr>
        <w:t>（一）</w:t>
      </w:r>
      <w:r>
        <w:rPr>
          <w:rFonts w:hint="eastAsia" w:eastAsia="仿宋_GB2312"/>
          <w:sz w:val="32"/>
          <w:szCs w:val="32"/>
          <w:lang w:val="en-US" w:eastAsia="zh-CN"/>
        </w:rPr>
        <w:t>加强</w:t>
      </w:r>
      <w:r>
        <w:rPr>
          <w:rFonts w:hint="default" w:eastAsia="仿宋_GB2312"/>
          <w:sz w:val="32"/>
          <w:szCs w:val="32"/>
          <w:lang w:val="en-US" w:eastAsia="zh-CN"/>
        </w:rPr>
        <w:t>监管</w:t>
      </w:r>
      <w:r>
        <w:rPr>
          <w:rFonts w:hint="eastAsia" w:eastAsia="仿宋_GB2312"/>
          <w:sz w:val="32"/>
          <w:szCs w:val="32"/>
          <w:lang w:val="en-US" w:eastAsia="zh-CN"/>
        </w:rPr>
        <w:t>力度</w:t>
      </w:r>
      <w:r>
        <w:rPr>
          <w:rFonts w:hint="default" w:eastAsia="仿宋_GB2312"/>
          <w:sz w:val="32"/>
          <w:szCs w:val="32"/>
          <w:lang w:val="en-US" w:eastAsia="zh-CN"/>
        </w:rPr>
        <w:t>，狠抓制度落实。围绕“依法、规范、便民、高效”的原则，不断完善内部监督机制，继续抓好机关效能建设，为规范行为、依法行政提供保证。</w:t>
      </w:r>
    </w:p>
    <w:p>
      <w:pPr>
        <w:spacing w:line="560" w:lineRule="exact"/>
        <w:ind w:firstLine="63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</w:rPr>
        <w:t>着重抓好效能监察和政务督查等工作机制，形成强有力的监督，防止不作为、乱作为、缓作为等行为，为</w:t>
      </w:r>
      <w:r>
        <w:rPr>
          <w:rFonts w:hint="eastAsia" w:ascii="仿宋_GB2312" w:eastAsia="仿宋_GB2312"/>
          <w:sz w:val="32"/>
          <w:szCs w:val="32"/>
          <w:lang w:eastAsia="zh-CN"/>
        </w:rPr>
        <w:t>全区</w:t>
      </w:r>
      <w:r>
        <w:rPr>
          <w:rFonts w:hint="eastAsia" w:ascii="仿宋_GB2312" w:eastAsia="仿宋_GB2312"/>
          <w:sz w:val="32"/>
          <w:szCs w:val="32"/>
        </w:rPr>
        <w:t>经济社会发展营造良好环境。</w:t>
      </w:r>
    </w:p>
    <w:p>
      <w:pPr>
        <w:pStyle w:val="2"/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</w:pPr>
    </w:p>
    <w:p>
      <w:pPr>
        <w:jc w:val="right"/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广州市</w:t>
      </w:r>
      <w:r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  <w:t>增城区科技工业商务和信息化局</w:t>
      </w:r>
    </w:p>
    <w:p>
      <w:pPr>
        <w:jc w:val="center"/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                   </w:t>
      </w:r>
      <w:r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24</w:t>
      </w:r>
      <w:r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  <w:t>年3月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26</w:t>
      </w:r>
      <w:bookmarkStart w:id="0" w:name="_GoBack"/>
      <w:bookmarkEnd w:id="0"/>
      <w:r>
        <w:rPr>
          <w:rFonts w:hint="eastAsia" w:ascii="仿宋_GB2312" w:hAnsi="Calibri" w:eastAsia="仿宋_GB2312" w:cs="Times New Roman"/>
          <w:b w:val="0"/>
          <w:kern w:val="2"/>
          <w:sz w:val="32"/>
          <w:szCs w:val="32"/>
          <w:lang w:val="en-US" w:eastAsia="zh-CN" w:bidi="ar-SA"/>
        </w:rPr>
        <w:t>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0BBB3B"/>
    <w:multiLevelType w:val="singleLevel"/>
    <w:tmpl w:val="FD0BBB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E1FBE"/>
    <w:rsid w:val="0F3F4E85"/>
    <w:rsid w:val="2B000756"/>
    <w:rsid w:val="37412EF4"/>
    <w:rsid w:val="3B503E8C"/>
    <w:rsid w:val="48E2613B"/>
    <w:rsid w:val="4CB36365"/>
    <w:rsid w:val="536B7C21"/>
    <w:rsid w:val="5CF77DB4"/>
    <w:rsid w:val="649E4C0E"/>
    <w:rsid w:val="7490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2023-03-29T06:03:00Z</dcterms:created>
  <dc:creator>Administrator</dc:creator>
  <cp:lastModifiedBy>Administrator</cp:lastModifiedBy>
  <cp:lastPrinted>2024-03-25T03:41:00Z</cp:lastPrinted>
  <dcterms:modified xsi:type="dcterms:W3CDTF">2024-03-27T01:29:00Z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