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48" w:beforeLines="20" w:after="48" w:afterLines="20" w:line="360" w:lineRule="auto"/>
        <w:jc w:val="left"/>
        <w:outlineLvl w:val="0"/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-SA"/>
          <w14:ligatures w14:val="none"/>
        </w:rPr>
      </w:pPr>
      <w:bookmarkStart w:id="0" w:name="_Toc11850343"/>
      <w:bookmarkStart w:id="1" w:name="_Toc25411"/>
      <w:r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-SA"/>
          <w14:ligatures w14:val="none"/>
        </w:rPr>
        <w:t>附件2</w:t>
      </w:r>
    </w:p>
    <w:p>
      <w:pPr>
        <w:keepNext/>
        <w:keepLines/>
        <w:widowControl w:val="0"/>
        <w:spacing w:before="48" w:beforeLines="20" w:after="48" w:afterLines="20" w:line="360" w:lineRule="auto"/>
        <w:jc w:val="center"/>
        <w:outlineLvl w:val="0"/>
        <w:rPr>
          <w:rFonts w:hint="eastAsia" w:ascii="宋体" w:hAnsi="宋体" w:eastAsia="宋体" w:cs="Times New Roman"/>
          <w:b/>
          <w:bCs/>
          <w:color w:val="auto"/>
          <w:kern w:val="44"/>
          <w:sz w:val="44"/>
          <w:szCs w:val="44"/>
          <w:highlight w:val="none"/>
          <w:lang w:val="en-US" w:eastAsia="zh-CN" w:bidi="ar-SA"/>
          <w14:ligatures w14:val="none"/>
        </w:rPr>
      </w:pPr>
      <w:r>
        <w:rPr>
          <w:rFonts w:hint="eastAsia" w:ascii="宋体" w:hAnsi="宋体" w:eastAsia="宋体" w:cs="Times New Roman"/>
          <w:b/>
          <w:bCs/>
          <w:color w:val="auto"/>
          <w:kern w:val="44"/>
          <w:sz w:val="44"/>
          <w:szCs w:val="44"/>
          <w:highlight w:val="none"/>
          <w:lang w:val="en-US" w:eastAsia="zh-CN" w:bidi="ar-SA"/>
          <w14:ligatures w14:val="none"/>
        </w:rPr>
        <w:t>评标细则（综合评估法）</w:t>
      </w:r>
      <w:bookmarkEnd w:id="0"/>
      <w:bookmarkEnd w:id="1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30"/>
        <w:gridCol w:w="537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99" w:type="dxa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  <w:t>序号</w:t>
            </w:r>
          </w:p>
        </w:tc>
        <w:tc>
          <w:tcPr>
            <w:tcW w:w="1230" w:type="dxa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  <w:t>评审因素</w:t>
            </w:r>
          </w:p>
        </w:tc>
        <w:tc>
          <w:tcPr>
            <w:tcW w:w="5370" w:type="dxa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  <w:t>评审标准</w:t>
            </w:r>
          </w:p>
        </w:tc>
        <w:tc>
          <w:tcPr>
            <w:tcW w:w="1223" w:type="dxa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2"/>
                <w:vertAlign w:val="baseline"/>
                <w:lang w:eastAsia="zh-CN"/>
                <w14:ligatures w14:val="none"/>
              </w:rPr>
              <w:t>评审得分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9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人员架构（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30分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）</w:t>
            </w:r>
          </w:p>
        </w:tc>
        <w:tc>
          <w:tcPr>
            <w:tcW w:w="5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14:ligatures w14:val="none"/>
              </w:rPr>
              <w:t>项目负责人：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  <w14:ligatures w14:val="none"/>
              </w:rPr>
              <w:t>①</w:t>
            </w:r>
            <w:r>
              <w:rPr>
                <w:rFonts w:hint="eastAsia" w:ascii="Times New Roman" w:hAnsi="Times New Roman" w:eastAsia="宋体" w:cs="Times New Roman"/>
                <w:szCs w:val="22"/>
                <w14:ligatures w14:val="none"/>
              </w:rPr>
              <w:t>具有工程类高级或以上职称的，得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  <w14:ligatures w14:val="none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2"/>
                <w14:ligatures w14:val="none"/>
              </w:rPr>
              <w:t xml:space="preserve">分； 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  <w14:ligatures w14:val="none"/>
              </w:rPr>
              <w:t>②</w:t>
            </w:r>
            <w:r>
              <w:rPr>
                <w:rFonts w:hint="eastAsia" w:ascii="Times New Roman" w:hAnsi="Times New Roman" w:eastAsia="宋体" w:cs="Times New Roman"/>
                <w:szCs w:val="22"/>
                <w14:ligatures w14:val="none"/>
              </w:rPr>
              <w:t>具有中级（或以上）招采人员专业技术能力评价证书得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  <w14:ligatures w14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2"/>
                <w14:ligatures w14:val="none"/>
              </w:rPr>
              <w:t>分。（须同时提供国家级协会颁发的证书及该协会在“中国社会组织政务服务平台”网站的登记信息查询结果网页打印件，否则不予计分。）本项最高得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  <w14:ligatures w14:val="none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2"/>
                <w14:ligatures w14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配备人员（项目负责人除外）：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①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拟投入的人员中配备工程类中级或以上职称的，每配备1名得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5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分，最多得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10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分；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②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除第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①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点拟投入的人员外，拟投入的人员中配备有效的注册造价工程师或一级注册造价工程师，每配备1名得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5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分，最多得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5</w:t>
            </w:r>
            <w:r>
              <w:rPr>
                <w:rFonts w:hint="eastAsia" w:ascii="Times New Roman" w:hAnsi="Times New Roman" w:eastAsia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  <w14:ligatures w14:val="none"/>
              </w:rPr>
              <w:t>分。本项最高得15分。</w:t>
            </w:r>
          </w:p>
        </w:tc>
        <w:tc>
          <w:tcPr>
            <w:tcW w:w="1223" w:type="dxa"/>
          </w:tcPr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9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投标报价（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50分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）</w:t>
            </w:r>
          </w:p>
        </w:tc>
        <w:tc>
          <w:tcPr>
            <w:tcW w:w="5370" w:type="dxa"/>
          </w:tcPr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有效报价下浮率为0-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0%，超出有效报价范围的报价不参与计算报价基准价。取所有入围有效报价的算术平均值作为报价基准价（保留小数点后二位，第三位小数四舍五入）。以评标基准价作为计算各有效投标价得分的基础，当有效投标报价等于评标基准价时得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50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分；其余有效报价与评标基准价相比，每高1%的扣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分，每低1%的扣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分，最多扣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50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分。</w:t>
            </w:r>
          </w:p>
        </w:tc>
        <w:tc>
          <w:tcPr>
            <w:tcW w:w="1223" w:type="dxa"/>
          </w:tcPr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9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实施方案（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20分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）</w:t>
            </w:r>
          </w:p>
        </w:tc>
        <w:tc>
          <w:tcPr>
            <w:tcW w:w="5370" w:type="dxa"/>
          </w:tcPr>
          <w:p>
            <w:pPr>
              <w:spacing w:after="200" w:line="276" w:lineRule="auto"/>
              <w:jc w:val="both"/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①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招标代理实施方案能根据建设项目的服务需求做出深入分析，思路清晰，实施步骤明晰，措施完善、可行，人员和设备配置齐全，对实施过程有规范的管理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，时效性强，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得（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16-20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分；</w:t>
            </w:r>
          </w:p>
          <w:p>
            <w:pPr>
              <w:spacing w:after="200" w:line="276" w:lineRule="auto"/>
              <w:jc w:val="both"/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②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实施方案基本可行，完善性、针对性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、时效性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等相对较好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得（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11-15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分；</w:t>
            </w:r>
          </w:p>
          <w:p>
            <w:pPr>
              <w:spacing w:after="200" w:line="276" w:lineRule="auto"/>
              <w:jc w:val="both"/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③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有实施方案，但方案欠完善性、针对性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、时效性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不强，得（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10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分；</w:t>
            </w:r>
          </w:p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④</w:t>
            </w: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14:ligatures w14:val="none"/>
              </w:rPr>
              <w:t>未提供方案，得0分。</w:t>
            </w:r>
          </w:p>
        </w:tc>
        <w:tc>
          <w:tcPr>
            <w:tcW w:w="1223" w:type="dxa"/>
          </w:tcPr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9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eastAsia="zh-CN"/>
                <w14:ligatures w14:val="none"/>
              </w:rPr>
              <w:t>合计</w:t>
            </w:r>
          </w:p>
        </w:tc>
        <w:tc>
          <w:tcPr>
            <w:tcW w:w="1230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vertAlign w:val="baseline"/>
                <w:lang w:val="en-US" w:eastAsia="zh-CN"/>
                <w14:ligatures w14:val="none"/>
              </w:rPr>
              <w:t>100分</w:t>
            </w:r>
          </w:p>
        </w:tc>
        <w:tc>
          <w:tcPr>
            <w:tcW w:w="5370" w:type="dxa"/>
          </w:tcPr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</w:p>
        </w:tc>
        <w:tc>
          <w:tcPr>
            <w:tcW w:w="1223" w:type="dxa"/>
          </w:tcPr>
          <w:p>
            <w:pPr>
              <w:spacing w:after="200" w:line="276" w:lineRule="auto"/>
              <w:jc w:val="both"/>
              <w:rPr>
                <w:rFonts w:ascii="Times New Roman" w:hAnsi="Times New Roman" w:eastAsia="宋体" w:cs="Times New Roman"/>
                <w:szCs w:val="22"/>
                <w:vertAlign w:val="baseline"/>
                <w14:ligatures w14:val="none"/>
              </w:rPr>
            </w:pPr>
          </w:p>
        </w:tc>
      </w:tr>
    </w:tbl>
    <w:p>
      <w:pPr>
        <w:spacing w:after="200" w:line="276" w:lineRule="auto"/>
        <w:jc w:val="left"/>
        <w:rPr>
          <w:rFonts w:ascii="Times New Roman" w:hAnsi="Times New Roman" w:eastAsia="宋体" w:cs="Times New Roman"/>
          <w:szCs w:val="22"/>
          <w14:ligatures w14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YjJjZWYwYWVhMGU0ZmE5NTk4MDUzNTYwMjA5NjkifQ=="/>
  </w:docVars>
  <w:rsids>
    <w:rsidRoot w:val="1CBE3C76"/>
    <w:rsid w:val="1CBE3C76"/>
    <w:rsid w:val="6AF5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autoRedefine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2024-03-28T06:42:00Z</dcterms:created>
  <dc:creator>Administrator</dc:creator>
  <cp:lastModifiedBy>WPS_1628753304</cp:lastModifiedBy>
  <dcterms:modified xsi:type="dcterms:W3CDTF">2024-04-12T04:16:29Z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03E998D3C6894FAB89594EFF0DD851DA_12</vt:lpwstr>
  </property>
</Properties>
</file>