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bookmarkStart w:id="0" w:name="_GoBack"/>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2024年增城区新泉小学招生工作方案</w:t>
      </w:r>
      <w:bookmarkEnd w:id="0"/>
    </w:p>
    <w:p>
      <w:pPr>
        <w:keepNext w:val="0"/>
        <w:keepLines w:val="0"/>
        <w:pageBreakBefore w:val="0"/>
        <w:widowControl w:val="0"/>
        <w:kinsoku/>
        <w:wordWrap/>
        <w:overflowPunct/>
        <w:topLinePunct w:val="0"/>
        <w:autoSpaceDE/>
        <w:autoSpaceDN/>
        <w:bidi w:val="0"/>
        <w:adjustRightInd/>
        <w:snapToGrid/>
        <w:spacing w:line="660" w:lineRule="exact"/>
        <w:ind w:firstLine="658"/>
        <w:textAlignment w:val="auto"/>
        <w:rPr>
          <w:rFonts w:hint="eastAsia" w:ascii="仿宋_GB2312" w:hAnsi="仿宋_GB2312" w:eastAsia="仿宋_GB2312" w:cs="仿宋_GB2312"/>
          <w:color w:val="000000" w:themeColor="text1"/>
          <w:spacing w:val="-1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color w:val="000000" w:themeColor="text1"/>
          <w:spacing w:val="-24"/>
          <w:sz w:val="32"/>
          <w:szCs w:val="32"/>
          <w14:textFill>
            <w14:solidFill>
              <w14:schemeClr w14:val="tx1"/>
            </w14:solidFill>
          </w14:textFill>
        </w:rPr>
      </w:pPr>
      <w:r>
        <w:rPr>
          <w:rFonts w:hint="eastAsia" w:ascii="仿宋_GB2312" w:hAnsi="仿宋_GB2312" w:eastAsia="仿宋_GB2312" w:cs="仿宋_GB2312"/>
          <w:color w:val="000000" w:themeColor="text1"/>
          <w:spacing w:val="-10"/>
          <w:sz w:val="32"/>
          <w:szCs w:val="32"/>
          <w14:textFill>
            <w14:solidFill>
              <w14:schemeClr w14:val="tx1"/>
            </w14:solidFill>
          </w14:textFill>
        </w:rPr>
        <w:t>为贯彻落实《中华人民共和国义务教育法》和上级有关文件、</w:t>
      </w:r>
      <w:r>
        <w:rPr>
          <w:rFonts w:hint="eastAsia" w:ascii="仿宋_GB2312" w:hAnsi="仿宋_GB2312" w:eastAsia="仿宋_GB2312" w:cs="仿宋_GB2312"/>
          <w:color w:val="000000" w:themeColor="text1"/>
          <w:spacing w:val="23"/>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1"/>
          <w:sz w:val="32"/>
          <w:szCs w:val="32"/>
          <w14:textFill>
            <w14:solidFill>
              <w14:schemeClr w14:val="tx1"/>
            </w14:solidFill>
          </w14:textFill>
        </w:rPr>
        <w:t>政策精神，</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更好地解决东部枢纽核心区域范围内适龄儿童入学问题，</w:t>
      </w:r>
      <w:r>
        <w:rPr>
          <w:rFonts w:hint="eastAsia" w:ascii="仿宋_GB2312" w:hAnsi="仿宋_GB2312" w:eastAsia="仿宋_GB2312" w:cs="仿宋_GB2312"/>
          <w:color w:val="000000" w:themeColor="text1"/>
          <w:spacing w:val="-1"/>
          <w:sz w:val="32"/>
          <w:szCs w:val="32"/>
          <w14:textFill>
            <w14:solidFill>
              <w14:schemeClr w14:val="tx1"/>
            </w14:solidFill>
          </w14:textFill>
        </w:rPr>
        <w:t>让教育发展成果更公平</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更好</w:t>
      </w:r>
      <w:r>
        <w:rPr>
          <w:rFonts w:hint="eastAsia" w:ascii="仿宋_GB2312" w:hAnsi="仿宋_GB2312" w:eastAsia="仿宋_GB2312" w:cs="仿宋_GB2312"/>
          <w:color w:val="000000" w:themeColor="text1"/>
          <w:spacing w:val="-1"/>
          <w:sz w:val="32"/>
          <w:szCs w:val="32"/>
          <w14:textFill>
            <w14:solidFill>
              <w14:schemeClr w14:val="tx1"/>
            </w14:solidFill>
          </w14:textFill>
        </w:rPr>
        <w:t>地惠及</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东部枢纽核心区域</w:t>
      </w:r>
      <w:r>
        <w:rPr>
          <w:rFonts w:hint="eastAsia" w:ascii="仿宋_GB2312" w:hAnsi="仿宋_GB2312" w:eastAsia="仿宋_GB2312" w:cs="仿宋_GB2312"/>
          <w:color w:val="000000" w:themeColor="text1"/>
          <w:spacing w:val="-1"/>
          <w:sz w:val="32"/>
          <w:szCs w:val="32"/>
          <w14:textFill>
            <w14:solidFill>
              <w14:schemeClr w14:val="tx1"/>
            </w14:solidFill>
          </w14:textFill>
        </w:rPr>
        <w:t>群众，</w:t>
      </w:r>
      <w:r>
        <w:rPr>
          <w:rFonts w:hint="eastAsia" w:ascii="仿宋_GB2312" w:hAnsi="仿宋_GB2312" w:eastAsia="仿宋_GB2312" w:cs="仿宋_GB2312"/>
          <w:color w:val="000000" w:themeColor="text1"/>
          <w:spacing w:val="-10"/>
          <w:sz w:val="32"/>
          <w:szCs w:val="32"/>
          <w14:textFill>
            <w14:solidFill>
              <w14:schemeClr w14:val="tx1"/>
            </w14:solidFill>
          </w14:textFill>
        </w:rPr>
        <w:t>现制定</w:t>
      </w:r>
      <w:r>
        <w:rPr>
          <w:rFonts w:hint="eastAsia" w:ascii="仿宋_GB2312" w:hAnsi="仿宋_GB2312" w:eastAsia="仿宋_GB2312" w:cs="仿宋_GB2312"/>
          <w:color w:val="000000" w:themeColor="text1"/>
          <w:spacing w:val="-10"/>
          <w:sz w:val="32"/>
          <w:szCs w:val="32"/>
          <w:lang w:val="en-US" w:eastAsia="zh-CN"/>
          <w14:textFill>
            <w14:solidFill>
              <w14:schemeClr w14:val="tx1"/>
            </w14:solidFill>
          </w14:textFill>
        </w:rPr>
        <w:t>增城区新泉小学</w:t>
      </w:r>
      <w:r>
        <w:rPr>
          <w:rFonts w:hint="eastAsia" w:ascii="仿宋_GB2312" w:hAnsi="仿宋_GB2312" w:eastAsia="仿宋_GB2312" w:cs="仿宋_GB2312"/>
          <w:color w:val="000000" w:themeColor="text1"/>
          <w:spacing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10"/>
          <w:sz w:val="32"/>
          <w:szCs w:val="32"/>
          <w:lang w:eastAsia="zh-CN"/>
          <w14:textFill>
            <w14:solidFill>
              <w14:schemeClr w14:val="tx1"/>
            </w14:solidFill>
          </w14:textFill>
        </w:rPr>
        <w:t>2024</w:t>
      </w:r>
      <w:r>
        <w:rPr>
          <w:rFonts w:hint="eastAsia" w:ascii="仿宋_GB2312" w:hAnsi="仿宋_GB2312" w:eastAsia="仿宋_GB2312" w:cs="仿宋_GB2312"/>
          <w:color w:val="000000" w:themeColor="text1"/>
          <w:spacing w:val="-10"/>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10"/>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spacing w:val="-10"/>
          <w:sz w:val="32"/>
          <w:szCs w:val="32"/>
          <w14:textFill>
            <w14:solidFill>
              <w14:schemeClr w14:val="tx1"/>
            </w14:solidFill>
          </w14:textFill>
        </w:rPr>
        <w:t>招生</w:t>
      </w:r>
      <w:r>
        <w:rPr>
          <w:rFonts w:hint="eastAsia" w:ascii="仿宋_GB2312" w:hAnsi="仿宋_GB2312" w:eastAsia="仿宋_GB2312" w:cs="仿宋_GB2312"/>
          <w:color w:val="000000" w:themeColor="text1"/>
          <w:spacing w:val="-10"/>
          <w:sz w:val="32"/>
          <w:szCs w:val="32"/>
          <w:lang w:val="en-US" w:eastAsia="zh-CN"/>
          <w14:textFill>
            <w14:solidFill>
              <w14:schemeClr w14:val="tx1"/>
            </w14:solidFill>
          </w14:textFill>
        </w:rPr>
        <w:t>工作</w:t>
      </w:r>
      <w:r>
        <w:rPr>
          <w:rFonts w:hint="eastAsia" w:ascii="仿宋_GB2312" w:hAnsi="仿宋_GB2312" w:eastAsia="仿宋_GB2312" w:cs="仿宋_GB2312"/>
          <w:color w:val="000000" w:themeColor="text1"/>
          <w:spacing w:val="-10"/>
          <w:sz w:val="32"/>
          <w:szCs w:val="32"/>
          <w14:textFill>
            <w14:solidFill>
              <w14:schemeClr w14:val="tx1"/>
            </w14:solidFill>
          </w14:textFill>
        </w:rPr>
        <w:t>方案。</w:t>
      </w:r>
    </w:p>
    <w:p>
      <w:pPr>
        <w:keepNext w:val="0"/>
        <w:keepLines w:val="0"/>
        <w:pageBreakBefore w:val="0"/>
        <w:widowControl w:val="0"/>
        <w:numPr>
          <w:ilvl w:val="0"/>
          <w:numId w:val="1"/>
        </w:numPr>
        <w:kinsoku/>
        <w:wordWrap/>
        <w:overflowPunct/>
        <w:topLinePunct w:val="0"/>
        <w:autoSpaceDE/>
        <w:autoSpaceDN/>
        <w:bidi w:val="0"/>
        <w:spacing w:line="560" w:lineRule="exact"/>
        <w:ind w:left="-28" w:leftChars="0" w:firstLine="658" w:firstLineChars="0"/>
        <w:textAlignment w:val="auto"/>
        <w:rPr>
          <w:rFonts w:hint="eastAsia" w:ascii="黑体" w:hAnsi="黑体" w:eastAsia="黑体" w:cs="黑体"/>
          <w:color w:val="000000" w:themeColor="text1"/>
          <w:spacing w:val="-24"/>
          <w:sz w:val="32"/>
          <w:szCs w:val="32"/>
          <w:lang w:val="en-US" w:eastAsia="zh-CN"/>
          <w14:textFill>
            <w14:solidFill>
              <w14:schemeClr w14:val="tx1"/>
            </w14:solidFill>
          </w14:textFill>
        </w:rPr>
      </w:pPr>
      <w:r>
        <w:rPr>
          <w:rFonts w:hint="eastAsia" w:ascii="黑体" w:hAnsi="黑体" w:eastAsia="黑体" w:cs="黑体"/>
          <w:color w:val="000000" w:themeColor="text1"/>
          <w:spacing w:val="-24"/>
          <w:sz w:val="32"/>
          <w:szCs w:val="32"/>
          <w:lang w:val="en-US" w:eastAsia="zh-CN"/>
          <w14:textFill>
            <w14:solidFill>
              <w14:schemeClr w14:val="tx1"/>
            </w14:solidFill>
          </w14:textFill>
        </w:rPr>
        <w:t>招生原则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eastAsia" w:ascii="仿宋_GB2312" w:hAnsi="仿宋" w:eastAsia="仿宋_GB2312" w:cs="仿宋_GB2312"/>
          <w:color w:val="000000" w:themeColor="text1"/>
          <w:sz w:val="32"/>
          <w:szCs w:val="32"/>
          <w14:textFill>
            <w14:solidFill>
              <w14:schemeClr w14:val="tx1"/>
            </w14:solidFill>
          </w14:textFill>
        </w:rPr>
      </w:pPr>
      <w:r>
        <w:rPr>
          <w:rFonts w:hint="eastAsia" w:ascii="楷体_GB2312" w:hAnsi="仿宋" w:eastAsia="楷体_GB2312" w:cs="仿宋_GB2312"/>
          <w:b w:val="0"/>
          <w:bCs w:val="0"/>
          <w:color w:val="000000" w:themeColor="text1"/>
          <w:sz w:val="32"/>
          <w:szCs w:val="32"/>
          <w14:textFill>
            <w14:solidFill>
              <w14:schemeClr w14:val="tx1"/>
            </w14:solidFill>
          </w14:textFill>
        </w:rPr>
        <w:t>（一）属地管理原则。</w:t>
      </w:r>
      <w:r>
        <w:rPr>
          <w:rFonts w:hint="eastAsia" w:ascii="仿宋_GB2312" w:hAnsi="仿宋" w:eastAsia="仿宋_GB2312" w:cs="仿宋_GB2312"/>
          <w:color w:val="000000" w:themeColor="text1"/>
          <w:sz w:val="32"/>
          <w:szCs w:val="32"/>
          <w14:textFill>
            <w14:solidFill>
              <w14:schemeClr w14:val="tx1"/>
            </w14:solidFill>
          </w14:textFill>
        </w:rPr>
        <w:t>由</w:t>
      </w:r>
      <w:r>
        <w:rPr>
          <w:rFonts w:hint="eastAsia" w:ascii="仿宋_GB2312" w:hAnsi="仿宋" w:eastAsia="仿宋_GB2312" w:cs="仿宋_GB2312"/>
          <w:color w:val="000000" w:themeColor="text1"/>
          <w:sz w:val="32"/>
          <w:szCs w:val="32"/>
          <w:lang w:val="en-US" w:eastAsia="zh-CN"/>
          <w14:textFill>
            <w14:solidFill>
              <w14:schemeClr w14:val="tx1"/>
            </w14:solidFill>
          </w14:textFill>
        </w:rPr>
        <w:t>新塘</w:t>
      </w:r>
      <w:r>
        <w:rPr>
          <w:rFonts w:hint="eastAsia" w:ascii="仿宋_GB2312" w:hAnsi="仿宋" w:eastAsia="仿宋_GB2312" w:cs="仿宋_GB2312"/>
          <w:color w:val="000000" w:themeColor="text1"/>
          <w:sz w:val="32"/>
          <w:szCs w:val="32"/>
          <w:lang w:eastAsia="zh-CN"/>
          <w14:textFill>
            <w14:solidFill>
              <w14:schemeClr w14:val="tx1"/>
            </w14:solidFill>
          </w14:textFill>
        </w:rPr>
        <w:t>镇、</w:t>
      </w:r>
      <w:r>
        <w:rPr>
          <w:rFonts w:hint="eastAsia" w:ascii="仿宋_GB2312" w:hAnsi="仿宋" w:eastAsia="仿宋_GB2312" w:cs="仿宋_GB2312"/>
          <w:color w:val="000000" w:themeColor="text1"/>
          <w:sz w:val="32"/>
          <w:szCs w:val="32"/>
          <w:lang w:val="en-US" w:eastAsia="zh-CN"/>
          <w14:textFill>
            <w14:solidFill>
              <w14:schemeClr w14:val="tx1"/>
            </w14:solidFill>
          </w14:textFill>
        </w:rPr>
        <w:t>永宁街招生工作领导小组</w:t>
      </w:r>
      <w:r>
        <w:rPr>
          <w:rFonts w:hint="eastAsia" w:ascii="仿宋_GB2312" w:hAnsi="仿宋" w:eastAsia="仿宋_GB2312" w:cs="仿宋_GB2312"/>
          <w:color w:val="000000" w:themeColor="text1"/>
          <w:sz w:val="32"/>
          <w:szCs w:val="32"/>
          <w14:textFill>
            <w14:solidFill>
              <w14:schemeClr w14:val="tx1"/>
            </w14:solidFill>
          </w14:textFill>
        </w:rPr>
        <w:t>负责招生工作的统筹、规划、组织、协调、实施</w:t>
      </w:r>
      <w:r>
        <w:rPr>
          <w:rFonts w:hint="eastAsia" w:ascii="仿宋_GB2312" w:hAnsi="仿宋" w:eastAsia="仿宋_GB2312" w:cs="仿宋_GB2312"/>
          <w:color w:val="000000" w:themeColor="text1"/>
          <w:sz w:val="32"/>
          <w:szCs w:val="32"/>
          <w:lang w:eastAsia="zh-CN"/>
          <w14:textFill>
            <w14:solidFill>
              <w14:schemeClr w14:val="tx1"/>
            </w14:solidFill>
          </w14:textFill>
        </w:rPr>
        <w:t>、</w:t>
      </w:r>
      <w:r>
        <w:rPr>
          <w:rFonts w:hint="eastAsia" w:ascii="仿宋_GB2312" w:hAnsi="仿宋" w:eastAsia="仿宋_GB2312" w:cs="仿宋_GB2312"/>
          <w:color w:val="000000" w:themeColor="text1"/>
          <w:sz w:val="32"/>
          <w:szCs w:val="32"/>
          <w14:textFill>
            <w14:solidFill>
              <w14:schemeClr w14:val="tx1"/>
            </w14:solidFill>
          </w14:textFill>
        </w:rPr>
        <w:t>管理</w:t>
      </w:r>
      <w:r>
        <w:rPr>
          <w:rFonts w:hint="eastAsia" w:ascii="仿宋_GB2312" w:hAnsi="仿宋" w:eastAsia="仿宋_GB2312" w:cs="仿宋_GB2312"/>
          <w:color w:val="000000" w:themeColor="text1"/>
          <w:sz w:val="32"/>
          <w:szCs w:val="32"/>
          <w:lang w:val="en-US" w:eastAsia="zh-CN"/>
          <w14:textFill>
            <w14:solidFill>
              <w14:schemeClr w14:val="tx1"/>
            </w14:solidFill>
          </w14:textFill>
        </w:rPr>
        <w:t>及政策解释工作</w:t>
      </w:r>
      <w:r>
        <w:rPr>
          <w:rFonts w:hint="eastAsia" w:ascii="仿宋_GB2312" w:hAnsi="仿宋"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pacing w:val="-6"/>
          <w:kern w:val="0"/>
          <w:sz w:val="32"/>
          <w:szCs w:val="32"/>
          <w14:textFill>
            <w14:solidFill>
              <w14:schemeClr w14:val="tx1"/>
            </w14:solidFill>
          </w14:textFill>
        </w:rPr>
      </w:pPr>
      <w:r>
        <w:rPr>
          <w:rFonts w:hint="eastAsia" w:ascii="楷体_GB2312" w:hAnsi="仿宋" w:eastAsia="楷体_GB2312" w:cs="仿宋_GB2312"/>
          <w:b w:val="0"/>
          <w:bCs w:val="0"/>
          <w:color w:val="000000" w:themeColor="text1"/>
          <w:sz w:val="32"/>
          <w:szCs w:val="32"/>
          <w14:textFill>
            <w14:solidFill>
              <w14:schemeClr w14:val="tx1"/>
            </w14:solidFill>
          </w14:textFill>
        </w:rPr>
        <w:t>（二）免试就近入学原则。</w:t>
      </w:r>
      <w:r>
        <w:rPr>
          <w:rFonts w:hint="eastAsia" w:ascii="仿宋_GB2312" w:hAnsi="仿宋_GB2312" w:eastAsia="仿宋_GB2312" w:cs="仿宋_GB2312"/>
          <w:color w:val="000000" w:themeColor="text1"/>
          <w:spacing w:val="-6"/>
          <w:sz w:val="32"/>
          <w:szCs w:val="32"/>
          <w14:textFill>
            <w14:solidFill>
              <w14:schemeClr w14:val="tx1"/>
            </w14:solidFill>
          </w14:textFill>
        </w:rPr>
        <w:t>按照“学校划片招生、生源就近入学”的要求，推进义务教育学校招生免试就近入学全覆盖。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6"/>
          <w:kern w:val="0"/>
          <w:sz w:val="32"/>
          <w:szCs w:val="32"/>
          <w14:textFill>
            <w14:solidFill>
              <w14:schemeClr w14:val="tx1"/>
            </w14:solidFill>
          </w14:textFill>
        </w:rPr>
      </w:pPr>
      <w:r>
        <w:rPr>
          <w:rFonts w:hint="eastAsia" w:ascii="楷体_GB2312" w:hAnsi="仿宋" w:eastAsia="楷体_GB2312" w:cs="仿宋_GB2312"/>
          <w:b w:val="0"/>
          <w:bCs w:val="0"/>
          <w:color w:val="000000" w:themeColor="text1"/>
          <w:sz w:val="32"/>
          <w:szCs w:val="32"/>
          <w:lang w:eastAsia="zh-CN"/>
          <w14:textFill>
            <w14:solidFill>
              <w14:schemeClr w14:val="tx1"/>
            </w14:solidFill>
          </w14:textFill>
        </w:rPr>
        <w:t>（三）</w:t>
      </w:r>
      <w:r>
        <w:rPr>
          <w:rFonts w:hint="eastAsia" w:ascii="楷体" w:hAnsi="楷体" w:eastAsia="楷体" w:cs="楷体"/>
          <w:b w:val="0"/>
          <w:bCs w:val="0"/>
          <w:color w:val="000000" w:themeColor="text1"/>
          <w:sz w:val="32"/>
          <w:szCs w:val="32"/>
          <w14:textFill>
            <w14:solidFill>
              <w14:schemeClr w14:val="tx1"/>
            </w14:solidFill>
          </w14:textFill>
        </w:rPr>
        <w:t>人户一致原则。</w:t>
      </w:r>
      <w:r>
        <w:rPr>
          <w:rFonts w:hint="eastAsia" w:ascii="仿宋_GB2312" w:hAnsi="仿宋_GB2312" w:eastAsia="仿宋_GB2312" w:cs="仿宋_GB2312"/>
          <w:color w:val="000000" w:themeColor="text1"/>
          <w:kern w:val="0"/>
          <w:sz w:val="32"/>
          <w:szCs w:val="32"/>
          <w14:textFill>
            <w14:solidFill>
              <w14:schemeClr w14:val="tx1"/>
            </w14:solidFill>
          </w14:textFill>
        </w:rPr>
        <w:t>义务教育公办学校学位分配坚持</w:t>
      </w:r>
      <w:r>
        <w:rPr>
          <w:rFonts w:hint="eastAsia" w:ascii="仿宋_GB2312" w:hAnsi="仿宋_GB2312" w:eastAsia="仿宋_GB2312" w:cs="仿宋_GB2312"/>
          <w:color w:val="000000" w:themeColor="text1"/>
          <w:sz w:val="32"/>
          <w:szCs w:val="32"/>
          <w14:textFill>
            <w14:solidFill>
              <w14:schemeClr w14:val="tx1"/>
            </w14:solidFill>
          </w14:textFill>
        </w:rPr>
        <w:t>以实际居住地为依据、人户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须</w:t>
      </w:r>
      <w:r>
        <w:rPr>
          <w:rFonts w:hint="eastAsia" w:ascii="仿宋_GB2312" w:hAnsi="仿宋_GB2312" w:eastAsia="仿宋_GB2312" w:cs="仿宋_GB2312"/>
          <w:color w:val="000000" w:themeColor="text1"/>
          <w:sz w:val="32"/>
          <w:szCs w:val="32"/>
          <w14:textFill>
            <w14:solidFill>
              <w14:schemeClr w14:val="tx1"/>
            </w14:solidFill>
          </w14:textFill>
        </w:rPr>
        <w:t>一致的原则。</w:t>
      </w:r>
      <w:r>
        <w:rPr>
          <w:rFonts w:hint="eastAsia" w:ascii="仿宋_GB2312" w:hAnsi="仿宋_GB2312" w:eastAsia="仿宋_GB2312" w:cs="仿宋_GB2312"/>
          <w:color w:val="000000" w:themeColor="text1"/>
          <w:kern w:val="0"/>
          <w:sz w:val="32"/>
          <w:szCs w:val="32"/>
          <w14:textFill>
            <w14:solidFill>
              <w14:schemeClr w14:val="tx1"/>
            </w14:solidFill>
          </w14:textFill>
        </w:rPr>
        <w:t>“人户一致”主要是指适龄儿童户籍地址与其父母或者其他法定监护人所提供的实际居住有效文书资料（房屋所有权证、不动产权证书、</w:t>
      </w:r>
      <w:r>
        <w:rPr>
          <w:rFonts w:hint="eastAsia" w:ascii="仿宋_GB2312" w:hAnsi="仿宋_GB2312" w:eastAsia="仿宋_GB2312" w:cs="仿宋_GB2312"/>
          <w:color w:val="000000" w:themeColor="text1"/>
          <w:sz w:val="32"/>
          <w:szCs w:val="32"/>
          <w14:textFill>
            <w14:solidFill>
              <w14:schemeClr w14:val="tx1"/>
            </w14:solidFill>
          </w14:textFill>
        </w:rPr>
        <w:t>房管部门认可的购房合同及发票</w:t>
      </w:r>
      <w:r>
        <w:rPr>
          <w:rFonts w:hint="eastAsia" w:ascii="仿宋_GB2312" w:hAnsi="仿宋_GB2312" w:eastAsia="仿宋_GB2312" w:cs="仿宋_GB2312"/>
          <w:color w:val="000000" w:themeColor="text1"/>
          <w:kern w:val="0"/>
          <w:sz w:val="32"/>
          <w:szCs w:val="32"/>
          <w14:textFill>
            <w14:solidFill>
              <w14:schemeClr w14:val="tx1"/>
            </w14:solidFill>
          </w14:textFill>
        </w:rPr>
        <w:t>、宅基地使用证、集资房权属资料、经登记备案的租赁合同等）地址一致。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2"/>
        <w:textAlignment w:val="auto"/>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6"/>
          <w:kern w:val="0"/>
          <w:sz w:val="32"/>
          <w:szCs w:val="32"/>
          <w:lang w:val="en-US" w:eastAsia="zh-CN"/>
          <w14:textFill>
            <w14:solidFill>
              <w14:schemeClr w14:val="tx1"/>
            </w14:solidFill>
          </w14:textFill>
        </w:rPr>
        <w:t>用于小学入学登记的实际居住地有效文书资料为2022年5月1日后取得的家庭，该住宅单元需满足无以往业主的小孩在对口地段小学在读一至六年级（同一家庭适龄儿童申请入学的除外）。</w:t>
      </w:r>
    </w:p>
    <w:p>
      <w:pPr>
        <w:pStyle w:val="2"/>
        <w:rPr>
          <w:rFonts w:hint="eastAsia"/>
          <w:lang w:val="en-US" w:eastAsia="zh-CN"/>
        </w:rPr>
      </w:pPr>
    </w:p>
    <w:p>
      <w:pPr>
        <w:keepNext w:val="0"/>
        <w:keepLines w:val="0"/>
        <w:pageBreakBefore w:val="0"/>
        <w:numPr>
          <w:ilvl w:val="0"/>
          <w:numId w:val="1"/>
        </w:numPr>
        <w:kinsoku/>
        <w:wordWrap/>
        <w:overflowPunct/>
        <w:topLinePunct w:val="0"/>
        <w:bidi w:val="0"/>
        <w:spacing w:line="620" w:lineRule="exact"/>
        <w:ind w:left="-28" w:leftChars="0" w:firstLine="658" w:firstLineChars="0"/>
        <w:textAlignment w:val="auto"/>
        <w:rPr>
          <w:rFonts w:hint="eastAsia" w:ascii="黑体" w:hAnsi="黑体" w:eastAsia="黑体" w:cs="黑体"/>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color w:val="000000" w:themeColor="text1"/>
          <w:spacing w:val="-6"/>
          <w:kern w:val="0"/>
          <w:sz w:val="32"/>
          <w:szCs w:val="32"/>
          <w:lang w:val="en-US" w:eastAsia="zh-CN"/>
          <w14:textFill>
            <w14:solidFill>
              <w14:schemeClr w14:val="tx1"/>
            </w14:solidFill>
          </w14:textFill>
        </w:rPr>
        <w:t>招生范围与招生计划</w:t>
      </w:r>
    </w:p>
    <w:tbl>
      <w:tblPr>
        <w:tblStyle w:val="4"/>
        <w:tblpPr w:leftFromText="180" w:rightFromText="180" w:vertAnchor="text" w:horzAnchor="page" w:tblpXSpec="center" w:tblpY="256"/>
        <w:tblOverlap w:val="never"/>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5007"/>
        <w:gridCol w:w="126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69" w:type="dxa"/>
            <w:noWrap w:val="0"/>
            <w:vAlign w:val="center"/>
          </w:tcPr>
          <w:p>
            <w:pPr>
              <w:autoSpaceDE w:val="0"/>
              <w:autoSpaceDN w:val="0"/>
              <w:adjustRightInd w:val="0"/>
              <w:spacing w:line="520" w:lineRule="exact"/>
              <w:jc w:val="center"/>
              <w:rPr>
                <w:rFonts w:hint="eastAsia" w:ascii="黑体" w:hAnsi="黑体" w:eastAsia="黑体" w:cs="黑体"/>
                <w:color w:val="000000" w:themeColor="text1"/>
                <w:kern w:val="0"/>
                <w:sz w:val="24"/>
                <w:lang w:val="en-US" w:eastAsia="zh-CN"/>
                <w14:textFill>
                  <w14:solidFill>
                    <w14:schemeClr w14:val="tx1"/>
                  </w14:solidFill>
                </w14:textFill>
              </w:rPr>
            </w:pPr>
            <w:r>
              <w:rPr>
                <w:rFonts w:hint="eastAsia" w:ascii="黑体" w:hAnsi="黑体" w:eastAsia="黑体" w:cs="黑体"/>
                <w:color w:val="000000" w:themeColor="text1"/>
                <w:kern w:val="0"/>
                <w:sz w:val="24"/>
                <w:lang w:val="en-US" w:eastAsia="zh-CN"/>
                <w14:textFill>
                  <w14:solidFill>
                    <w14:schemeClr w14:val="tx1"/>
                  </w14:solidFill>
                </w14:textFill>
              </w:rPr>
              <w:t>镇街</w:t>
            </w:r>
          </w:p>
        </w:tc>
        <w:tc>
          <w:tcPr>
            <w:tcW w:w="5007" w:type="dxa"/>
            <w:noWrap w:val="0"/>
            <w:vAlign w:val="center"/>
          </w:tcPr>
          <w:p>
            <w:pPr>
              <w:autoSpaceDE w:val="0"/>
              <w:autoSpaceDN w:val="0"/>
              <w:adjustRightInd w:val="0"/>
              <w:spacing w:line="520" w:lineRule="exact"/>
              <w:jc w:val="center"/>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招生范围</w:t>
            </w:r>
          </w:p>
        </w:tc>
        <w:tc>
          <w:tcPr>
            <w:tcW w:w="1265" w:type="dxa"/>
            <w:noWrap w:val="0"/>
            <w:vAlign w:val="center"/>
          </w:tcPr>
          <w:p>
            <w:pPr>
              <w:autoSpaceDE w:val="0"/>
              <w:autoSpaceDN w:val="0"/>
              <w:adjustRightInd w:val="0"/>
              <w:spacing w:line="520" w:lineRule="exact"/>
              <w:jc w:val="center"/>
              <w:rPr>
                <w:rFonts w:hint="default" w:ascii="黑体" w:hAnsi="黑体" w:eastAsia="黑体" w:cs="黑体"/>
                <w:color w:val="000000" w:themeColor="text1"/>
                <w:kern w:val="0"/>
                <w:sz w:val="24"/>
                <w:lang w:val="en-US" w:eastAsia="zh-CN"/>
                <w14:textFill>
                  <w14:solidFill>
                    <w14:schemeClr w14:val="tx1"/>
                  </w14:solidFill>
                </w14:textFill>
              </w:rPr>
            </w:pPr>
            <w:r>
              <w:rPr>
                <w:rFonts w:hint="eastAsia" w:ascii="黑体" w:hAnsi="黑体" w:eastAsia="黑体" w:cs="黑体"/>
                <w:color w:val="000000" w:themeColor="text1"/>
                <w:kern w:val="0"/>
                <w:sz w:val="24"/>
                <w:lang w:val="en-US" w:eastAsia="zh-CN"/>
                <w14:textFill>
                  <w14:solidFill>
                    <w14:schemeClr w14:val="tx1"/>
                  </w14:solidFill>
                </w14:textFill>
              </w:rPr>
              <w:t>招生计划</w:t>
            </w:r>
          </w:p>
        </w:tc>
        <w:tc>
          <w:tcPr>
            <w:tcW w:w="1995" w:type="dxa"/>
            <w:noWrap w:val="0"/>
            <w:vAlign w:val="center"/>
          </w:tcPr>
          <w:p>
            <w:pPr>
              <w:autoSpaceDE w:val="0"/>
              <w:autoSpaceDN w:val="0"/>
              <w:adjustRightInd w:val="0"/>
              <w:spacing w:line="520" w:lineRule="exact"/>
              <w:jc w:val="center"/>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6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仿宋_GB2312" w:eastAsia="仿宋_GB2312" w:cs="仿宋_GB2312"/>
                <w:b w:val="0"/>
                <w:bCs w:val="0"/>
                <w:color w:val="000000" w:themeColor="text1"/>
                <w:sz w:val="24"/>
                <w14:textFill>
                  <w14:solidFill>
                    <w14:schemeClr w14:val="tx1"/>
                  </w14:solidFill>
                </w14:textFill>
              </w:rPr>
            </w:pPr>
            <w:r>
              <w:rPr>
                <w:rFonts w:hint="eastAsia" w:ascii="仿宋_GB2312" w:eastAsia="仿宋_GB2312" w:cs="仿宋_GB2312"/>
                <w:b w:val="0"/>
                <w:bCs w:val="0"/>
                <w:color w:val="000000" w:themeColor="text1"/>
                <w:sz w:val="24"/>
                <w:lang w:val="en-US" w:eastAsia="zh-CN"/>
                <w14:textFill>
                  <w14:solidFill>
                    <w14:schemeClr w14:val="tx1"/>
                  </w14:solidFill>
                </w14:textFill>
              </w:rPr>
              <w:t>新塘</w:t>
            </w:r>
          </w:p>
        </w:tc>
        <w:tc>
          <w:tcPr>
            <w:tcW w:w="500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eastAsia="仿宋_GB2312" w:cs="仿宋_GB2312"/>
                <w:b w:val="0"/>
                <w:bCs w:val="0"/>
                <w:color w:val="000000" w:themeColor="text1"/>
                <w:sz w:val="24"/>
                <w:lang w:eastAsia="zh-CN"/>
                <w14:textFill>
                  <w14:solidFill>
                    <w14:schemeClr w14:val="tx1"/>
                  </w14:solidFill>
                </w14:textFill>
              </w:rPr>
            </w:pPr>
            <w:r>
              <w:rPr>
                <w:rFonts w:hint="eastAsia" w:ascii="仿宋_GB2312" w:eastAsia="仿宋_GB2312" w:cs="仿宋_GB2312"/>
                <w:b w:val="0"/>
                <w:bCs w:val="0"/>
                <w:color w:val="000000" w:themeColor="text1"/>
                <w:sz w:val="24"/>
                <w:lang w:eastAsia="zh-CN"/>
                <w14:textFill>
                  <w14:solidFill>
                    <w14:schemeClr w14:val="tx1"/>
                  </w14:solidFill>
                </w14:textFill>
              </w:rPr>
              <w:t>新围安置区、</w:t>
            </w:r>
            <w:r>
              <w:rPr>
                <w:rFonts w:hint="eastAsia" w:ascii="仿宋_GB2312" w:eastAsia="仿宋_GB2312" w:cs="仿宋_GB2312"/>
                <w:b w:val="0"/>
                <w:bCs w:val="0"/>
                <w:color w:val="000000" w:themeColor="text1"/>
                <w:sz w:val="24"/>
                <w14:textFill>
                  <w14:solidFill>
                    <w14:schemeClr w14:val="tx1"/>
                  </w14:solidFill>
                </w14:textFill>
              </w:rPr>
              <w:t>瑶田村、上邵村、官湖村、顺欣花园、顺欣广场</w:t>
            </w:r>
            <w:r>
              <w:rPr>
                <w:rFonts w:hint="eastAsia" w:ascii="仿宋_GB2312" w:eastAsia="仿宋_GB2312" w:cs="仿宋_GB2312"/>
                <w:b w:val="0"/>
                <w:bCs w:val="0"/>
                <w:color w:val="000000" w:themeColor="text1"/>
                <w:sz w:val="24"/>
                <w:lang w:eastAsia="zh-CN"/>
                <w14:textFill>
                  <w14:solidFill>
                    <w14:schemeClr w14:val="tx1"/>
                  </w14:solidFill>
                </w14:textFill>
              </w:rPr>
              <w:t>、</w:t>
            </w:r>
            <w:r>
              <w:rPr>
                <w:rFonts w:hint="eastAsia" w:ascii="仿宋_GB2312" w:eastAsia="仿宋_GB2312" w:cs="仿宋_GB2312"/>
                <w:b w:val="0"/>
                <w:bCs w:val="0"/>
                <w:color w:val="000000" w:themeColor="text1"/>
                <w:sz w:val="24"/>
                <w14:textFill>
                  <w14:solidFill>
                    <w14:schemeClr w14:val="tx1"/>
                  </w14:solidFill>
                </w14:textFill>
              </w:rPr>
              <w:t>时代风华</w:t>
            </w:r>
            <w:r>
              <w:rPr>
                <w:rFonts w:hint="eastAsia" w:ascii="仿宋_GB2312" w:eastAsia="仿宋_GB2312" w:cs="仿宋_GB2312"/>
                <w:b w:val="0"/>
                <w:bCs w:val="0"/>
                <w:color w:val="000000" w:themeColor="text1"/>
                <w:sz w:val="24"/>
                <w:lang w:eastAsia="zh-CN"/>
                <w14:textFill>
                  <w14:solidFill>
                    <w14:schemeClr w14:val="tx1"/>
                  </w14:solidFill>
                </w14:textFill>
              </w:rPr>
              <w:t>、时代鼎茂府、丰盛星苑、</w:t>
            </w:r>
            <w:r>
              <w:rPr>
                <w:rFonts w:hint="eastAsia" w:ascii="仿宋_GB2312" w:eastAsia="仿宋_GB2312" w:cs="仿宋_GB2312"/>
                <w:b w:val="0"/>
                <w:bCs w:val="0"/>
                <w:color w:val="000000" w:themeColor="text1"/>
                <w:sz w:val="24"/>
                <w14:textFill>
                  <w14:solidFill>
                    <w14:schemeClr w14:val="tx1"/>
                  </w14:solidFill>
                </w14:textFill>
              </w:rPr>
              <w:t>亚太新城富阳苑</w:t>
            </w:r>
            <w:r>
              <w:rPr>
                <w:rFonts w:hint="eastAsia" w:ascii="仿宋_GB2312" w:eastAsia="仿宋_GB2312" w:cs="仿宋_GB2312"/>
                <w:b w:val="0"/>
                <w:bCs w:val="0"/>
                <w:color w:val="000000" w:themeColor="text1"/>
                <w:sz w:val="24"/>
                <w:lang w:eastAsia="zh-CN"/>
                <w14:textFill>
                  <w14:solidFill>
                    <w14:schemeClr w14:val="tx1"/>
                  </w14:solidFill>
                </w14:textFill>
              </w:rPr>
              <w:t>、富群苑、美业阁、美景阁、富雅都市华庭、体育花园、怡苑、富雅名居、景新豪苑、新汇时光小区、时尚广场、</w:t>
            </w:r>
            <w:r>
              <w:rPr>
                <w:rFonts w:hint="eastAsia" w:ascii="仿宋_GB2312" w:eastAsia="仿宋_GB2312" w:cs="仿宋_GB2312"/>
                <w:b w:val="0"/>
                <w:bCs w:val="0"/>
                <w:color w:val="000000" w:themeColor="text1"/>
                <w:sz w:val="24"/>
                <w:highlight w:val="none"/>
                <w:lang w:val="en-US" w:eastAsia="zh-CN"/>
                <w14:textFill>
                  <w14:solidFill>
                    <w14:schemeClr w14:val="tx1"/>
                  </w14:solidFill>
                </w14:textFill>
              </w:rPr>
              <w:t>星启花园、远洋繁花苑、</w:t>
            </w:r>
            <w:r>
              <w:rPr>
                <w:rFonts w:hint="eastAsia" w:ascii="仿宋_GB2312" w:eastAsia="仿宋_GB2312" w:cs="仿宋_GB2312"/>
                <w:b w:val="0"/>
                <w:bCs w:val="0"/>
                <w:color w:val="000000" w:themeColor="text1"/>
                <w:sz w:val="24"/>
                <w:lang w:eastAsia="zh-CN"/>
                <w14:textFill>
                  <w14:solidFill>
                    <w14:schemeClr w14:val="tx1"/>
                  </w14:solidFill>
                </w14:textFill>
              </w:rPr>
              <w:t>汇美居委发达岭（瑶田村户籍）、金都大道、汇景北路、丰华东路、兴业北路、太康路、集惠街、聚龙路、集英路、大唐街、昆仑街、拓展街、岭南街、汇通路、集贤路、环城路南侧地块、新新公路以东新塘范围规划居住用地、枢纽范围内新新公路东侧环城路南侧牛牯桥规划用地</w:t>
            </w:r>
            <w:r>
              <w:rPr>
                <w:rFonts w:hint="eastAsia" w:ascii="仿宋_GB2312" w:eastAsia="仿宋_GB2312" w:cs="仿宋_GB2312"/>
                <w:b w:val="0"/>
                <w:bCs w:val="0"/>
                <w:color w:val="000000" w:themeColor="text1"/>
                <w:sz w:val="24"/>
                <w:lang w:val="en-US" w:eastAsia="zh-CN"/>
                <w14:textFill>
                  <w14:solidFill>
                    <w14:schemeClr w14:val="tx1"/>
                  </w14:solidFill>
                </w14:textFill>
              </w:rPr>
              <w:t xml:space="preserve"> </w:t>
            </w:r>
          </w:p>
        </w:tc>
        <w:tc>
          <w:tcPr>
            <w:tcW w:w="126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eastAsia="仿宋_GB2312" w:cs="仿宋_GB2312"/>
                <w:b w:val="0"/>
                <w:bCs w:val="0"/>
                <w:color w:val="auto"/>
                <w:sz w:val="24"/>
                <w:lang w:val="en-US" w:eastAsia="zh-CN"/>
              </w:rPr>
              <w:t>360</w:t>
            </w:r>
          </w:p>
        </w:tc>
        <w:tc>
          <w:tcPr>
            <w:tcW w:w="1995" w:type="dxa"/>
            <w:noWrap w:val="0"/>
            <w:vAlign w:val="top"/>
          </w:tcPr>
          <w:p>
            <w:pPr>
              <w:autoSpaceDE w:val="0"/>
              <w:autoSpaceDN w:val="0"/>
              <w:adjustRightInd w:val="0"/>
              <w:spacing w:line="240" w:lineRule="exact"/>
              <w:rPr>
                <w:rFonts w:hint="eastAsia" w:ascii="仿宋_GB2312" w:eastAsia="仿宋_GB2312" w:cs="仿宋_GB2312"/>
                <w:b w:val="0"/>
                <w:bCs w:val="0"/>
                <w:color w:val="000000" w:themeColor="text1"/>
                <w:sz w:val="24"/>
                <w:lang w:val="en-US" w:eastAsia="zh-CN"/>
                <w14:textFill>
                  <w14:solidFill>
                    <w14:schemeClr w14:val="tx1"/>
                  </w14:solidFill>
                </w14:textFill>
              </w:rPr>
            </w:pPr>
          </w:p>
          <w:p>
            <w:pPr>
              <w:autoSpaceDE w:val="0"/>
              <w:autoSpaceDN w:val="0"/>
              <w:adjustRightInd w:val="0"/>
              <w:spacing w:line="240" w:lineRule="exact"/>
              <w:rPr>
                <w:rFonts w:hint="eastAsia" w:ascii="仿宋_GB2312" w:eastAsia="仿宋_GB2312" w:cs="仿宋_GB2312"/>
                <w:b w:val="0"/>
                <w:bCs w:val="0"/>
                <w:color w:val="000000" w:themeColor="text1"/>
                <w:sz w:val="24"/>
                <w:lang w:val="en-US" w:eastAsia="zh-CN"/>
                <w14:textFill>
                  <w14:solidFill>
                    <w14:schemeClr w14:val="tx1"/>
                  </w14:solidFill>
                </w14:textFill>
              </w:rPr>
            </w:pPr>
          </w:p>
          <w:p>
            <w:pPr>
              <w:autoSpaceDE w:val="0"/>
              <w:autoSpaceDN w:val="0"/>
              <w:adjustRightInd w:val="0"/>
              <w:spacing w:line="240" w:lineRule="exact"/>
              <w:rPr>
                <w:rFonts w:hint="eastAsia" w:ascii="仿宋_GB2312" w:eastAsia="仿宋_GB2312" w:cs="仿宋_GB2312"/>
                <w:b w:val="0"/>
                <w:bCs w:val="0"/>
                <w:color w:val="000000" w:themeColor="text1"/>
                <w:sz w:val="24"/>
                <w:lang w:val="en-US" w:eastAsia="zh-CN"/>
                <w14:textFill>
                  <w14:solidFill>
                    <w14:schemeClr w14:val="tx1"/>
                  </w14:solidFill>
                </w14:textFill>
              </w:rPr>
            </w:pPr>
          </w:p>
          <w:p>
            <w:pPr>
              <w:autoSpaceDE w:val="0"/>
              <w:autoSpaceDN w:val="0"/>
              <w:adjustRightInd w:val="0"/>
              <w:spacing w:line="240" w:lineRule="exact"/>
              <w:rPr>
                <w:rFonts w:hint="eastAsia" w:ascii="仿宋_GB2312" w:eastAsia="仿宋_GB2312" w:cs="仿宋_GB2312"/>
                <w:b w:val="0"/>
                <w:bCs w:val="0"/>
                <w:color w:val="000000" w:themeColor="text1"/>
                <w:sz w:val="24"/>
                <w:lang w:val="en-US" w:eastAsia="zh-CN"/>
                <w14:textFill>
                  <w14:solidFill>
                    <w14:schemeClr w14:val="tx1"/>
                  </w14:solidFill>
                </w14:textFill>
              </w:rPr>
            </w:pPr>
          </w:p>
          <w:p>
            <w:pPr>
              <w:autoSpaceDE w:val="0"/>
              <w:autoSpaceDN w:val="0"/>
              <w:adjustRightInd w:val="0"/>
              <w:spacing w:line="240" w:lineRule="exact"/>
              <w:rPr>
                <w:rFonts w:hint="default" w:asci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eastAsia="仿宋_GB2312" w:cs="仿宋_GB2312"/>
                <w:b w:val="0"/>
                <w:bCs w:val="0"/>
                <w:color w:val="000000" w:themeColor="text1"/>
                <w:sz w:val="24"/>
                <w:lang w:val="en-US" w:eastAsia="zh-CN"/>
                <w14:textFill>
                  <w14:solidFill>
                    <w14:schemeClr w14:val="tx1"/>
                  </w14:solidFill>
                </w14:textFill>
              </w:rPr>
              <w:t>该校在新塘镇与瑶田小学实行多校划片。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6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eastAsia="仿宋_GB2312" w:cs="仿宋_GB2312"/>
                <w:b w:val="0"/>
                <w:bCs w:val="0"/>
                <w:color w:val="000000" w:themeColor="text1"/>
                <w:sz w:val="24"/>
                <w:lang w:val="en-US" w:eastAsia="zh-CN"/>
                <w14:textFill>
                  <w14:solidFill>
                    <w14:schemeClr w14:val="tx1"/>
                  </w14:solidFill>
                </w14:textFill>
              </w:rPr>
              <w:t>永宁</w:t>
            </w:r>
          </w:p>
        </w:tc>
        <w:tc>
          <w:tcPr>
            <w:tcW w:w="500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default" w:asci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eastAsia="仿宋_GB2312" w:cs="仿宋_GB2312"/>
                <w:b w:val="0"/>
                <w:bCs w:val="0"/>
                <w:color w:val="000000" w:themeColor="text1"/>
                <w:sz w:val="24"/>
                <w:lang w:eastAsia="zh-CN"/>
                <w14:textFill>
                  <w14:solidFill>
                    <w14:schemeClr w14:val="tx1"/>
                  </w14:solidFill>
                </w14:textFill>
              </w:rPr>
              <w:t>东凌广场、保利天际、广汇尊府、臻荟华庭</w:t>
            </w:r>
          </w:p>
        </w:tc>
        <w:tc>
          <w:tcPr>
            <w:tcW w:w="126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eastAsia="仿宋_GB2312" w:cs="仿宋_GB2312"/>
                <w:b w:val="0"/>
                <w:bCs w:val="0"/>
                <w:color w:val="000000" w:themeColor="text1"/>
                <w:sz w:val="24"/>
                <w:lang w:val="en-US" w:eastAsia="zh-CN"/>
                <w14:textFill>
                  <w14:solidFill>
                    <w14:schemeClr w14:val="tx1"/>
                  </w14:solidFill>
                </w14:textFill>
              </w:rPr>
              <w:t>90</w:t>
            </w:r>
          </w:p>
        </w:tc>
        <w:tc>
          <w:tcPr>
            <w:tcW w:w="1995" w:type="dxa"/>
            <w:noWrap w:val="0"/>
            <w:vAlign w:val="top"/>
          </w:tcPr>
          <w:p>
            <w:pPr>
              <w:autoSpaceDE w:val="0"/>
              <w:autoSpaceDN w:val="0"/>
              <w:adjustRightInd w:val="0"/>
              <w:spacing w:line="240" w:lineRule="exact"/>
              <w:rPr>
                <w:rFonts w:hint="default" w:asci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eastAsia="仿宋_GB2312" w:cs="仿宋_GB2312"/>
                <w:b w:val="0"/>
                <w:bCs w:val="0"/>
                <w:color w:val="000000" w:themeColor="text1"/>
                <w:sz w:val="24"/>
                <w:lang w:val="en-US" w:eastAsia="zh-CN"/>
                <w14:textFill>
                  <w14:solidFill>
                    <w14:schemeClr w14:val="tx1"/>
                  </w14:solidFill>
                </w14:textFill>
              </w:rPr>
              <w:t>若申请学位人数超过招生计划数，未能入读该学校</w:t>
            </w:r>
            <w:r>
              <w:rPr>
                <w:rFonts w:hint="eastAsia" w:ascii="仿宋_GB2312" w:eastAsia="仿宋_GB2312" w:cs="仿宋_GB2312"/>
                <w:b w:val="0"/>
                <w:bCs w:val="0"/>
                <w:color w:val="000000" w:themeColor="text1"/>
                <w:sz w:val="24"/>
                <w:highlight w:val="none"/>
                <w:lang w:val="en-US" w:eastAsia="zh-CN"/>
                <w14:textFill>
                  <w14:solidFill>
                    <w14:schemeClr w14:val="tx1"/>
                  </w14:solidFill>
                </w14:textFill>
              </w:rPr>
              <w:t>的适龄儿童按原方式申请入读永宁街其他公办学校或自行报读民办学校。在该校毕业的永宁片区适龄儿童，回永宁街申请公办初中学位。</w:t>
            </w: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left="630" w:leftChars="0"/>
        <w:textAlignment w:val="auto"/>
        <w:rPr>
          <w:rFonts w:hint="eastAsia" w:ascii="黑体" w:hAnsi="黑体" w:eastAsia="黑体" w:cs="黑体"/>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color w:val="000000" w:themeColor="text1"/>
          <w:spacing w:val="-6"/>
          <w:kern w:val="0"/>
          <w:sz w:val="32"/>
          <w:szCs w:val="32"/>
          <w:lang w:val="en-US" w:eastAsia="zh-CN"/>
          <w14:textFill>
            <w14:solidFill>
              <w14:schemeClr w14:val="tx1"/>
            </w14:solidFill>
          </w14:textFill>
        </w:rPr>
        <w:t>三、招生对象</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招生范围内，2024年8月31日前（含8月31日）年满6周岁的适龄儿童。</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left="630" w:leftChars="0"/>
        <w:textAlignment w:val="auto"/>
        <w:rPr>
          <w:rFonts w:hint="eastAsia" w:ascii="黑体" w:hAnsi="黑体" w:eastAsia="黑体" w:cs="黑体"/>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color w:val="000000" w:themeColor="text1"/>
          <w:spacing w:val="-6"/>
          <w:kern w:val="0"/>
          <w:sz w:val="32"/>
          <w:szCs w:val="32"/>
          <w:lang w:val="en-US" w:eastAsia="zh-CN"/>
          <w14:textFill>
            <w14:solidFill>
              <w14:schemeClr w14:val="tx1"/>
            </w14:solidFill>
          </w14:textFill>
        </w:rPr>
        <w:t>四、报名办法及学位安排顺序</w:t>
      </w:r>
    </w:p>
    <w:p>
      <w:pPr>
        <w:pStyle w:val="2"/>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firstLine="616" w:firstLineChars="200"/>
        <w:jc w:val="left"/>
        <w:textAlignment w:val="auto"/>
        <w:rPr>
          <w:rFonts w:hint="eastAsia" w:ascii="仿宋_GB2312" w:hAnsi="仿宋_GB2312" w:eastAsia="仿宋_GB2312" w:cs="仿宋_GB2312"/>
          <w:b w:val="0"/>
          <w:bCs w:val="0"/>
          <w:color w:val="auto"/>
          <w:spacing w:val="-6"/>
          <w:kern w:val="0"/>
          <w:sz w:val="32"/>
          <w:szCs w:val="32"/>
          <w:lang w:val="en-US" w:eastAsia="zh-CN"/>
        </w:rPr>
      </w:pPr>
      <w:r>
        <w:rPr>
          <w:rFonts w:hint="eastAsia" w:ascii="仿宋_GB2312" w:hAnsi="仿宋_GB2312" w:eastAsia="仿宋_GB2312" w:cs="仿宋_GB2312"/>
          <w:b w:val="0"/>
          <w:bCs w:val="0"/>
          <w:color w:val="auto"/>
          <w:spacing w:val="-6"/>
          <w:kern w:val="0"/>
          <w:sz w:val="32"/>
          <w:szCs w:val="32"/>
          <w:lang w:val="en-US" w:eastAsia="zh-CN"/>
        </w:rPr>
        <w:t>（一）广州市内户籍适龄儿童：分别按照新塘镇、永宁街2024年小学招生报名办法进行（具体见新塘镇、永宁街招生工作方案）。</w:t>
      </w:r>
    </w:p>
    <w:p>
      <w:pPr>
        <w:pStyle w:val="2"/>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firstLine="616" w:firstLineChars="200"/>
        <w:jc w:val="left"/>
        <w:textAlignment w:val="auto"/>
        <w:rPr>
          <w:rFonts w:hint="eastAsia" w:ascii="仿宋_GB2312" w:hAnsi="仿宋_GB2312" w:eastAsia="仿宋_GB2312" w:cs="仿宋_GB2312"/>
          <w:b w:val="0"/>
          <w:bCs w:val="0"/>
          <w:color w:val="auto"/>
          <w:spacing w:val="-6"/>
          <w:kern w:val="0"/>
          <w:sz w:val="32"/>
          <w:szCs w:val="32"/>
          <w:lang w:val="en-US" w:eastAsia="zh-CN"/>
        </w:rPr>
      </w:pPr>
      <w:r>
        <w:rPr>
          <w:rFonts w:hint="eastAsia" w:ascii="仿宋_GB2312" w:hAnsi="仿宋_GB2312" w:eastAsia="仿宋_GB2312" w:cs="仿宋_GB2312"/>
          <w:b w:val="0"/>
          <w:bCs w:val="0"/>
          <w:color w:val="auto"/>
          <w:spacing w:val="-6"/>
          <w:kern w:val="0"/>
          <w:sz w:val="32"/>
          <w:szCs w:val="32"/>
          <w:lang w:val="en-US" w:eastAsia="zh-CN"/>
        </w:rPr>
        <w:t>（二）来穗人员随迁子女：申请学位办法根据《增城区来穗人员随迁子女接受义务教育实施细则》有关规定办理。</w:t>
      </w:r>
    </w:p>
    <w:p>
      <w:pPr>
        <w:keepNext w:val="0"/>
        <w:keepLines w:val="0"/>
        <w:pageBreakBefore w:val="0"/>
        <w:numPr>
          <w:ilvl w:val="0"/>
          <w:numId w:val="0"/>
        </w:numPr>
        <w:kinsoku/>
        <w:wordWrap/>
        <w:overflowPunct/>
        <w:topLinePunct w:val="0"/>
        <w:bidi w:val="0"/>
        <w:spacing w:line="620" w:lineRule="exact"/>
        <w:ind w:left="630" w:leftChars="0"/>
        <w:textAlignment w:val="auto"/>
        <w:rPr>
          <w:rFonts w:hint="default" w:ascii="黑体" w:hAnsi="黑体" w:eastAsia="黑体" w:cs="黑体"/>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color w:val="000000" w:themeColor="text1"/>
          <w:spacing w:val="-6"/>
          <w:kern w:val="0"/>
          <w:sz w:val="32"/>
          <w:szCs w:val="32"/>
          <w:lang w:val="en-US" w:eastAsia="zh-CN"/>
          <w14:textFill>
            <w14:solidFill>
              <w14:schemeClr w14:val="tx1"/>
            </w14:solidFill>
          </w14:textFill>
        </w:rPr>
        <w:t>五、其他</w:t>
      </w:r>
    </w:p>
    <w:p>
      <w:pPr>
        <w:pStyle w:val="2"/>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firstLine="616" w:firstLineChars="200"/>
        <w:jc w:val="left"/>
        <w:textAlignment w:val="auto"/>
        <w:rPr>
          <w:rFonts w:hint="eastAsia" w:ascii="仿宋_GB2312" w:hAnsi="仿宋_GB2312" w:eastAsia="仿宋_GB2312" w:cs="仿宋_GB2312"/>
          <w:b w:val="0"/>
          <w:bCs w:val="0"/>
          <w:color w:val="000000" w:themeColor="text1"/>
          <w:spacing w:val="-6"/>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6"/>
          <w:kern w:val="0"/>
          <w:sz w:val="32"/>
          <w:szCs w:val="32"/>
          <w:highlight w:val="none"/>
          <w:lang w:val="en-US" w:eastAsia="zh-CN"/>
          <w14:textFill>
            <w14:solidFill>
              <w14:schemeClr w14:val="tx1"/>
            </w14:solidFill>
          </w14:textFill>
        </w:rPr>
        <w:t>本方案有效期1年，最终解释权归广州市增城区教育局所有。</w:t>
      </w:r>
    </w:p>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062A7"/>
    <w:multiLevelType w:val="singleLevel"/>
    <w:tmpl w:val="CA9062A7"/>
    <w:lvl w:ilvl="0" w:tentative="0">
      <w:start w:val="1"/>
      <w:numFmt w:val="chineseCounting"/>
      <w:suff w:val="nothing"/>
      <w:lvlText w:val="%1、"/>
      <w:lvlJc w:val="left"/>
      <w:pPr>
        <w:ind w:left="-2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A57AA"/>
    <w:rsid w:val="0C8A5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2024-04-30T02:13:00Z</dcterms:created>
  <dc:creator>Lenovo</dc:creator>
  <cp:lastModifiedBy>Lenovo</cp:lastModifiedBy>
  <dcterms:modified xsi:type="dcterms:W3CDTF">2024-04-30T02:17:22Z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1BA591E04BB34F36A78967D31D4032D8</vt:lpwstr>
  </property>
</Properties>
</file>