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48" w:beforeLines="20" w:after="48" w:afterLines="20" w:line="360" w:lineRule="auto"/>
        <w:jc w:val="left"/>
        <w:outlineLvl w:val="0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  <w14:ligatures w14:val="none"/>
        </w:rPr>
      </w:pPr>
      <w:bookmarkStart w:id="0" w:name="_Toc25411"/>
      <w:bookmarkStart w:id="1" w:name="_Toc11850343"/>
      <w:r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  <w14:ligatures w14:val="none"/>
        </w:rPr>
        <w:t>附件2</w:t>
      </w:r>
    </w:p>
    <w:p>
      <w:pPr>
        <w:keepNext/>
        <w:keepLines/>
        <w:widowControl w:val="0"/>
        <w:spacing w:before="48" w:beforeLines="20" w:after="48" w:afterLines="20" w:line="360" w:lineRule="auto"/>
        <w:jc w:val="center"/>
        <w:outlineLvl w:val="0"/>
        <w:rPr>
          <w:rFonts w:hint="eastAsia" w:ascii="宋体" w:hAnsi="宋体" w:eastAsia="宋体" w:cs="Times New Roman"/>
          <w:b/>
          <w:bCs/>
          <w:color w:val="auto"/>
          <w:kern w:val="44"/>
          <w:sz w:val="44"/>
          <w:szCs w:val="44"/>
          <w:highlight w:val="none"/>
          <w:lang w:val="en-US" w:eastAsia="zh-CN" w:bidi="ar-SA"/>
          <w14:ligatures w14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44"/>
          <w:sz w:val="44"/>
          <w:szCs w:val="44"/>
          <w:highlight w:val="none"/>
          <w:lang w:val="en-US" w:eastAsia="zh-CN" w:bidi="ar-SA"/>
          <w14:ligatures w14:val="none"/>
        </w:rPr>
        <w:t>评标细则（综合评估法）</w:t>
      </w:r>
      <w:bookmarkEnd w:id="0"/>
      <w:bookmarkEnd w:id="1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30"/>
        <w:gridCol w:w="537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99" w:type="dxa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  <w:t>序号</w:t>
            </w:r>
          </w:p>
        </w:tc>
        <w:tc>
          <w:tcPr>
            <w:tcW w:w="1230" w:type="dxa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  <w:t>评审因素</w:t>
            </w:r>
          </w:p>
        </w:tc>
        <w:tc>
          <w:tcPr>
            <w:tcW w:w="5370" w:type="dxa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  <w:t>评审标准</w:t>
            </w:r>
          </w:p>
        </w:tc>
        <w:tc>
          <w:tcPr>
            <w:tcW w:w="1223" w:type="dxa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9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人员架构（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30分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项目负责人：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  <w14:ligatures w14:val="none"/>
              </w:rPr>
              <w:t>①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具有工程类高级或以上职称的，得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  <w14:ligatures w14:val="none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 xml:space="preserve">分； 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  <w14:ligatures w14:val="none"/>
              </w:rPr>
              <w:t>②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具有中级（或以上）招采人员专业技术能力评价证书得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分。（须同时提供国家级协会颁发的证书及该协会在“中国社会组织政务服务平台”网站的登记信息查询结果网页打印件，否则不予计分。）本项最高得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  <w14:ligatures w14:val="none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配备人员（项目负责人除外）：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①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拟投入的人员中配备工程类中级或以上职称的，每配备1名得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5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分，最多得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10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分；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②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除第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①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点拟投入的人员外，拟投入的人员中配备有效的注册造价工程师或一级注册造价工程师，每配备1名得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5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分，最多得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5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分。本项最高得15分。</w:t>
            </w:r>
          </w:p>
        </w:tc>
        <w:tc>
          <w:tcPr>
            <w:tcW w:w="1223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9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投标报价（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50分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</w:p>
        </w:tc>
        <w:tc>
          <w:tcPr>
            <w:tcW w:w="5370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有效报价下浮率为0-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0%，超出有效报价范围的报价不参与计算报价基准价。取所有入围有效报价的算术平均值作为报价基准价（保留小数点后二位，第三位小数四舍五入）。以评标基准价作为计算各有效投标价得分的基础，当有效投标报价等于评标基准价时得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50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分；其余有效报价与评标基准价相比，每高1%的扣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分，每低1%的扣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分，最多扣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50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分。</w:t>
            </w:r>
          </w:p>
        </w:tc>
        <w:tc>
          <w:tcPr>
            <w:tcW w:w="1223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9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实施方案（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20分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</w:p>
        </w:tc>
        <w:tc>
          <w:tcPr>
            <w:tcW w:w="5370" w:type="dxa"/>
          </w:tcPr>
          <w:p>
            <w:pPr>
              <w:spacing w:after="200" w:line="276" w:lineRule="auto"/>
              <w:jc w:val="both"/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①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招标代理实施方案能根据建设项目的服务需求做出深入分析，思路清晰，实施步骤明晰，措施完善、可行，人员和设备配置齐全，对实施过程有规范的管理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，时效性强，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得（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16-20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分；</w:t>
            </w:r>
            <w:bookmarkStart w:id="2" w:name="_GoBack"/>
            <w:bookmarkEnd w:id="2"/>
          </w:p>
          <w:p>
            <w:pPr>
              <w:spacing w:after="200" w:line="276" w:lineRule="auto"/>
              <w:jc w:val="both"/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②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实施方案基本可行，完善性、针对性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、时效性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等相对较好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得（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11-15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分；</w:t>
            </w:r>
          </w:p>
          <w:p>
            <w:pPr>
              <w:spacing w:after="200" w:line="276" w:lineRule="auto"/>
              <w:jc w:val="both"/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③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有实施方案，但方案欠完善性、针对性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、时效性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不强，得（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分；</w:t>
            </w:r>
          </w:p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④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未提供方案，得0分。</w:t>
            </w:r>
          </w:p>
        </w:tc>
        <w:tc>
          <w:tcPr>
            <w:tcW w:w="1223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9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合计</w:t>
            </w:r>
          </w:p>
        </w:tc>
        <w:tc>
          <w:tcPr>
            <w:tcW w:w="1230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100分</w:t>
            </w:r>
          </w:p>
        </w:tc>
        <w:tc>
          <w:tcPr>
            <w:tcW w:w="5370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  <w:tc>
          <w:tcPr>
            <w:tcW w:w="1223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</w:tr>
    </w:tbl>
    <w:p>
      <w:pPr>
        <w:spacing w:after="200" w:line="276" w:lineRule="auto"/>
        <w:jc w:val="left"/>
        <w:rPr>
          <w:rFonts w:ascii="Times New Roman" w:hAnsi="Times New Roman" w:eastAsia="宋体" w:cs="Times New Roman"/>
          <w:szCs w:val="22"/>
          <w14:ligatures w14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YjJjZWYwYWVhMGU0ZmE5NTk4MDUzNTYwMjA5NjkifQ=="/>
  </w:docVars>
  <w:rsids>
    <w:rsidRoot w:val="1CBE3C76"/>
    <w:rsid w:val="1CBE3C76"/>
    <w:rsid w:val="39E16504"/>
    <w:rsid w:val="6AF5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autoRedefine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2024-03-28T06:42:00Z</dcterms:created>
  <dc:creator>Administrator</dc:creator>
  <cp:lastModifiedBy>启良</cp:lastModifiedBy>
  <dcterms:modified xsi:type="dcterms:W3CDTF">2024-05-06T06:37:59Z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FB2C8E70416842DC90134D88888553D7_13</vt:lpwstr>
  </property>
</Properties>
</file>