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9C5878">
      <w:pPr>
        <w:jc w:val="both"/>
        <w:rPr>
          <w:rFonts w:hint="default" w:ascii="黑体" w:hAnsi="黑体" w:eastAsia="黑体" w:cs="黑体"/>
          <w:b w:val="0"/>
          <w:bCs/>
          <w:color w:val="auto"/>
          <w:spacing w:val="2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pacing w:val="20"/>
          <w:sz w:val="32"/>
          <w:szCs w:val="32"/>
          <w:lang w:eastAsia="zh-CN"/>
        </w:rPr>
        <w:t>附件</w:t>
      </w:r>
      <w:bookmarkStart w:id="0" w:name="_GoBack"/>
      <w:bookmarkEnd w:id="0"/>
    </w:p>
    <w:p w14:paraId="6BC37178">
      <w:pPr>
        <w:jc w:val="center"/>
        <w:rPr>
          <w:rFonts w:hint="eastAsia" w:ascii="宋体"/>
          <w:b/>
          <w:sz w:val="28"/>
          <w:szCs w:val="28"/>
        </w:rPr>
      </w:pPr>
    </w:p>
    <w:p w14:paraId="385ED85E">
      <w:pPr>
        <w:jc w:val="center"/>
        <w:rPr>
          <w:rFonts w:ascii="宋体"/>
          <w:b/>
          <w:sz w:val="28"/>
          <w:szCs w:val="28"/>
        </w:rPr>
      </w:pPr>
      <w:r>
        <w:rPr>
          <w:rFonts w:hint="eastAsia" w:ascii="宋体"/>
          <w:b/>
          <w:sz w:val="28"/>
          <w:szCs w:val="28"/>
        </w:rPr>
        <w:t>资格声明函</w:t>
      </w:r>
    </w:p>
    <w:p w14:paraId="70A7C6B6">
      <w:pPr>
        <w:jc w:val="center"/>
      </w:pPr>
    </w:p>
    <w:p w14:paraId="407DFED1">
      <w:pPr>
        <w:snapToGrid w:val="0"/>
        <w:spacing w:line="360" w:lineRule="auto"/>
        <w:rPr>
          <w:rFonts w:hint="eastAsia" w:ascii="宋体" w:hAnsi="宋体" w:eastAsia="宋体" w:cs="宋体"/>
          <w:b/>
          <w:sz w:val="24"/>
          <w:highlight w:val="none"/>
        </w:rPr>
      </w:pPr>
      <w:r>
        <w:rPr>
          <w:rFonts w:hint="eastAsia" w:ascii="宋体" w:hAnsi="宋体" w:cs="宋体"/>
          <w:b/>
          <w:sz w:val="24"/>
          <w:highlight w:val="none"/>
          <w:u w:val="single"/>
          <w:lang w:val="en-US" w:eastAsia="zh-CN"/>
        </w:rPr>
        <w:t>广州市增城区区直机关事务管理局</w:t>
      </w:r>
      <w:r>
        <w:rPr>
          <w:rFonts w:hint="eastAsia" w:ascii="宋体" w:hAnsi="宋体" w:eastAsia="宋体" w:cs="宋体"/>
          <w:b/>
          <w:sz w:val="24"/>
          <w:highlight w:val="none"/>
        </w:rPr>
        <w:t xml:space="preserve"> ：</w:t>
      </w:r>
    </w:p>
    <w:p w14:paraId="21F835A1">
      <w:pPr>
        <w:snapToGrid w:val="0"/>
        <w:spacing w:line="360" w:lineRule="auto"/>
        <w:ind w:firstLine="484" w:firstLineChars="202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关于贵</w:t>
      </w:r>
      <w:r>
        <w:rPr>
          <w:rFonts w:hint="eastAsia" w:ascii="宋体" w:hAnsi="宋体" w:cs="宋体"/>
          <w:sz w:val="24"/>
          <w:highlight w:val="none"/>
          <w:lang w:eastAsia="zh-CN"/>
        </w:rPr>
        <w:t>单位</w:t>
      </w:r>
      <w:r>
        <w:rPr>
          <w:rFonts w:hint="eastAsia" w:ascii="宋体" w:hAnsi="宋体" w:eastAsia="宋体" w:cs="宋体"/>
          <w:sz w:val="24"/>
          <w:highlight w:val="none"/>
          <w:lang w:val="en-US" w:eastAsia="zh-CN"/>
        </w:rPr>
        <w:t>组织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采购项目</w:t>
      </w:r>
      <w:r>
        <w:rPr>
          <w:rFonts w:hint="eastAsia" w:ascii="宋体" w:hAnsi="宋体" w:cs="宋体"/>
          <w:b/>
          <w:bCs/>
          <w:highlight w:val="none"/>
          <w:u w:val="none"/>
          <w:lang w:eastAsia="zh-CN"/>
        </w:rPr>
        <w:t>（</w:t>
      </w:r>
      <w:r>
        <w:rPr>
          <w:rFonts w:hint="eastAsia" w:ascii="宋体" w:hAnsi="宋体" w:cs="宋体"/>
          <w:b/>
          <w:bCs/>
          <w:highlight w:val="none"/>
          <w:u w:val="single"/>
          <w:lang w:val="en-US" w:eastAsia="zh-CN"/>
        </w:rPr>
        <w:t xml:space="preserve">   </w:t>
      </w:r>
      <w:r>
        <w:rPr>
          <w:rFonts w:hint="eastAsia"/>
          <w:highlight w:val="none"/>
          <w:u w:val="single"/>
          <w:lang w:val="en-US" w:eastAsia="zh-CN"/>
        </w:rPr>
        <w:t xml:space="preserve">项目名称   </w:t>
      </w:r>
      <w:r>
        <w:rPr>
          <w:rFonts w:hint="eastAsia" w:ascii="宋体" w:hAnsi="宋体" w:cs="宋体"/>
          <w:b/>
          <w:bCs/>
          <w:highlight w:val="none"/>
          <w:u w:val="none"/>
          <w:lang w:eastAsia="zh-CN"/>
        </w:rPr>
        <w:t>）</w:t>
      </w:r>
      <w:r>
        <w:rPr>
          <w:rFonts w:hint="eastAsia" w:ascii="宋体" w:hAnsi="宋体" w:eastAsia="宋体" w:cs="宋体"/>
          <w:sz w:val="24"/>
          <w:highlight w:val="none"/>
        </w:rPr>
        <w:t>的</w:t>
      </w:r>
      <w:r>
        <w:rPr>
          <w:rFonts w:hint="eastAsia" w:ascii="宋体" w:hAnsi="宋体" w:eastAsia="宋体" w:cs="宋体"/>
          <w:sz w:val="24"/>
          <w:highlight w:val="none"/>
          <w:lang w:val="en-US" w:eastAsia="zh-CN"/>
        </w:rPr>
        <w:t>招标（采购）</w:t>
      </w:r>
      <w:r>
        <w:rPr>
          <w:rFonts w:hint="eastAsia" w:ascii="宋体" w:hAnsi="宋体" w:eastAsia="宋体" w:cs="宋体"/>
          <w:sz w:val="24"/>
          <w:highlight w:val="none"/>
        </w:rPr>
        <w:t>公告，本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公司已理解并</w:t>
      </w:r>
      <w:r>
        <w:rPr>
          <w:rFonts w:hint="eastAsia" w:ascii="宋体" w:hAnsi="宋体" w:eastAsia="宋体" w:cs="宋体"/>
          <w:sz w:val="24"/>
          <w:highlight w:val="none"/>
        </w:rPr>
        <w:t>愿意参</w:t>
      </w:r>
      <w:r>
        <w:rPr>
          <w:rFonts w:hint="eastAsia" w:ascii="宋体" w:hAnsi="宋体" w:eastAsia="宋体" w:cs="宋体"/>
          <w:sz w:val="24"/>
          <w:highlight w:val="none"/>
          <w:lang w:val="en-US" w:eastAsia="zh-CN"/>
        </w:rPr>
        <w:t>与投标（响应）</w:t>
      </w:r>
      <w:r>
        <w:rPr>
          <w:rFonts w:hint="eastAsia" w:ascii="宋体" w:hAnsi="宋体" w:eastAsia="宋体" w:cs="宋体"/>
          <w:sz w:val="24"/>
          <w:highlight w:val="none"/>
        </w:rPr>
        <w:t>，并声明：</w:t>
      </w:r>
    </w:p>
    <w:p w14:paraId="7DE5E288">
      <w:pPr>
        <w:pStyle w:val="9"/>
        <w:numPr>
          <w:ilvl w:val="0"/>
          <w:numId w:val="1"/>
        </w:numPr>
        <w:tabs>
          <w:tab w:val="left" w:pos="851"/>
          <w:tab w:val="left" w:pos="993"/>
        </w:tabs>
        <w:snapToGrid w:val="0"/>
        <w:spacing w:line="360" w:lineRule="auto"/>
        <w:ind w:firstLineChars="0"/>
        <w:rPr>
          <w:rFonts w:hint="eastAsia" w:ascii="宋体" w:hAnsi="宋体" w:eastAsia="宋体" w:cs="宋体"/>
          <w:bCs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本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公司</w:t>
      </w:r>
      <w:r>
        <w:rPr>
          <w:rFonts w:hint="eastAsia" w:ascii="宋体" w:hAnsi="宋体" w:eastAsia="宋体" w:cs="宋体"/>
          <w:bCs/>
          <w:sz w:val="24"/>
          <w:highlight w:val="none"/>
        </w:rPr>
        <w:t>具备《政府采购法》第二十二条规定</w:t>
      </w:r>
      <w:r>
        <w:rPr>
          <w:rFonts w:hint="eastAsia" w:ascii="宋体" w:hAnsi="宋体" w:cs="宋体"/>
          <w:bCs/>
          <w:sz w:val="24"/>
          <w:highlight w:val="none"/>
          <w:lang w:val="en-US" w:eastAsia="zh-CN"/>
        </w:rPr>
        <w:t>的以下</w:t>
      </w:r>
      <w:r>
        <w:rPr>
          <w:rFonts w:hint="eastAsia" w:ascii="宋体" w:hAnsi="宋体" w:eastAsia="宋体" w:cs="宋体"/>
          <w:bCs/>
          <w:sz w:val="24"/>
          <w:highlight w:val="none"/>
        </w:rPr>
        <w:t>条件</w:t>
      </w:r>
      <w:r>
        <w:rPr>
          <w:rFonts w:hint="eastAsia" w:ascii="宋体" w:hAnsi="宋体" w:cs="宋体"/>
          <w:bCs/>
          <w:sz w:val="24"/>
          <w:highlight w:val="none"/>
          <w:lang w:eastAsia="zh-CN"/>
        </w:rPr>
        <w:t>：</w:t>
      </w:r>
    </w:p>
    <w:p w14:paraId="70701F60">
      <w:pPr>
        <w:pStyle w:val="9"/>
        <w:numPr>
          <w:ilvl w:val="0"/>
          <w:numId w:val="0"/>
        </w:numPr>
        <w:tabs>
          <w:tab w:val="left" w:pos="851"/>
          <w:tab w:val="left" w:pos="993"/>
        </w:tabs>
        <w:snapToGrid w:val="0"/>
        <w:spacing w:line="360" w:lineRule="auto"/>
        <w:ind w:left="426" w:leftChars="0"/>
        <w:rPr>
          <w:rFonts w:hint="eastAsia" w:ascii="宋体" w:hAnsi="宋体" w:eastAsia="宋体" w:cs="宋体"/>
          <w:bCs/>
          <w:sz w:val="24"/>
          <w:highlight w:val="none"/>
        </w:rPr>
      </w:pPr>
      <w:r>
        <w:rPr>
          <w:rFonts w:hint="eastAsia" w:ascii="宋体" w:hAnsi="宋体" w:cs="宋体"/>
          <w:bCs/>
          <w:sz w:val="24"/>
          <w:highlight w:val="none"/>
          <w:lang w:eastAsia="zh-CN"/>
        </w:rPr>
        <w:t>（</w:t>
      </w:r>
      <w:r>
        <w:rPr>
          <w:rFonts w:hint="eastAsia" w:ascii="宋体" w:hAnsi="宋体" w:cs="宋体"/>
          <w:bCs/>
          <w:sz w:val="24"/>
          <w:highlight w:val="none"/>
          <w:lang w:val="en-US" w:eastAsia="zh-CN"/>
        </w:rPr>
        <w:t>1</w:t>
      </w:r>
      <w:r>
        <w:rPr>
          <w:rFonts w:hint="eastAsia" w:ascii="宋体" w:hAnsi="宋体" w:cs="宋体"/>
          <w:bCs/>
          <w:sz w:val="24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bCs/>
          <w:sz w:val="24"/>
          <w:highlight w:val="none"/>
        </w:rPr>
        <w:t>具有独立承担民事责任的能力；</w:t>
      </w:r>
    </w:p>
    <w:p w14:paraId="591E03F1">
      <w:pPr>
        <w:pStyle w:val="9"/>
        <w:numPr>
          <w:ilvl w:val="0"/>
          <w:numId w:val="0"/>
        </w:numPr>
        <w:tabs>
          <w:tab w:val="left" w:pos="851"/>
          <w:tab w:val="left" w:pos="993"/>
        </w:tabs>
        <w:snapToGrid w:val="0"/>
        <w:spacing w:line="360" w:lineRule="auto"/>
        <w:ind w:left="426" w:leftChars="0"/>
        <w:rPr>
          <w:rFonts w:hint="eastAsia" w:ascii="宋体" w:hAnsi="宋体" w:eastAsia="宋体" w:cs="宋体"/>
          <w:bCs/>
          <w:sz w:val="24"/>
          <w:highlight w:val="none"/>
        </w:rPr>
      </w:pPr>
      <w:r>
        <w:rPr>
          <w:rFonts w:hint="eastAsia" w:ascii="宋体" w:hAnsi="宋体" w:cs="宋体"/>
          <w:bCs/>
          <w:sz w:val="24"/>
          <w:highlight w:val="none"/>
          <w:lang w:eastAsia="zh-CN"/>
        </w:rPr>
        <w:t>（</w:t>
      </w:r>
      <w:r>
        <w:rPr>
          <w:rFonts w:hint="eastAsia" w:ascii="宋体" w:hAnsi="宋体" w:cs="宋体"/>
          <w:bCs/>
          <w:sz w:val="24"/>
          <w:highlight w:val="none"/>
          <w:lang w:val="en-US" w:eastAsia="zh-CN"/>
        </w:rPr>
        <w:t>2</w:t>
      </w:r>
      <w:r>
        <w:rPr>
          <w:rFonts w:hint="eastAsia" w:ascii="宋体" w:hAnsi="宋体" w:cs="宋体"/>
          <w:bCs/>
          <w:sz w:val="24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bCs/>
          <w:sz w:val="24"/>
          <w:highlight w:val="none"/>
        </w:rPr>
        <w:t>具有良好的商业信誉和健全的财务会计制度；</w:t>
      </w:r>
    </w:p>
    <w:p w14:paraId="374BEF30">
      <w:pPr>
        <w:pStyle w:val="9"/>
        <w:numPr>
          <w:ilvl w:val="0"/>
          <w:numId w:val="0"/>
        </w:numPr>
        <w:tabs>
          <w:tab w:val="left" w:pos="851"/>
          <w:tab w:val="left" w:pos="993"/>
        </w:tabs>
        <w:snapToGrid w:val="0"/>
        <w:spacing w:line="360" w:lineRule="auto"/>
        <w:ind w:left="426" w:leftChars="0"/>
        <w:rPr>
          <w:rFonts w:hint="eastAsia" w:ascii="宋体" w:hAnsi="宋体" w:eastAsia="宋体" w:cs="宋体"/>
          <w:bCs/>
          <w:sz w:val="24"/>
          <w:highlight w:val="none"/>
        </w:rPr>
      </w:pPr>
      <w:r>
        <w:rPr>
          <w:rFonts w:hint="eastAsia" w:ascii="宋体" w:hAnsi="宋体" w:cs="宋体"/>
          <w:bCs/>
          <w:sz w:val="24"/>
          <w:highlight w:val="none"/>
          <w:lang w:eastAsia="zh-CN"/>
        </w:rPr>
        <w:t>（</w:t>
      </w:r>
      <w:r>
        <w:rPr>
          <w:rFonts w:hint="eastAsia" w:ascii="宋体" w:hAnsi="宋体" w:cs="宋体"/>
          <w:bCs/>
          <w:sz w:val="24"/>
          <w:highlight w:val="none"/>
          <w:lang w:val="en-US" w:eastAsia="zh-CN"/>
        </w:rPr>
        <w:t>3</w:t>
      </w:r>
      <w:r>
        <w:rPr>
          <w:rFonts w:hint="eastAsia" w:ascii="宋体" w:hAnsi="宋体" w:cs="宋体"/>
          <w:bCs/>
          <w:sz w:val="24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bCs/>
          <w:sz w:val="24"/>
          <w:highlight w:val="none"/>
        </w:rPr>
        <w:t>具有履行合同所必需的设备和专业技术能力；</w:t>
      </w:r>
    </w:p>
    <w:p w14:paraId="192984F6">
      <w:pPr>
        <w:pStyle w:val="9"/>
        <w:numPr>
          <w:ilvl w:val="0"/>
          <w:numId w:val="0"/>
        </w:numPr>
        <w:tabs>
          <w:tab w:val="left" w:pos="851"/>
          <w:tab w:val="left" w:pos="993"/>
        </w:tabs>
        <w:snapToGrid w:val="0"/>
        <w:spacing w:line="360" w:lineRule="auto"/>
        <w:ind w:left="426" w:leftChars="0"/>
        <w:rPr>
          <w:rFonts w:hint="eastAsia" w:ascii="宋体" w:hAnsi="宋体" w:eastAsia="宋体" w:cs="宋体"/>
          <w:bCs/>
          <w:sz w:val="24"/>
          <w:highlight w:val="none"/>
          <w:lang w:eastAsia="zh-CN"/>
        </w:rPr>
      </w:pPr>
      <w:r>
        <w:rPr>
          <w:rFonts w:hint="eastAsia" w:ascii="宋体" w:hAnsi="宋体" w:cs="宋体"/>
          <w:bCs/>
          <w:sz w:val="24"/>
          <w:highlight w:val="none"/>
          <w:lang w:eastAsia="zh-CN"/>
        </w:rPr>
        <w:t>（</w:t>
      </w:r>
      <w:r>
        <w:rPr>
          <w:rFonts w:hint="eastAsia" w:ascii="宋体" w:hAnsi="宋体" w:cs="宋体"/>
          <w:bCs/>
          <w:sz w:val="24"/>
          <w:highlight w:val="none"/>
          <w:lang w:val="en-US" w:eastAsia="zh-CN"/>
        </w:rPr>
        <w:t>4</w:t>
      </w:r>
      <w:r>
        <w:rPr>
          <w:rFonts w:hint="eastAsia" w:ascii="宋体" w:hAnsi="宋体" w:cs="宋体"/>
          <w:bCs/>
          <w:sz w:val="24"/>
          <w:highlight w:val="none"/>
          <w:lang w:eastAsia="zh-CN"/>
        </w:rPr>
        <w:t>）</w:t>
      </w:r>
      <w:r>
        <w:rPr>
          <w:rFonts w:hint="eastAsia" w:ascii="宋体" w:hAnsi="宋体" w:cs="宋体"/>
          <w:bCs/>
          <w:sz w:val="24"/>
          <w:highlight w:val="none"/>
          <w:lang w:val="en-US" w:eastAsia="zh-CN"/>
        </w:rPr>
        <w:t>具</w:t>
      </w:r>
      <w:r>
        <w:rPr>
          <w:rFonts w:hint="eastAsia" w:ascii="宋体" w:hAnsi="宋体" w:eastAsia="宋体" w:cs="宋体"/>
          <w:bCs/>
          <w:sz w:val="24"/>
          <w:highlight w:val="none"/>
        </w:rPr>
        <w:t>有依法缴纳税收和社会保障资金的良好记录</w:t>
      </w:r>
      <w:r>
        <w:rPr>
          <w:rFonts w:hint="eastAsia" w:ascii="宋体" w:hAnsi="宋体" w:cs="宋体"/>
          <w:bCs/>
          <w:sz w:val="24"/>
          <w:highlight w:val="none"/>
          <w:lang w:eastAsia="zh-CN"/>
        </w:rPr>
        <w:t>；</w:t>
      </w:r>
    </w:p>
    <w:p w14:paraId="27679DA0">
      <w:pPr>
        <w:pStyle w:val="9"/>
        <w:numPr>
          <w:ilvl w:val="0"/>
          <w:numId w:val="0"/>
        </w:numPr>
        <w:tabs>
          <w:tab w:val="left" w:pos="851"/>
          <w:tab w:val="left" w:pos="993"/>
        </w:tabs>
        <w:snapToGrid w:val="0"/>
        <w:spacing w:line="360" w:lineRule="auto"/>
        <w:ind w:left="426" w:leftChars="0"/>
        <w:rPr>
          <w:rFonts w:hint="eastAsia" w:ascii="宋体" w:hAnsi="宋体" w:eastAsia="宋体" w:cs="宋体"/>
          <w:bCs/>
          <w:sz w:val="24"/>
          <w:highlight w:val="none"/>
          <w:lang w:eastAsia="zh-CN"/>
        </w:rPr>
      </w:pPr>
      <w:r>
        <w:rPr>
          <w:rFonts w:hint="eastAsia" w:ascii="宋体" w:hAnsi="宋体" w:cs="宋体"/>
          <w:bCs/>
          <w:sz w:val="24"/>
          <w:highlight w:val="none"/>
          <w:lang w:eastAsia="zh-CN"/>
        </w:rPr>
        <w:t>（</w:t>
      </w:r>
      <w:r>
        <w:rPr>
          <w:rFonts w:hint="eastAsia" w:ascii="宋体" w:hAnsi="宋体" w:cs="宋体"/>
          <w:bCs/>
          <w:sz w:val="24"/>
          <w:highlight w:val="none"/>
          <w:lang w:val="en-US" w:eastAsia="zh-CN"/>
        </w:rPr>
        <w:t>5</w:t>
      </w:r>
      <w:r>
        <w:rPr>
          <w:rFonts w:hint="eastAsia" w:ascii="宋体" w:hAnsi="宋体" w:cs="宋体"/>
          <w:bCs/>
          <w:sz w:val="24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bCs/>
          <w:sz w:val="24"/>
          <w:highlight w:val="none"/>
        </w:rPr>
        <w:t>参加政府采购活动前三年内，</w:t>
      </w:r>
      <w:r>
        <w:rPr>
          <w:rFonts w:hint="eastAsia" w:ascii="宋体" w:hAnsi="宋体" w:cs="宋体"/>
          <w:bCs/>
          <w:sz w:val="24"/>
          <w:highlight w:val="none"/>
          <w:lang w:val="en-US" w:eastAsia="zh-CN"/>
        </w:rPr>
        <w:t>我公司</w:t>
      </w:r>
      <w:r>
        <w:rPr>
          <w:rFonts w:hint="eastAsia" w:ascii="宋体" w:hAnsi="宋体" w:eastAsia="宋体" w:cs="宋体"/>
          <w:bCs/>
          <w:sz w:val="24"/>
          <w:highlight w:val="none"/>
        </w:rPr>
        <w:t>在经营活动中没有重大违法记录</w:t>
      </w:r>
      <w:r>
        <w:rPr>
          <w:rFonts w:hint="eastAsia" w:ascii="宋体" w:hAnsi="宋体" w:cs="宋体"/>
          <w:bCs/>
          <w:sz w:val="24"/>
          <w:highlight w:val="none"/>
          <w:lang w:eastAsia="zh-CN"/>
        </w:rPr>
        <w:t>；</w:t>
      </w:r>
    </w:p>
    <w:p w14:paraId="7FD9B15D">
      <w:pPr>
        <w:pStyle w:val="9"/>
        <w:numPr>
          <w:ilvl w:val="0"/>
          <w:numId w:val="0"/>
        </w:numPr>
        <w:tabs>
          <w:tab w:val="left" w:pos="851"/>
          <w:tab w:val="left" w:pos="993"/>
        </w:tabs>
        <w:snapToGrid w:val="0"/>
        <w:spacing w:line="360" w:lineRule="auto"/>
        <w:ind w:left="426" w:leftChars="0"/>
        <w:rPr>
          <w:rFonts w:hint="eastAsia" w:ascii="宋体" w:hAnsi="宋体" w:eastAsia="宋体" w:cs="宋体"/>
          <w:bCs/>
          <w:sz w:val="24"/>
          <w:highlight w:val="none"/>
        </w:rPr>
      </w:pPr>
      <w:r>
        <w:rPr>
          <w:rFonts w:hint="eastAsia" w:ascii="宋体" w:hAnsi="宋体" w:cs="宋体"/>
          <w:bCs/>
          <w:sz w:val="24"/>
          <w:highlight w:val="none"/>
          <w:lang w:eastAsia="zh-CN"/>
        </w:rPr>
        <w:t>（</w:t>
      </w:r>
      <w:r>
        <w:rPr>
          <w:rFonts w:hint="eastAsia" w:ascii="宋体" w:hAnsi="宋体" w:cs="宋体"/>
          <w:bCs/>
          <w:sz w:val="24"/>
          <w:highlight w:val="none"/>
          <w:lang w:val="en-US" w:eastAsia="zh-CN"/>
        </w:rPr>
        <w:t>6</w:t>
      </w:r>
      <w:r>
        <w:rPr>
          <w:rFonts w:hint="eastAsia" w:ascii="宋体" w:hAnsi="宋体" w:cs="宋体"/>
          <w:bCs/>
          <w:sz w:val="24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bCs/>
          <w:sz w:val="24"/>
          <w:highlight w:val="none"/>
        </w:rPr>
        <w:t>符合法律、行政法规规定的其他条件。</w:t>
      </w:r>
    </w:p>
    <w:p w14:paraId="761A37EE">
      <w:pPr>
        <w:pStyle w:val="9"/>
        <w:numPr>
          <w:ilvl w:val="0"/>
          <w:numId w:val="1"/>
        </w:numPr>
        <w:tabs>
          <w:tab w:val="left" w:pos="993"/>
        </w:tabs>
        <w:snapToGrid w:val="0"/>
        <w:spacing w:line="360" w:lineRule="auto"/>
        <w:ind w:left="0" w:firstLine="426" w:firstLineChars="0"/>
        <w:rPr>
          <w:rFonts w:hint="eastAsia" w:ascii="宋体" w:hAnsi="宋体" w:eastAsia="宋体" w:cs="宋体"/>
          <w:bCs/>
          <w:sz w:val="24"/>
          <w:highlight w:val="none"/>
        </w:rPr>
      </w:pPr>
      <w:r>
        <w:rPr>
          <w:rFonts w:hint="eastAsia" w:ascii="宋体" w:hAnsi="宋体" w:eastAsia="宋体" w:cs="宋体"/>
          <w:bCs/>
          <w:sz w:val="24"/>
          <w:highlight w:val="none"/>
        </w:rPr>
        <w:t>本</w:t>
      </w:r>
      <w:r>
        <w:rPr>
          <w:rFonts w:hint="eastAsia" w:ascii="宋体" w:hAnsi="宋体" w:cs="宋体"/>
          <w:bCs/>
          <w:sz w:val="24"/>
          <w:highlight w:val="none"/>
          <w:lang w:val="en-US" w:eastAsia="zh-CN"/>
        </w:rPr>
        <w:t>公司</w:t>
      </w:r>
      <w:r>
        <w:rPr>
          <w:rFonts w:hint="eastAsia" w:ascii="宋体" w:hAnsi="宋体" w:eastAsia="宋体" w:cs="宋体"/>
          <w:bCs/>
          <w:sz w:val="24"/>
          <w:highlight w:val="none"/>
        </w:rPr>
        <w:t>没有为采购项目同一合同项下提供整体设计、规范编制或者项目管理、监理、检测等服务。</w:t>
      </w:r>
    </w:p>
    <w:p w14:paraId="1409CC16">
      <w:pPr>
        <w:pStyle w:val="9"/>
        <w:numPr>
          <w:ilvl w:val="0"/>
          <w:numId w:val="0"/>
        </w:numPr>
        <w:tabs>
          <w:tab w:val="left" w:pos="993"/>
        </w:tabs>
        <w:snapToGrid w:val="0"/>
        <w:spacing w:line="360" w:lineRule="auto"/>
        <w:ind w:left="0" w:leftChars="0" w:firstLine="480" w:firstLineChars="200"/>
        <w:rPr>
          <w:rFonts w:hint="eastAsia" w:ascii="宋体" w:hAnsi="宋体" w:eastAsia="宋体" w:cs="宋体"/>
          <w:bCs/>
          <w:sz w:val="24"/>
          <w:highlight w:val="yellow"/>
        </w:rPr>
      </w:pPr>
      <w:r>
        <w:rPr>
          <w:rFonts w:hint="eastAsia" w:ascii="宋体" w:hAnsi="宋体" w:cs="宋体"/>
          <w:bCs/>
          <w:sz w:val="24"/>
          <w:highlight w:val="none"/>
          <w:lang w:val="en-US" w:eastAsia="zh-CN"/>
        </w:rPr>
        <w:t>三、</w:t>
      </w:r>
      <w:r>
        <w:rPr>
          <w:rFonts w:hint="eastAsia" w:ascii="宋体" w:hAnsi="宋体" w:eastAsia="宋体" w:cs="宋体"/>
          <w:bCs/>
          <w:sz w:val="24"/>
          <w:highlight w:val="none"/>
        </w:rPr>
        <w:t>我方承诺如与本项目同一合同项下其他</w:t>
      </w:r>
      <w:r>
        <w:rPr>
          <w:rFonts w:hint="eastAsia" w:ascii="宋体" w:hAnsi="宋体" w:cs="宋体"/>
          <w:bCs/>
          <w:sz w:val="24"/>
          <w:highlight w:val="none"/>
          <w:lang w:eastAsia="zh-CN"/>
        </w:rPr>
        <w:t>供应商</w:t>
      </w:r>
      <w:r>
        <w:rPr>
          <w:rFonts w:hint="eastAsia" w:ascii="宋体" w:hAnsi="宋体" w:eastAsia="宋体" w:cs="宋体"/>
          <w:bCs/>
          <w:sz w:val="24"/>
          <w:highlight w:val="none"/>
        </w:rPr>
        <w:t>的单位负责人为同一人或者存在直接控股、管理关系的情形，同意按投标</w:t>
      </w:r>
      <w:r>
        <w:rPr>
          <w:rFonts w:hint="eastAsia" w:ascii="宋体" w:hAnsi="宋体" w:eastAsia="宋体" w:cs="宋体"/>
          <w:bCs/>
          <w:sz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Cs/>
          <w:sz w:val="24"/>
          <w:highlight w:val="none"/>
          <w:lang w:val="en-US" w:eastAsia="zh-CN"/>
        </w:rPr>
        <w:t>响应</w:t>
      </w:r>
      <w:r>
        <w:rPr>
          <w:rFonts w:hint="eastAsia" w:ascii="宋体" w:hAnsi="宋体" w:eastAsia="宋体" w:cs="宋体"/>
          <w:bCs/>
          <w:sz w:val="24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bCs/>
          <w:sz w:val="24"/>
          <w:highlight w:val="none"/>
        </w:rPr>
        <w:t>无效处理。</w:t>
      </w:r>
    </w:p>
    <w:p w14:paraId="21CF47AE">
      <w:pPr>
        <w:pStyle w:val="9"/>
        <w:numPr>
          <w:ilvl w:val="0"/>
          <w:numId w:val="0"/>
        </w:numPr>
        <w:tabs>
          <w:tab w:val="left" w:pos="993"/>
        </w:tabs>
        <w:snapToGrid w:val="0"/>
        <w:spacing w:line="360" w:lineRule="auto"/>
        <w:ind w:left="426" w:leftChars="0"/>
        <w:rPr>
          <w:rFonts w:hint="eastAsia" w:ascii="宋体" w:hAnsi="宋体" w:eastAsia="宋体" w:cs="宋体"/>
          <w:bCs/>
          <w:sz w:val="24"/>
          <w:highlight w:val="none"/>
        </w:rPr>
      </w:pPr>
      <w:r>
        <w:rPr>
          <w:rFonts w:hint="eastAsia" w:ascii="宋体" w:hAnsi="宋体" w:cs="宋体"/>
          <w:bCs/>
          <w:sz w:val="24"/>
          <w:highlight w:val="none"/>
          <w:lang w:val="en-US" w:eastAsia="zh-CN"/>
        </w:rPr>
        <w:t>四、</w:t>
      </w:r>
      <w:r>
        <w:rPr>
          <w:rFonts w:hint="eastAsia" w:ascii="宋体" w:hAnsi="宋体" w:eastAsia="宋体" w:cs="宋体"/>
          <w:bCs/>
          <w:sz w:val="24"/>
          <w:highlight w:val="none"/>
        </w:rPr>
        <w:t>我司独立参与投标</w:t>
      </w:r>
      <w:r>
        <w:rPr>
          <w:rFonts w:hint="eastAsia" w:ascii="宋体" w:hAnsi="宋体" w:eastAsia="宋体" w:cs="宋体"/>
          <w:bCs/>
          <w:sz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Cs/>
          <w:sz w:val="24"/>
          <w:highlight w:val="none"/>
          <w:lang w:val="en-US" w:eastAsia="zh-CN"/>
        </w:rPr>
        <w:t>响应</w:t>
      </w:r>
      <w:r>
        <w:rPr>
          <w:rFonts w:hint="eastAsia" w:ascii="宋体" w:hAnsi="宋体" w:eastAsia="宋体" w:cs="宋体"/>
          <w:bCs/>
          <w:sz w:val="24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bCs/>
          <w:sz w:val="24"/>
          <w:highlight w:val="none"/>
        </w:rPr>
        <w:t>，非联合体投标</w:t>
      </w:r>
      <w:r>
        <w:rPr>
          <w:rFonts w:hint="eastAsia" w:ascii="宋体" w:hAnsi="宋体" w:eastAsia="宋体" w:cs="宋体"/>
          <w:bCs/>
          <w:sz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Cs/>
          <w:sz w:val="24"/>
          <w:highlight w:val="none"/>
          <w:lang w:val="en-US" w:eastAsia="zh-CN"/>
        </w:rPr>
        <w:t>响应</w:t>
      </w:r>
      <w:r>
        <w:rPr>
          <w:rFonts w:hint="eastAsia" w:ascii="宋体" w:hAnsi="宋体" w:eastAsia="宋体" w:cs="宋体"/>
          <w:bCs/>
          <w:sz w:val="24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bCs/>
          <w:sz w:val="24"/>
          <w:highlight w:val="none"/>
        </w:rPr>
        <w:t>。</w:t>
      </w:r>
    </w:p>
    <w:p w14:paraId="1CD567EF">
      <w:pPr>
        <w:snapToGrid w:val="0"/>
        <w:spacing w:line="360" w:lineRule="auto"/>
        <w:ind w:firstLine="484" w:firstLineChars="202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本</w:t>
      </w:r>
      <w:r>
        <w:rPr>
          <w:rFonts w:hint="eastAsia" w:ascii="宋体" w:hAnsi="宋体" w:eastAsia="宋体" w:cs="宋体"/>
          <w:sz w:val="24"/>
          <w:highlight w:val="none"/>
          <w:lang w:val="en-US" w:eastAsia="zh-CN"/>
        </w:rPr>
        <w:t>公司</w:t>
      </w:r>
      <w:r>
        <w:rPr>
          <w:rFonts w:hint="eastAsia" w:ascii="宋体" w:hAnsi="宋体" w:eastAsia="宋体" w:cs="宋体"/>
          <w:sz w:val="24"/>
          <w:highlight w:val="none"/>
        </w:rPr>
        <w:t>承诺在本次采购活动中，如有违法、违规、弄虚作假行为，所造成的损失、不良后果及法律责任，一律由我</w:t>
      </w:r>
      <w:r>
        <w:rPr>
          <w:rFonts w:hint="eastAsia" w:ascii="宋体" w:hAnsi="宋体" w:eastAsia="宋体" w:cs="宋体"/>
          <w:sz w:val="24"/>
          <w:highlight w:val="none"/>
          <w:lang w:val="en-US" w:eastAsia="zh-CN"/>
        </w:rPr>
        <w:t>公司</w:t>
      </w:r>
      <w:r>
        <w:rPr>
          <w:rFonts w:hint="eastAsia" w:ascii="宋体" w:hAnsi="宋体" w:eastAsia="宋体" w:cs="宋体"/>
          <w:sz w:val="24"/>
          <w:highlight w:val="none"/>
        </w:rPr>
        <w:t>承担。</w:t>
      </w:r>
    </w:p>
    <w:p w14:paraId="291A0EA3">
      <w:pPr>
        <w:snapToGrid w:val="0"/>
        <w:spacing w:line="360" w:lineRule="auto"/>
        <w:ind w:firstLine="420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特此声明！</w:t>
      </w:r>
    </w:p>
    <w:p w14:paraId="071EF027">
      <w:pPr>
        <w:tabs>
          <w:tab w:val="left" w:pos="426"/>
        </w:tabs>
        <w:snapToGrid w:val="0"/>
        <w:spacing w:line="360" w:lineRule="auto"/>
        <w:rPr>
          <w:rFonts w:hint="eastAsia" w:ascii="宋体" w:hAnsi="宋体" w:eastAsia="宋体" w:cs="宋体"/>
          <w:bCs/>
          <w:sz w:val="24"/>
          <w:highlight w:val="none"/>
        </w:rPr>
      </w:pPr>
    </w:p>
    <w:p w14:paraId="69971738">
      <w:pPr>
        <w:snapToGrid w:val="0"/>
        <w:spacing w:line="360" w:lineRule="auto"/>
        <w:ind w:firstLine="420"/>
        <w:jc w:val="left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sz w:val="24"/>
          <w:highlight w:val="none"/>
        </w:rPr>
        <w:t>名称（盖章）：</w:t>
      </w:r>
    </w:p>
    <w:p w14:paraId="2713CDC9">
      <w:pPr>
        <w:snapToGrid w:val="0"/>
        <w:spacing w:line="360" w:lineRule="auto"/>
        <w:ind w:firstLine="420"/>
        <w:jc w:val="left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日期：</w:t>
      </w:r>
      <w:r>
        <w:rPr>
          <w:rFonts w:hint="eastAsia" w:ascii="宋体" w:hAnsi="宋体" w:cs="宋体"/>
          <w:spacing w:val="4"/>
          <w:sz w:val="24"/>
          <w:highlight w:val="none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pacing w:val="4"/>
          <w:sz w:val="24"/>
          <w:highlight w:val="none"/>
          <w:lang w:val="en-US" w:eastAsia="zh-CN"/>
        </w:rPr>
        <w:t>年</w:t>
      </w:r>
      <w:r>
        <w:rPr>
          <w:rFonts w:hint="eastAsia" w:ascii="宋体" w:hAnsi="宋体" w:eastAsia="宋体" w:cs="宋体"/>
          <w:spacing w:val="4"/>
          <w:sz w:val="24"/>
          <w:highlight w:val="none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4"/>
          <w:sz w:val="24"/>
          <w:highlight w:val="none"/>
          <w:lang w:val="en-US" w:eastAsia="zh-CN"/>
        </w:rPr>
        <w:t>月</w:t>
      </w:r>
      <w:r>
        <w:rPr>
          <w:rFonts w:hint="eastAsia" w:ascii="宋体" w:hAnsi="宋体" w:eastAsia="宋体" w:cs="宋体"/>
          <w:spacing w:val="4"/>
          <w:sz w:val="24"/>
          <w:highlight w:val="none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4"/>
          <w:sz w:val="24"/>
          <w:highlight w:val="none"/>
          <w:lang w:val="en-US" w:eastAsia="zh-CN"/>
        </w:rPr>
        <w:t>日</w:t>
      </w:r>
    </w:p>
    <w:p w14:paraId="75B723D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37F1085"/>
    <w:multiLevelType w:val="multilevel"/>
    <w:tmpl w:val="437F1085"/>
    <w:lvl w:ilvl="0" w:tentative="0">
      <w:start w:val="1"/>
      <w:numFmt w:val="chineseCountingThousand"/>
      <w:lvlText w:val="%1、"/>
      <w:lvlJc w:val="left"/>
      <w:pPr>
        <w:ind w:left="846" w:hanging="420"/>
      </w:pPr>
      <w:rPr>
        <w:color w:val="auto"/>
      </w:rPr>
    </w:lvl>
    <w:lvl w:ilvl="1" w:tentative="0">
      <w:start w:val="1"/>
      <w:numFmt w:val="lowerLetter"/>
      <w:lvlText w:val="%2)"/>
      <w:lvlJc w:val="left"/>
      <w:pPr>
        <w:ind w:left="1266" w:hanging="420"/>
      </w:pPr>
    </w:lvl>
    <w:lvl w:ilvl="2" w:tentative="0">
      <w:start w:val="1"/>
      <w:numFmt w:val="lowerRoman"/>
      <w:lvlText w:val="%3."/>
      <w:lvlJc w:val="right"/>
      <w:pPr>
        <w:ind w:left="1686" w:hanging="420"/>
      </w:pPr>
    </w:lvl>
    <w:lvl w:ilvl="3" w:tentative="0">
      <w:start w:val="1"/>
      <w:numFmt w:val="decimal"/>
      <w:lvlText w:val="%4."/>
      <w:lvlJc w:val="left"/>
      <w:pPr>
        <w:ind w:left="2106" w:hanging="420"/>
      </w:pPr>
    </w:lvl>
    <w:lvl w:ilvl="4" w:tentative="0">
      <w:start w:val="1"/>
      <w:numFmt w:val="lowerLetter"/>
      <w:lvlText w:val="%5)"/>
      <w:lvlJc w:val="left"/>
      <w:pPr>
        <w:ind w:left="2526" w:hanging="420"/>
      </w:pPr>
    </w:lvl>
    <w:lvl w:ilvl="5" w:tentative="0">
      <w:start w:val="1"/>
      <w:numFmt w:val="lowerRoman"/>
      <w:lvlText w:val="%6."/>
      <w:lvlJc w:val="right"/>
      <w:pPr>
        <w:ind w:left="2946" w:hanging="420"/>
      </w:pPr>
    </w:lvl>
    <w:lvl w:ilvl="6" w:tentative="0">
      <w:start w:val="1"/>
      <w:numFmt w:val="decimal"/>
      <w:lvlText w:val="%7."/>
      <w:lvlJc w:val="left"/>
      <w:pPr>
        <w:ind w:left="3366" w:hanging="420"/>
      </w:pPr>
    </w:lvl>
    <w:lvl w:ilvl="7" w:tentative="0">
      <w:start w:val="1"/>
      <w:numFmt w:val="lowerLetter"/>
      <w:lvlText w:val="%8)"/>
      <w:lvlJc w:val="left"/>
      <w:pPr>
        <w:ind w:left="3786" w:hanging="420"/>
      </w:pPr>
    </w:lvl>
    <w:lvl w:ilvl="8" w:tentative="0">
      <w:start w:val="1"/>
      <w:numFmt w:val="lowerRoman"/>
      <w:lvlText w:val="%9."/>
      <w:lvlJc w:val="right"/>
      <w:pPr>
        <w:ind w:left="4206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yZDBjYzI0YmQ3Y2QyYTQ1MDExY2I1NWExYWJkOTEifQ=="/>
  </w:docVars>
  <w:rsids>
    <w:rsidRoot w:val="00A67631"/>
    <w:rsid w:val="00105454"/>
    <w:rsid w:val="00135731"/>
    <w:rsid w:val="00430288"/>
    <w:rsid w:val="00493325"/>
    <w:rsid w:val="00560DC7"/>
    <w:rsid w:val="005760F4"/>
    <w:rsid w:val="00701BFC"/>
    <w:rsid w:val="0080792A"/>
    <w:rsid w:val="00A67631"/>
    <w:rsid w:val="00B96C70"/>
    <w:rsid w:val="00BD2AF8"/>
    <w:rsid w:val="00F60C47"/>
    <w:rsid w:val="00FE6A86"/>
    <w:rsid w:val="14172FC0"/>
    <w:rsid w:val="273D3D37"/>
    <w:rsid w:val="2AC512BE"/>
    <w:rsid w:val="2B0B23DF"/>
    <w:rsid w:val="33C86AE2"/>
    <w:rsid w:val="365E6403"/>
    <w:rsid w:val="373A29CC"/>
    <w:rsid w:val="69BC1335"/>
    <w:rsid w:val="6F463B98"/>
    <w:rsid w:val="737A6E13"/>
    <w:rsid w:val="74B67F1F"/>
    <w:rsid w:val="768B79D3"/>
    <w:rsid w:val="769C0857"/>
    <w:rsid w:val="788A556F"/>
    <w:rsid w:val="7899773A"/>
    <w:rsid w:val="79C16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widowControl/>
      <w:spacing w:before="200" w:after="200"/>
      <w:jc w:val="center"/>
      <w:outlineLvl w:val="0"/>
    </w:pPr>
    <w:rPr>
      <w:rFonts w:eastAsia="黑体"/>
      <w:b/>
      <w:bCs/>
      <w:sz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paragraph" w:customStyle="1" w:styleId="9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447</Words>
  <Characters>447</Characters>
  <Lines>4</Lines>
  <Paragraphs>1</Paragraphs>
  <TotalTime>0</TotalTime>
  <ScaleCrop>false</ScaleCrop>
  <LinksUpToDate>false</LinksUpToDate>
  <CharactersWithSpaces>464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2022-04-02T08:23:00Z</dcterms:created>
  <dc:creator>Microsoft</dc:creator>
  <cp:lastModifiedBy>L.i.B</cp:lastModifiedBy>
  <cp:lastPrinted>2024-09-03T02:53:11Z</cp:lastPrinted>
  <dcterms:modified xsi:type="dcterms:W3CDTF">2024-09-03T02:53:17Z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mondata">
    <vt:lpwstr>eyJoZGlkIjoiMTEyNTk4NjFhNjQ5ZGI5OGZmYzFiMmQ1ZGZmYWIyMTAifQ==</vt:lpwstr>
  </property>
  <property fmtid="{D5CDD505-2E9C-101B-9397-08002B2CF9AE}" pid="3" name="KSOProductBuildVer">
    <vt:lpwstr>2052-12.1.0.17827</vt:lpwstr>
  </property>
  <property fmtid="{D5CDD505-2E9C-101B-9397-08002B2CF9AE}" pid="4" name="ICV">
    <vt:lpwstr>3B23FC3E63D448AA85EF8714E4F9DBA2</vt:lpwstr>
  </property>
</Properties>
</file>