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1320" w:firstLineChars="3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 xml:space="preserve">行政处罚信息信用修复告知书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为促进失信主体积极纠正失信行为、消除不良影响，构建自主自新的信用修复机制，营造诚实守信的社会环境，现将信用修复有关事项告知如下：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根据《中华人民共和国行政处罚法》以及国家、省关于做好行政许可和行政处罚等信用信息公示的工作要求，本单位将有关行政处罚信息上报“信用中国”网站和国家企业信用信息公示系统。目前，行政处罚信息已广泛应用于行政管理、招标投标、政府采购、政策扶持、资金补贴、项目申报、评先评优、资格资质认定及金融信贷等领域，可能对你单位的生产生活带来一定的影响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行政处罚信息最短公示期为三个月，最长公示期为三年，其中涉及食品、药品、特种设备、安全生产、消防领域行政处罚信息最短公示期为一年（具体认定标准按“信用中国”网站修复指南第十二条执行，详见 www.creditchina.gov.cn/xyxf/ xfzn）。最短公示期届满，方可按规定申请提前终止公示；最长公示期届满后，相关信息自动停止公示。完全履行行政处罚决定规定的义务、纠正违法行为，且行政处罚信息达到最短公示期限，可在“信用中国”网站（www.creditchina.gov.cn/，面向企业、 事业单位、社会组织）、“信用广东”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网站（https://credit.gd.gov.cn/，面向个体工商户）线上申请修复。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开展信用修复不收取任何费用，如有社会相关中介机构、个人或政府工作人员等，以提出可以帮助加快修复时间、 帮助填写提交修复材料等任何借口或理由收取费用或索要财物、购物卡等均是行骗和违法违纪行为，可以通过电话、信函等方式向相关部门举报。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广州市增城区人力资源和社会保障局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年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hromSerifOT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44083"/>
    <w:rsid w:val="3EE95165"/>
    <w:rsid w:val="6DB4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2024-06-18T08:31:00Z</dcterms:created>
  <dc:creator>Administrator</dc:creator>
  <cp:lastModifiedBy>Administrator</cp:lastModifiedBy>
  <dcterms:modified xsi:type="dcterms:W3CDTF">2024-06-18T09:00:35Z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AB2EEBCBBABD473B9E94153BC64599C6</vt:lpwstr>
  </property>
</Properties>
</file>