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增城区文化广电旅游体育局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行政许可实施和监督管理情况报告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根据《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广东省行政许可监督管理条例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的</w:t>
      </w:r>
      <w:r>
        <w:rPr>
          <w:rFonts w:eastAsia="仿宋_GB2312"/>
          <w:color w:val="auto"/>
          <w:sz w:val="32"/>
          <w:szCs w:val="32"/>
        </w:rPr>
        <w:t>要求，现将我</w:t>
      </w:r>
      <w:r>
        <w:rPr>
          <w:rFonts w:hint="eastAsia" w:eastAsia="仿宋_GB2312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eastAsia="仿宋_GB2312"/>
          <w:color w:val="auto"/>
          <w:sz w:val="32"/>
          <w:szCs w:val="32"/>
        </w:rPr>
        <w:t>行政许可实施和监督管理情况报告如下：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jc w:val="both"/>
        <w:rPr>
          <w:rFonts w:hint="eastAsia" w:ascii="仿宋" w:hAnsi="仿宋" w:eastAsia="仿宋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我局实施的</w:t>
      </w:r>
      <w:r>
        <w:rPr>
          <w:rFonts w:eastAsia="仿宋_GB2312"/>
          <w:color w:val="auto"/>
          <w:sz w:val="32"/>
          <w:szCs w:val="32"/>
        </w:rPr>
        <w:t>行政许可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个主项事项、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个子项事项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比上一年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个主项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事项和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个子项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事项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，已全部</w:t>
      </w:r>
      <w:r>
        <w:rPr>
          <w:rFonts w:eastAsia="仿宋_GB2312"/>
          <w:color w:val="auto"/>
          <w:sz w:val="32"/>
          <w:szCs w:val="32"/>
        </w:rPr>
        <w:t>进驻</w:t>
      </w:r>
      <w:r>
        <w:rPr>
          <w:rFonts w:hint="eastAsia" w:eastAsia="仿宋_GB2312"/>
          <w:color w:val="auto"/>
          <w:sz w:val="32"/>
          <w:szCs w:val="32"/>
        </w:rPr>
        <w:t>广东省政务服务事项管理系统（广东政务服务网）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年我局收到</w:t>
      </w:r>
      <w:r>
        <w:rPr>
          <w:rFonts w:eastAsia="仿宋_GB2312"/>
          <w:color w:val="auto"/>
          <w:sz w:val="32"/>
          <w:szCs w:val="32"/>
        </w:rPr>
        <w:t>行政许可申请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</w:t>
      </w:r>
      <w:r>
        <w:rPr>
          <w:rFonts w:eastAsia="仿宋_GB2312"/>
          <w:color w:val="auto"/>
          <w:sz w:val="32"/>
          <w:szCs w:val="32"/>
        </w:rPr>
        <w:t>，其中受理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</w:t>
      </w:r>
      <w:r>
        <w:rPr>
          <w:rFonts w:eastAsia="仿宋_GB2312"/>
          <w:color w:val="auto"/>
          <w:sz w:val="32"/>
          <w:szCs w:val="32"/>
        </w:rPr>
        <w:t>、不受理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</w:t>
      </w:r>
      <w:r>
        <w:rPr>
          <w:rFonts w:eastAsia="仿宋_GB2312"/>
          <w:color w:val="auto"/>
          <w:sz w:val="32"/>
          <w:szCs w:val="32"/>
        </w:rPr>
        <w:t>；行政许可办结量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</w:t>
      </w:r>
      <w:r>
        <w:rPr>
          <w:rFonts w:eastAsia="仿宋_GB2312"/>
          <w:color w:val="auto"/>
          <w:sz w:val="32"/>
          <w:szCs w:val="32"/>
        </w:rPr>
        <w:t>，其中审批同意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宗，</w:t>
      </w:r>
      <w:r>
        <w:rPr>
          <w:rFonts w:eastAsia="仿宋_GB2312"/>
          <w:color w:val="auto"/>
          <w:sz w:val="32"/>
          <w:szCs w:val="32"/>
        </w:rPr>
        <w:t>审批不同意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宗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（一）依法实施情况。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遵守法律法规规定的审批权限、范围、程序、条件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行使行政许可审批职责，不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存在变相设定和实施行政许可情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况；全部行政许可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事项办结期限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（二）公开公示情况。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我局在广东政务服务网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权责事项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实施主体、依据、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条件、期限、裁量标准、申请材料、收费标准、申请书格式文本、咨询投诉方式等信息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。行政许可实施结果的情况通过信用广州、广东省行政执法信息公示平台等向社会公开。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（三）</w:t>
      </w:r>
      <w:r>
        <w:rPr>
          <w:rFonts w:hint="eastAsia" w:eastAsia="楷体_GB2312"/>
          <w:color w:val="auto"/>
          <w:sz w:val="32"/>
          <w:szCs w:val="32"/>
        </w:rPr>
        <w:t>监督管理情况</w:t>
      </w:r>
      <w:r>
        <w:rPr>
          <w:rFonts w:eastAsia="楷体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我局分别在广东省政务服务网、增城区人民政府门户网站等平台公布举报投诉方式，接受群众的咨询投诉。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我局按照谁审批、谁监管，谁主管、谁监管的原则切实履行监管职责，对照审批事项明确职责分工，细化工作措施。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年，我局行政许可事项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诉讼等情况。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（四）实施效果情况。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我局通过依法实施行政许可和有效监管，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文化广电旅游体育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市场和社会秩序，推动了经济社会健康快速发展。通过行政许可的严格把关，促进了行业整体素质的提升。通过优化审批流程、压缩审批时限、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提供上门服务办理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等措施，行政相对人对行政许可工作的认可度和满意度较高，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年获得群众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面表扬锦旗和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封表扬信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eastAsia="楷体_GB2312"/>
          <w:color w:val="auto"/>
          <w:sz w:val="32"/>
          <w:szCs w:val="32"/>
        </w:rPr>
        <w:t>（五）创新方式情况。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包容审慎监管。根据《增城区关于推进包容审慎监管的二十条指导意见》《增城区关于实施行政执法“观察期”制度的工作指引》，推行“柔性执法”模式，对轻微违法行为以教育引导为主，减少行政处罚对企业经营的影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二是开展上门审批服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结合文旅体审批系统开展大数据分析，对需要许可延续的企业，从过去的坐等企业申请转变为主动提前进入企业开展审批工作，对符合条件的立即办理审批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（六）推行标准化情况。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制定《广州市增城区文化广电旅游体育局行政审批工作管理制度》，落实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行政权力事项通用目录和政务服务事项实施清单管理的工作要求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，并在广东省政务事项管理系统及时修订更新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行政许可事项名称、实施依据、申请条件、申请材料、办理时限、受理范围等要素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息。通过标准化管理，提高了审批的公正性和透明度。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二、存在问题和困难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（一）部门之间信息互通不畅。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部分行政许可事项涉及多个部门协同办理，但由于部门间信息共享机制不健全，导致审批效率受到影响。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如企业申请办理互联网上网服务场所设立业务，无法通过平台系统查询该企业是否办理了消防许可。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（二）部门衔接协调有待提升。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因法规规章修订，部分行政许可事项取消了其他行政部门的前置审批，需进一步提升与其他行政部门的统筹、协调能力，完善服务与监管工作。如《娱乐场所管理办法》修订之后，对娱乐场所的设立申请不需要消防许可前置，对监管带来新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三、下一步工作措施及有关建议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加强部门间信息共享和协同办理</w:t>
      </w: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按照相关法律法规的要求，提升与其他行政部门的统筹、协调能力，完善行政许可事项实施结果的服务与监管工作，提高审批效率。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en-US" w:eastAsia="zh-CN" w:bidi="ar-SA"/>
        </w:rPr>
        <w:t>（二）优化办事流程与服务。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通过进一步推行全程网办程序，无纸化办理，缩短群众办理的时间，进一步优化办事流程；通过推行上门办理审批等服务模式，进一步提升政务服务水平。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417" w:left="1587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jZkOGEyZTZmOTMzNTNlMzc0NmFkOWRhNTI0ODgifQ=="/>
  </w:docVars>
  <w:rsids>
    <w:rsidRoot w:val="413A5512"/>
    <w:rsid w:val="00002312"/>
    <w:rsid w:val="02267CFA"/>
    <w:rsid w:val="049818C8"/>
    <w:rsid w:val="07BB6140"/>
    <w:rsid w:val="085F627F"/>
    <w:rsid w:val="098F4A90"/>
    <w:rsid w:val="09ED59D9"/>
    <w:rsid w:val="11105636"/>
    <w:rsid w:val="11A77F9B"/>
    <w:rsid w:val="12ED4175"/>
    <w:rsid w:val="144D09EC"/>
    <w:rsid w:val="14CA62B3"/>
    <w:rsid w:val="1784481C"/>
    <w:rsid w:val="1CC87504"/>
    <w:rsid w:val="1FBE0BDD"/>
    <w:rsid w:val="200C6892"/>
    <w:rsid w:val="22F76D76"/>
    <w:rsid w:val="271A7CF9"/>
    <w:rsid w:val="27D35D0F"/>
    <w:rsid w:val="284A5727"/>
    <w:rsid w:val="2A0C1188"/>
    <w:rsid w:val="2ACB2343"/>
    <w:rsid w:val="310B4668"/>
    <w:rsid w:val="33131DDF"/>
    <w:rsid w:val="337B4EF0"/>
    <w:rsid w:val="33F3145A"/>
    <w:rsid w:val="353F6F25"/>
    <w:rsid w:val="3A3272FC"/>
    <w:rsid w:val="3AB24DAC"/>
    <w:rsid w:val="413A5512"/>
    <w:rsid w:val="42027259"/>
    <w:rsid w:val="4423266A"/>
    <w:rsid w:val="495104FD"/>
    <w:rsid w:val="4A781DDD"/>
    <w:rsid w:val="4BFD3DE0"/>
    <w:rsid w:val="4EC52EB5"/>
    <w:rsid w:val="514106AB"/>
    <w:rsid w:val="56232843"/>
    <w:rsid w:val="56DB2625"/>
    <w:rsid w:val="596B5A1A"/>
    <w:rsid w:val="59E979A0"/>
    <w:rsid w:val="5B457491"/>
    <w:rsid w:val="5E933AD7"/>
    <w:rsid w:val="608E75FB"/>
    <w:rsid w:val="669200E7"/>
    <w:rsid w:val="6CC84FDE"/>
    <w:rsid w:val="6EED5F9B"/>
    <w:rsid w:val="746565F4"/>
    <w:rsid w:val="75A806D4"/>
    <w:rsid w:val="7DD063D6"/>
    <w:rsid w:val="7E5C5901"/>
    <w:rsid w:val="7FCD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jc w:val="left"/>
      <w:textAlignment w:val="baseline"/>
    </w:pPr>
    <w:rPr>
      <w:rFonts w:ascii="Arial" w:hAnsi="Arial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1457</Words>
  <Characters>1485</Characters>
  <Lines>0</Lines>
  <Paragraphs>0</Paragraphs>
  <TotalTime>14</TotalTime>
  <ScaleCrop>false</ScaleCrop>
  <LinksUpToDate>false</LinksUpToDate>
  <CharactersWithSpaces>1485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2023-03-15T01:59:00Z</dcterms:created>
  <dc:creator>Administrator</dc:creator>
  <cp:lastModifiedBy>小邓西</cp:lastModifiedBy>
  <dcterms:modified xsi:type="dcterms:W3CDTF">2025-02-12T08:54:03Z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C8FF29AF5A314812853B856D4E2AA46F_13</vt:lpwstr>
  </property>
  <property fmtid="{D5CDD505-2E9C-101B-9397-08002B2CF9AE}" pid="4" name="KSOTemplateDocerSaveRecord">
    <vt:lpwstr>eyJoZGlkIjoiYTQ4YzIyOThkNjdkMmNkMmI4YmVkMzU3ZmYzNjA4ODMiLCJ1c2VySWQiOiIyNTY3MzEyMjEifQ==</vt:lpwstr>
  </property>
</Properties>
</file>