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left="0" w:leftChars="0" w:right="0" w:rightChars="0" w:firstLine="0" w:firstLineChars="0"/>
        <w:jc w:val="both"/>
        <w:textAlignment w:val="auto"/>
        <w:outlineLvl w:val="9"/>
        <w:rPr>
          <w:rFonts w:hint="eastAsia" w:ascii="黑体" w:hAnsi="Times New Roman" w:eastAsia="黑体" w:cs="黑体"/>
          <w:kern w:val="2"/>
          <w:sz w:val="32"/>
          <w:lang w:bidi="ar"/>
        </w:rPr>
      </w:pPr>
      <w:r>
        <w:rPr>
          <w:rFonts w:hint="eastAsia" w:ascii="黑体" w:eastAsia="黑体" w:cs="黑体"/>
          <w:kern w:val="2"/>
          <w:sz w:val="32"/>
          <w:lang w:bidi="ar"/>
        </w:rPr>
        <w:t>附件</w:t>
      </w:r>
      <w:r>
        <w:rPr>
          <w:rFonts w:hint="eastAsia" w:ascii="Times New Roman" w:hAnsi="Times New Roman" w:eastAsia="黑体" w:cs="黑体"/>
          <w:kern w:val="2"/>
          <w:sz w:val="32"/>
          <w:lang w:bidi="ar"/>
        </w:rPr>
        <w:t>1</w:t>
      </w:r>
    </w:p>
    <w:p>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left="0" w:leftChars="0" w:right="0" w:rightChars="0" w:firstLine="0" w:firstLineChars="0"/>
        <w:jc w:val="both"/>
        <w:textAlignment w:val="auto"/>
        <w:outlineLvl w:val="9"/>
        <w:rPr>
          <w:rFonts w:hint="eastAsia" w:ascii="黑体" w:hAnsi="Times New Roman" w:eastAsia="黑体" w:cs="黑体"/>
          <w:kern w:val="2"/>
          <w:sz w:val="32"/>
          <w:lang w:bidi="ar"/>
        </w:rPr>
      </w:pP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广州市</w:t>
      </w:r>
      <w:r>
        <w:rPr>
          <w:rFonts w:hint="eastAsia" w:ascii="方正小标宋简体" w:hAnsi="方正小标宋简体" w:eastAsia="方正小标宋简体" w:cs="方正小标宋简体"/>
          <w:sz w:val="44"/>
          <w:szCs w:val="44"/>
          <w:lang w:val="en-US" w:eastAsia="zh-CN"/>
        </w:rPr>
        <w:t>公安局增城区分局</w:t>
      </w:r>
      <w:r>
        <w:rPr>
          <w:rFonts w:hint="eastAsia" w:ascii="Times New Roman" w:hAnsi="Times New Roman"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lang w:eastAsia="zh-CN"/>
        </w:rPr>
        <w:t>年度行政许可</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实施和监督管理情况报告</w:t>
      </w:r>
    </w:p>
    <w:p>
      <w:pPr>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广东省行政许可监督管理条例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要求，现将我单位</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行政许可实施和监督管理情况报告如下：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2024年，我分局承办行政许可主项事项28项（包括子项事项85项</w:t>
      </w:r>
      <w:r>
        <w:rPr>
          <w:rFonts w:hint="eastAsia" w:ascii="仿宋_GB2312" w:hAnsi="仿宋_GB2312" w:eastAsia="仿宋_GB2312" w:cs="仿宋_GB2312"/>
          <w:sz w:val="32"/>
          <w:szCs w:val="32"/>
          <w:lang w:eastAsia="zh-CN"/>
        </w:rPr>
        <w:t>），其中子项较</w:t>
      </w:r>
      <w:r>
        <w:rPr>
          <w:rFonts w:hint="eastAsia" w:ascii="仿宋_GB2312" w:hAnsi="仿宋_GB2312" w:eastAsia="仿宋_GB2312" w:cs="仿宋_GB2312"/>
          <w:sz w:val="32"/>
          <w:szCs w:val="32"/>
          <w:lang w:val="en-US" w:eastAsia="zh-CN"/>
        </w:rPr>
        <w:t>2023年优化调减4项，</w:t>
      </w:r>
      <w:r>
        <w:rPr>
          <w:rFonts w:hint="eastAsia" w:ascii="仿宋_GB2312" w:hAnsi="仿宋_GB2312" w:eastAsia="仿宋_GB2312" w:cs="仿宋_GB2312"/>
          <w:sz w:val="32"/>
          <w:szCs w:val="32"/>
          <w:lang w:eastAsia="zh-CN"/>
        </w:rPr>
        <w:t>已全量进驻广东政务服务事项管理系统。</w:t>
      </w:r>
      <w:r>
        <w:rPr>
          <w:rFonts w:hint="eastAsia" w:ascii="Times New Roman" w:hAnsi="Times New Roman" w:eastAsia="仿宋_GB2312" w:cs="仿宋_GB2312"/>
          <w:sz w:val="32"/>
          <w:szCs w:val="32"/>
          <w:lang w:val="en-US" w:eastAsia="zh-CN"/>
        </w:rPr>
        <w:t>全年行政许可的申请量806130件，受理量为806092件、不受理量为38件，办结量为806092件（审批同意量806092件、不同意量0件)，未按时办结事项数量为0。实现100%群众只跑一次，100%可网上办理，100%进驻政务服务大厅。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jc w:val="both"/>
        <w:textAlignment w:val="auto"/>
        <w:rPr>
          <w:rFonts w:hint="eastAsia"/>
          <w:sz w:val="32"/>
          <w:szCs w:val="32"/>
          <w:lang w:eastAsia="zh-CN"/>
        </w:rPr>
      </w:pPr>
      <w:r>
        <w:rPr>
          <w:rFonts w:hint="eastAsia" w:ascii="楷体_GB2312" w:hAnsi="楷体_GB2312" w:eastAsia="楷体_GB2312" w:cs="楷体_GB2312"/>
          <w:sz w:val="32"/>
          <w:szCs w:val="32"/>
        </w:rPr>
        <w:t>依法实施情况。</w:t>
      </w:r>
      <w:r>
        <w:rPr>
          <w:rFonts w:hint="eastAsia" w:ascii="仿宋_GB2312" w:hAnsi="仿宋_GB2312" w:eastAsia="仿宋_GB2312" w:cs="仿宋_GB2312"/>
          <w:sz w:val="32"/>
          <w:szCs w:val="32"/>
          <w:lang w:eastAsia="zh-CN"/>
        </w:rPr>
        <w:t>分局严格依法依规执行行政审批权限、程序、环节、条件等，积极落实审批的各项工作，确保审批过程依法依规进行，</w:t>
      </w:r>
      <w:r>
        <w:rPr>
          <w:rFonts w:hint="eastAsia" w:ascii="仿宋_GB2312" w:hAnsi="仿宋_GB2312" w:eastAsia="仿宋_GB2312" w:cs="仿宋_GB2312"/>
          <w:sz w:val="32"/>
          <w:szCs w:val="32"/>
          <w:lang w:val="en-US" w:eastAsia="zh-CN"/>
        </w:rPr>
        <w:t>不存在</w:t>
      </w:r>
      <w:r>
        <w:rPr>
          <w:rFonts w:hint="eastAsia" w:ascii="仿宋_GB2312" w:hAnsi="仿宋_GB2312" w:eastAsia="仿宋_GB2312" w:cs="仿宋_GB2312"/>
          <w:sz w:val="32"/>
          <w:szCs w:val="32"/>
        </w:rPr>
        <w:t>变相设定和实施行政许可情况</w:t>
      </w:r>
      <w:r>
        <w:rPr>
          <w:rFonts w:hint="eastAsia" w:ascii="仿宋_GB2312" w:hAnsi="仿宋_GB2312" w:eastAsia="仿宋_GB2312" w:cs="仿宋_GB2312"/>
          <w:sz w:val="32"/>
          <w:szCs w:val="32"/>
          <w:lang w:eastAsia="zh-CN"/>
        </w:rPr>
        <w:t>；定期开展规范性文件专项清理，配合广州市公安局和增城区政数局梳理、完善行政许可配套规范性文件的释义工作，新增配套措施，并通过政务平台向社会公开；通过“减材料、压时限、优系统”三措并举，成功压缩实际办结时间，部分事项实现“全程网办”，提高电子材料复用率，严格落实“</w:t>
      </w:r>
      <w:r>
        <w:rPr>
          <w:rFonts w:hint="eastAsia" w:ascii="仿宋_GB2312" w:hAnsi="仿宋_GB2312" w:eastAsia="仿宋_GB2312" w:cs="仿宋_GB2312"/>
          <w:sz w:val="32"/>
          <w:szCs w:val="32"/>
          <w:lang w:val="en-US" w:eastAsia="zh-CN"/>
        </w:rPr>
        <w:t>超期预警</w:t>
      </w:r>
      <w:r>
        <w:rPr>
          <w:rFonts w:hint="eastAsia" w:ascii="仿宋_GB2312" w:hAnsi="仿宋_GB2312" w:eastAsia="仿宋_GB2312" w:cs="仿宋_GB2312"/>
          <w:sz w:val="32"/>
          <w:szCs w:val="32"/>
          <w:lang w:eastAsia="zh-CN"/>
        </w:rPr>
        <w:t>”机制，提高按期办结率。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（二）公开公示情况。</w:t>
      </w:r>
      <w:r>
        <w:rPr>
          <w:rFonts w:hint="eastAsia" w:ascii="仿宋_GB2312" w:hAnsi="仿宋_GB2312" w:eastAsia="仿宋_GB2312" w:cs="仿宋_GB2312"/>
          <w:sz w:val="32"/>
          <w:szCs w:val="32"/>
        </w:rPr>
        <w:t>分局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广东政务服务网主动公开行政审批事项目录信息</w:t>
      </w:r>
      <w:r>
        <w:rPr>
          <w:rFonts w:hint="eastAsia" w:ascii="仿宋_GB2312" w:hAnsi="仿宋_GB2312" w:eastAsia="仿宋_GB2312" w:cs="仿宋_GB2312"/>
          <w:sz w:val="32"/>
          <w:szCs w:val="32"/>
          <w:lang w:eastAsia="zh-CN"/>
        </w:rPr>
        <w:t>和</w:t>
      </w:r>
      <w:r>
        <w:rPr>
          <w:rFonts w:hint="eastAsia" w:ascii="Times New Roman" w:hAnsi="Times New Roman" w:eastAsia="仿宋_GB2312" w:cs="Times New Roman"/>
          <w:sz w:val="32"/>
          <w:szCs w:val="32"/>
          <w:highlight w:val="none"/>
          <w:lang w:val="en-US" w:eastAsia="zh-CN"/>
        </w:rPr>
        <w:t>85</w:t>
      </w:r>
      <w:r>
        <w:rPr>
          <w:rFonts w:hint="eastAsia" w:ascii="仿宋_GB2312" w:hAnsi="仿宋_GB2312" w:eastAsia="仿宋_GB2312" w:cs="仿宋_GB2312"/>
          <w:sz w:val="32"/>
          <w:szCs w:val="32"/>
        </w:rPr>
        <w:t>项行政许可事项的实施主体、依据、程序、条件、期限、裁量标准、办事指南、公开办理事项受理范围、所需要的申请材料、收费标准、申请书格式文本、咨询投诉方式等信息</w:t>
      </w:r>
      <w:r>
        <w:rPr>
          <w:rFonts w:hint="eastAsia" w:ascii="仿宋_GB2312" w:hAnsi="仿宋_GB2312" w:eastAsia="仿宋_GB2312" w:cs="仿宋_GB2312"/>
          <w:sz w:val="32"/>
          <w:szCs w:val="32"/>
          <w:lang w:eastAsia="zh-CN"/>
        </w:rPr>
        <w:t>；印制《</w:t>
      </w:r>
      <w:r>
        <w:rPr>
          <w:rFonts w:hint="eastAsia" w:ascii="仿宋_GB2312" w:hAnsi="仿宋_GB2312" w:eastAsia="仿宋_GB2312" w:cs="仿宋_GB2312"/>
          <w:sz w:val="32"/>
          <w:szCs w:val="32"/>
        </w:rPr>
        <w:t>办事指南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摆放在增城区政务服务中心（户政出入境大厅）、南部政务服务中心公安大厅、车管服务大厅等供群众取阅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分局的行政许可实施结果已</w:t>
      </w:r>
      <w:r>
        <w:rPr>
          <w:rFonts w:hint="eastAsia" w:ascii="仿宋_GB2312" w:hAnsi="仿宋_GB2312" w:eastAsia="仿宋_GB2312" w:cs="仿宋_GB2312"/>
          <w:sz w:val="32"/>
          <w:szCs w:val="32"/>
          <w:lang w:eastAsia="zh-CN"/>
        </w:rPr>
        <w:t>全量</w:t>
      </w:r>
      <w:r>
        <w:rPr>
          <w:rFonts w:hint="eastAsia" w:ascii="仿宋_GB2312" w:hAnsi="仿宋_GB2312" w:eastAsia="仿宋_GB2312" w:cs="仿宋_GB2312"/>
          <w:sz w:val="32"/>
          <w:szCs w:val="32"/>
        </w:rPr>
        <w:t>通过信用广州向社会公开。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sz w:val="32"/>
          <w:szCs w:val="32"/>
        </w:rPr>
      </w:pPr>
      <w:r>
        <w:rPr>
          <w:rFonts w:hint="eastAsia" w:ascii="楷体_GB2312" w:hAnsi="楷体_GB2312" w:eastAsia="楷体_GB2312" w:cs="楷体_GB2312"/>
          <w:sz w:val="32"/>
          <w:szCs w:val="32"/>
        </w:rPr>
        <w:t>（三）监督管理情况。</w:t>
      </w:r>
      <w:r>
        <w:rPr>
          <w:rFonts w:hint="eastAsia" w:ascii="仿宋_GB2312" w:hAnsi="仿宋_GB2312" w:eastAsia="仿宋_GB2312" w:cs="仿宋_GB2312"/>
          <w:sz w:val="32"/>
          <w:szCs w:val="32"/>
          <w:lang w:eastAsia="zh-CN"/>
        </w:rPr>
        <w:t>分局积极主动推行内外双监督。在外部，对外公开咨询投诉电话：</w:t>
      </w:r>
      <w:r>
        <w:rPr>
          <w:rFonts w:hint="default" w:ascii="Times New Roman" w:hAnsi="Times New Roman" w:eastAsia="仿宋" w:cs="Times New Roman"/>
          <w:sz w:val="32"/>
          <w:szCs w:val="32"/>
        </w:rPr>
        <w:t>110，020-82662270</w:t>
      </w:r>
      <w:r>
        <w:rPr>
          <w:rFonts w:hint="eastAsia" w:ascii="Times New Roman" w:hAnsi="Times New Roman" w:eastAsia="仿宋" w:cs="Times New Roman"/>
          <w:sz w:val="32"/>
          <w:szCs w:val="32"/>
          <w:lang w:eastAsia="zh-CN"/>
        </w:rPr>
        <w:t>，</w:t>
      </w:r>
      <w:r>
        <w:rPr>
          <w:rFonts w:hint="eastAsia" w:ascii="仿宋_GB2312" w:hAnsi="仿宋_GB2312" w:eastAsia="仿宋_GB2312" w:cs="仿宋_GB2312"/>
          <w:sz w:val="32"/>
          <w:szCs w:val="32"/>
          <w:lang w:eastAsia="zh-CN"/>
        </w:rPr>
        <w:t>并在广东省政务服务网、增城区人民政府门户网站等平台公布举报投诉方式，接受社会公众、媒体和上级部门的监督；依托广东省政务服务网“好差评”系统，实时接受办事群众监督；聘请廉政监督员对行政许可实施行为进行监督；区政数局依托广东政务服务网对我局受理行政许可事项进行全流程监督。在内部，分局建立层级监督检查机制，形成窗口单位内部自查、审批管理科线上线下巡查、联合督导检查等监督格局，压实各主体监督责任，形成监督工作合力。通过强化监督，未出现违法违规许可、审批情况事项及因行政审批问题产生的负面舆情。</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sz w:val="32"/>
          <w:szCs w:val="32"/>
        </w:rPr>
      </w:pPr>
      <w:r>
        <w:rPr>
          <w:rFonts w:hint="eastAsia" w:ascii="楷体_GB2312" w:hAnsi="楷体_GB2312" w:eastAsia="楷体_GB2312" w:cs="楷体_GB2312"/>
          <w:sz w:val="32"/>
          <w:szCs w:val="32"/>
        </w:rPr>
        <w:t>（四）实施效果情况。</w:t>
      </w:r>
      <w:r>
        <w:rPr>
          <w:rFonts w:hint="eastAsia" w:ascii="仿宋_GB2312" w:hAnsi="仿宋_GB2312" w:eastAsia="仿宋_GB2312" w:cs="仿宋_GB2312"/>
          <w:sz w:val="32"/>
          <w:szCs w:val="32"/>
          <w:lang w:eastAsia="zh-CN"/>
        </w:rPr>
        <w:t>一是审批效率提高，通过优化流程和信息化手段，缩短审批时限，对简单事项实行即来即办，提高即办比例；二是服务质量优化，通过培训考核，提高对窗口人员的服务意识和业务能力，规范化窗口服务，</w:t>
      </w:r>
      <w:r>
        <w:rPr>
          <w:rFonts w:hint="eastAsia" w:ascii="仿宋_GB2312" w:hAnsi="仿宋_GB2312" w:eastAsia="仿宋_GB2312" w:cs="仿宋_GB2312"/>
          <w:sz w:val="32"/>
          <w:szCs w:val="32"/>
          <w:lang w:val="en-US" w:eastAsia="zh-CN"/>
        </w:rPr>
        <w:t>16名窗口服务工作人员被评为“全市窗口服务之星”，</w:t>
      </w:r>
      <w:r>
        <w:rPr>
          <w:rFonts w:hint="eastAsia" w:ascii="仿宋_GB2312" w:hAnsi="仿宋_GB2312" w:eastAsia="仿宋_GB2312" w:cs="仿宋_GB2312"/>
          <w:sz w:val="32"/>
          <w:szCs w:val="32"/>
          <w:lang w:eastAsia="zh-CN"/>
        </w:rPr>
        <w:t>群众对行政许可事项服务的满意度提升；三是社会效益显著，简化企业开办、变更等审批流程，行政许可事项总体已实现“一次办结”，进一步拓宽全流程网办事项覆盖面，助力优化营商环境，提高企业便利度，减少群众办事成本，增强群众获得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楷体_GB2312" w:hAnsi="楷体_GB2312" w:eastAsia="楷体_GB2312" w:cs="楷体_GB2312"/>
          <w:sz w:val="32"/>
          <w:szCs w:val="32"/>
        </w:rPr>
        <w:t>（五）创新方式情况。</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b w:val="0"/>
          <w:bCs w:val="0"/>
          <w:color w:val="000000"/>
          <w:sz w:val="32"/>
          <w:szCs w:val="32"/>
          <w:highlight w:val="none"/>
          <w:lang w:eastAsia="zh-CN"/>
        </w:rPr>
        <w:t>深入推进“一窗通办”改革。</w:t>
      </w:r>
      <w:r>
        <w:rPr>
          <w:rFonts w:hint="eastAsia" w:ascii="仿宋_GB2312" w:hAnsi="仿宋_GB2312" w:eastAsia="仿宋_GB2312" w:cs="仿宋_GB2312"/>
          <w:b w:val="0"/>
          <w:bCs w:val="0"/>
          <w:color w:val="auto"/>
          <w:sz w:val="32"/>
          <w:szCs w:val="32"/>
          <w:highlight w:val="none"/>
          <w:lang w:val="en-US" w:eastAsia="zh-CN"/>
        </w:rPr>
        <w:t>在2023年的基础上，</w:t>
      </w:r>
      <w:r>
        <w:rPr>
          <w:rFonts w:hint="eastAsia" w:ascii="仿宋_GB2312" w:hAnsi="仿宋_GB2312" w:eastAsia="仿宋_GB2312" w:cs="仿宋_GB2312"/>
          <w:color w:val="auto"/>
          <w:sz w:val="32"/>
          <w:szCs w:val="32"/>
          <w:lang w:val="en-US" w:eastAsia="zh-CN"/>
        </w:rPr>
        <w:t>2024年在区南部政务服务中心公安大厅新增设置3个涉个人高频事项“一窗通办”窗口，承接了现全量“一窗通办”清单多警种业务，实现“一窗多能”“一警多能”</w:t>
      </w:r>
      <w:r>
        <w:rPr>
          <w:rFonts w:hint="eastAsia" w:ascii="仿宋_GB2312" w:hAnsi="仿宋_GB2312" w:eastAsia="仿宋_GB2312" w:cs="仿宋_GB2312"/>
          <w:sz w:val="32"/>
          <w:szCs w:val="32"/>
          <w:lang w:val="en-US" w:eastAsia="zh-CN"/>
        </w:rPr>
        <w:t>，为全面推行“综窗为主、专窗为辅”公安政务线下窗口服务新模式打造蓝本；</w:t>
      </w:r>
      <w:r>
        <w:rPr>
          <w:rFonts w:hint="eastAsia" w:ascii="仿宋_GB2312" w:hAnsi="仿宋_GB2312" w:eastAsia="仿宋_GB2312" w:cs="仿宋_GB2312"/>
          <w:b w:val="0"/>
          <w:bCs w:val="0"/>
          <w:color w:val="000000"/>
          <w:sz w:val="32"/>
          <w:szCs w:val="32"/>
          <w:highlight w:val="none"/>
          <w:lang w:eastAsia="zh-CN"/>
        </w:rPr>
        <w:t>二是</w:t>
      </w:r>
      <w:r>
        <w:rPr>
          <w:rFonts w:hint="eastAsia" w:ascii="仿宋_GB2312" w:hAnsi="仿宋_GB2312" w:eastAsia="仿宋_GB2312" w:cs="仿宋_GB2312"/>
          <w:b w:val="0"/>
          <w:bCs w:val="0"/>
          <w:color w:val="auto"/>
          <w:sz w:val="32"/>
          <w:szCs w:val="32"/>
          <w:lang w:val="en-US" w:eastAsia="zh-CN"/>
        </w:rPr>
        <w:t>优化完善市、区、街（镇）三级警务自助服务体系。</w:t>
      </w:r>
      <w:r>
        <w:rPr>
          <w:rFonts w:hint="eastAsia" w:ascii="仿宋_GB2312" w:hAnsi="仿宋_GB2312" w:eastAsia="仿宋_GB2312" w:cs="仿宋_GB2312"/>
          <w:b w:val="0"/>
          <w:bCs w:val="0"/>
          <w:color w:val="000000"/>
          <w:sz w:val="32"/>
          <w:szCs w:val="32"/>
          <w:highlight w:val="none"/>
          <w:lang w:eastAsia="zh-CN"/>
        </w:rPr>
        <w:t>在</w:t>
      </w:r>
      <w:r>
        <w:rPr>
          <w:rFonts w:hint="eastAsia" w:ascii="仿宋_GB2312" w:hAnsi="仿宋_GB2312" w:eastAsia="仿宋_GB2312" w:cs="仿宋_GB2312"/>
          <w:b w:val="0"/>
          <w:bCs w:val="0"/>
          <w:color w:val="000000"/>
          <w:sz w:val="32"/>
          <w:szCs w:val="32"/>
          <w:highlight w:val="none"/>
          <w:lang w:val="en-US" w:eastAsia="zh-CN"/>
        </w:rPr>
        <w:t>2023年试点基础上，2024年再</w:t>
      </w:r>
      <w:r>
        <w:rPr>
          <w:rFonts w:hint="eastAsia" w:ascii="仿宋_GB2312" w:hAnsi="仿宋_GB2312" w:eastAsia="仿宋_GB2312" w:cs="仿宋_GB2312"/>
          <w:b w:val="0"/>
          <w:bCs w:val="0"/>
          <w:color w:val="000000"/>
          <w:sz w:val="32"/>
          <w:szCs w:val="32"/>
          <w:highlight w:val="none"/>
          <w:lang w:eastAsia="zh-CN"/>
        </w:rPr>
        <w:t>选点石滩派出所、小楼派出所及朱村派出所科教城中心警务室设立区属警务自助服务派出所专区，提供户政、车驾管等2个以上警种业务事项</w:t>
      </w:r>
      <w:r>
        <w:rPr>
          <w:rFonts w:hint="eastAsia" w:ascii="仿宋_GB2312" w:hAnsi="仿宋_GB2312" w:eastAsia="仿宋_GB2312" w:cs="仿宋_GB2312"/>
          <w:b w:val="0"/>
          <w:bCs w:val="0"/>
          <w:color w:val="auto"/>
          <w:sz w:val="32"/>
          <w:szCs w:val="32"/>
          <w:highlight w:val="none"/>
          <w:lang w:val="en-US" w:eastAsia="zh-CN"/>
        </w:rPr>
        <w:t>。科学合理布设多警种自助服务终端（全警通、微警务等），结合</w:t>
      </w:r>
      <w:r>
        <w:rPr>
          <w:rFonts w:hint="eastAsia" w:ascii="仿宋_GB2312" w:hAnsi="仿宋_GB2312" w:eastAsia="仿宋_GB2312" w:cs="仿宋_GB2312"/>
          <w:b w:val="0"/>
          <w:bCs w:val="0"/>
          <w:color w:val="auto"/>
          <w:sz w:val="32"/>
          <w:szCs w:val="32"/>
          <w:lang w:val="en-US" w:eastAsia="zh-CN"/>
        </w:rPr>
        <w:t>辖区派出所合并调整情况，充分考虑人流密集区域的群众需求，优化部署自助警务终端，共放置自助警务终端共74台，其中在各派出所及社区警务室放置自助警务终端共36台，全面实现“自助办”“就近办”；</w:t>
      </w:r>
      <w:r>
        <w:rPr>
          <w:rFonts w:hint="eastAsia" w:ascii="仿宋_GB2312" w:hAnsi="仿宋_GB2312" w:eastAsia="仿宋_GB2312" w:cs="仿宋_GB2312"/>
          <w:b w:val="0"/>
          <w:bCs w:val="0"/>
          <w:color w:val="000000"/>
          <w:sz w:val="32"/>
          <w:szCs w:val="32"/>
          <w:highlight w:val="none"/>
          <w:lang w:eastAsia="zh-CN"/>
        </w:rPr>
        <w:t>三是</w:t>
      </w:r>
      <w:r>
        <w:rPr>
          <w:rFonts w:hint="eastAsia" w:ascii="仿宋_GB2312" w:hAnsi="仿宋_GB2312" w:eastAsia="仿宋_GB2312" w:cs="仿宋_GB2312"/>
          <w:sz w:val="32"/>
          <w:szCs w:val="32"/>
          <w:lang w:val="en-US" w:eastAsia="zh-CN"/>
        </w:rPr>
        <w:t>大力推行互联网+政务服务。积极推行“一网通办”“全程网办”，分局承接政务服务事项已100%可网办，</w:t>
      </w:r>
      <w:r>
        <w:rPr>
          <w:rFonts w:hint="eastAsia" w:ascii="仿宋_GB2312" w:hAnsi="仿宋_GB2312" w:eastAsia="仿宋_GB2312" w:cs="仿宋_GB2312"/>
          <w:sz w:val="32"/>
          <w:szCs w:val="32"/>
          <w:highlight w:val="none"/>
          <w:lang w:val="en-US" w:eastAsia="zh-CN"/>
        </w:rPr>
        <w:t>15项政务服务事项已实现全程网办，</w:t>
      </w:r>
      <w:r>
        <w:rPr>
          <w:rFonts w:hint="eastAsia" w:ascii="仿宋_GB2312" w:hAnsi="仿宋_GB2312" w:eastAsia="仿宋_GB2312" w:cs="仿宋_GB2312"/>
          <w:sz w:val="32"/>
          <w:szCs w:val="32"/>
          <w:lang w:val="en-US" w:eastAsia="zh-CN"/>
        </w:rPr>
        <w:t>真正实现让数据多跑路，企业、群众少跑腿，甚至“零跑动”；四是深入推进“高效办成一件事”。全力配合区政数局打造“一张网”，认真梳理“一件事一次办”服务事项，进驻广东省政务服务网增城专区，推出“一件事”主题套餐项。例如：联合住建、交通、司法、开发区企服局等部门推出“路口开设一件事”主题套餐，流程优化后，群众跑动次数从4次压减为1次，办理时间从24天压缩为15天；五是积极落实扩大企业服务窗口服务措施，在综合办证中心设立“粤港澳大湾区企业”专窗，为企业团队办理出入境证件提供绿色通道，主动对接辖内重点优质企业、高等院校、医疗机构等，前移服务窗口，上门受理办理出入境业务，提供优质高效便捷服务</w:t>
      </w:r>
      <w:r>
        <w:rPr>
          <w:rFonts w:hint="eastAsia" w:ascii="仿宋" w:hAnsi="仿宋" w:eastAsia="仿宋" w:cs="仿宋"/>
          <w:b w:val="0"/>
          <w:bCs w:val="0"/>
          <w:color w:val="000000"/>
          <w:sz w:val="32"/>
          <w:szCs w:val="32"/>
          <w:highlight w:val="none"/>
          <w:lang w:eastAsia="zh-CN"/>
        </w:rPr>
        <w:t>；六是健全“容缺受理”机制和“告知承诺制”，明确容缺范围，对非关键材料缺失的申请，允许先受理后补交，对符合条件的申请人实行承诺制审批，简化审批流程，减少群众跑动次数。</w:t>
      </w:r>
    </w:p>
    <w:p>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600" w:lineRule="exact"/>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（六）推行标准化情况。</w:t>
      </w:r>
      <w:r>
        <w:rPr>
          <w:rFonts w:hint="eastAsia" w:ascii="仿宋_GB2312" w:hAnsi="仿宋_GB2312" w:eastAsia="仿宋_GB2312" w:cs="仿宋_GB2312"/>
          <w:sz w:val="32"/>
          <w:szCs w:val="32"/>
        </w:rPr>
        <w:t>分局所有政务服务事项现已实现标准化</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严格执行上级行政权力事项通用目录和政务服务事项实施清单管理的工作要求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在广东政务服务网上的同一事项名称、编码、依据、类型等基础要素实现省、市、区、街（镇）四级统一，事项受理条件、申请材料、办理流程等重点要素相对统一，其他要素要符合规范</w:t>
      </w:r>
      <w:r>
        <w:rPr>
          <w:rFonts w:hint="eastAsia" w:ascii="仿宋_GB2312" w:hAnsi="仿宋_GB2312" w:eastAsia="仿宋_GB2312" w:cs="仿宋_GB2312"/>
          <w:sz w:val="32"/>
          <w:szCs w:val="32"/>
          <w:lang w:eastAsia="zh-CN"/>
        </w:rPr>
        <w:t>；对进驻</w:t>
      </w:r>
      <w:r>
        <w:rPr>
          <w:rFonts w:hint="eastAsia" w:ascii="仿宋_GB2312" w:hAnsi="仿宋_GB2312" w:eastAsia="仿宋_GB2312" w:cs="仿宋_GB2312"/>
          <w:sz w:val="32"/>
          <w:szCs w:val="32"/>
        </w:rPr>
        <w:t>“广东省政务服务网”</w:t>
      </w:r>
      <w:r>
        <w:rPr>
          <w:rFonts w:hint="eastAsia" w:ascii="仿宋_GB2312" w:hAnsi="仿宋_GB2312" w:eastAsia="仿宋_GB2312" w:cs="仿宋_GB2312"/>
          <w:sz w:val="32"/>
          <w:szCs w:val="32"/>
          <w:lang w:eastAsia="zh-CN"/>
        </w:rPr>
        <w:t>的公安</w:t>
      </w:r>
      <w:r>
        <w:rPr>
          <w:rFonts w:hint="eastAsia" w:ascii="仿宋_GB2312" w:hAnsi="仿宋_GB2312" w:eastAsia="仿宋_GB2312" w:cs="仿宋_GB2312"/>
          <w:sz w:val="32"/>
          <w:szCs w:val="32"/>
        </w:rPr>
        <w:t>政务服务事项纳入统一管理，对新增、变更、下放、取消和公开的事项实行动态调整，</w:t>
      </w:r>
      <w:r>
        <w:rPr>
          <w:rFonts w:hint="eastAsia" w:ascii="Times New Roman" w:hAnsi="Times New Roman" w:eastAsia="仿宋_GB2312" w:cs="Times New Roman"/>
          <w:color w:val="auto"/>
          <w:kern w:val="2"/>
          <w:sz w:val="32"/>
          <w:szCs w:val="32"/>
          <w:lang w:val="en-US" w:eastAsia="zh-CN" w:bidi="ar-SA"/>
        </w:rPr>
        <w:t>全年二次统筹、更新完善事项审批细则及工作指引1356条，</w:t>
      </w:r>
      <w:r>
        <w:rPr>
          <w:rFonts w:hint="eastAsia" w:ascii="仿宋_GB2312" w:hAnsi="仿宋_GB2312" w:eastAsia="仿宋_GB2312" w:cs="仿宋_GB2312"/>
          <w:sz w:val="32"/>
          <w:szCs w:val="32"/>
        </w:rPr>
        <w:t>消除审批服务中的模糊条款，逐一明确“其他材料”“有关材料”等兜底性质表述</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分局印发《广州市公安局增城区分局“一窗通办”工作规范》，明确责任分工、窗口建设、人员管理、组织培训、窗口操作规范、外观标识、危机应对、自助服务体系管理等方面工作，着力构建“一窗通办”标准化规范化便利化服务体系，进一步提升公安政务服务“一窗通办”整体管理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二、存在问题和困难</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虽然分局行政审批许可实施和监督管理工作有了进一步提升，但也存在一定的不足，主要体现在：</w:t>
      </w:r>
    </w:p>
    <w:p>
      <w:pPr>
        <w:pStyle w:val="34"/>
        <w:keepNext w:val="0"/>
        <w:keepLines w:val="0"/>
        <w:pageBreakBefore w:val="0"/>
        <w:kinsoku/>
        <w:overflowPunct/>
        <w:topLinePunct w:val="0"/>
        <w:autoSpaceDE/>
        <w:autoSpaceDN/>
        <w:bidi w:val="0"/>
        <w:spacing w:after="0" w:line="600" w:lineRule="exact"/>
        <w:textAlignment w:val="auto"/>
        <w:rPr>
          <w:rFonts w:hint="eastAsia" w:ascii="黑体" w:hAnsi="黑体" w:eastAsia="黑体" w:cs="黑体"/>
          <w:sz w:val="32"/>
          <w:szCs w:val="32"/>
        </w:rPr>
      </w:pPr>
      <w:r>
        <w:rPr>
          <w:rFonts w:hint="eastAsia"/>
          <w:sz w:val="32"/>
          <w:szCs w:val="32"/>
          <w:lang w:eastAsia="zh-CN"/>
        </w:rPr>
        <w:t>一是窗口服务人员能力素质有待进一步提升，与群众沟通解释能力有待进一步加强；二是自助服务终端管理有待进一步加强。</w:t>
      </w:r>
      <w:r>
        <w:rPr>
          <w:rFonts w:hint="eastAsia" w:cs="仿宋_GB2312"/>
          <w:sz w:val="32"/>
          <w:szCs w:val="32"/>
          <w:lang w:val="en-US" w:eastAsia="zh-CN"/>
        </w:rPr>
        <w:t>受限于当前经济形势，自助警务终端更新难度大，旧设备故障率高，巡查力度及维护及时性有待提高。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三、下一步工作措施及有关建议</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32"/>
          <w:lang w:val="en-US" w:eastAsia="zh-CN" w:bidi="ar-SA"/>
        </w:rPr>
        <w:t>一是强化主体能力提升。</w:t>
      </w:r>
      <w:r>
        <w:rPr>
          <w:rFonts w:hint="eastAsia" w:ascii="仿宋_GB2312" w:hAnsi="仿宋_GB2312" w:eastAsia="仿宋_GB2312" w:cs="仿宋_GB2312"/>
          <w:kern w:val="2"/>
          <w:sz w:val="32"/>
          <w:szCs w:val="32"/>
          <w:lang w:val="en-US" w:eastAsia="zh-CN" w:bidi="ar-SA"/>
        </w:rPr>
        <w:t>压实</w:t>
      </w:r>
      <w:r>
        <w:rPr>
          <w:rFonts w:hint="eastAsia" w:ascii="仿宋_GB2312" w:hAnsi="仿宋_GB2312" w:cs="仿宋_GB2312"/>
          <w:kern w:val="2"/>
          <w:sz w:val="32"/>
          <w:szCs w:val="32"/>
          <w:lang w:val="en-US" w:eastAsia="zh-CN" w:bidi="ar-SA"/>
        </w:rPr>
        <w:t>局内</w:t>
      </w:r>
      <w:r>
        <w:rPr>
          <w:rFonts w:hint="eastAsia" w:ascii="仿宋_GB2312" w:hAnsi="仿宋_GB2312" w:eastAsia="仿宋_GB2312" w:cs="仿宋_GB2312"/>
          <w:kern w:val="2"/>
          <w:sz w:val="32"/>
          <w:szCs w:val="32"/>
          <w:lang w:val="en-US" w:eastAsia="zh-CN" w:bidi="ar-SA"/>
        </w:rPr>
        <w:t>业务警种的牵头责任，强化警种的日常指导和向下监督，结合自身政务服务职能，定期开展对所队经办人及审核领导的业务培训，提升岗位主体履职能力。</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val="en-US" w:eastAsia="zh-CN"/>
        </w:rPr>
        <w:t>二是强化自助服务终端管理。</w:t>
      </w:r>
      <w:r>
        <w:rPr>
          <w:rFonts w:hint="eastAsia" w:ascii="仿宋_GB2312" w:hAnsi="仿宋_GB2312" w:eastAsia="仿宋_GB2312" w:cs="仿宋_GB2312"/>
          <w:sz w:val="32"/>
          <w:szCs w:val="32"/>
          <w:lang w:eastAsia="zh-CN"/>
        </w:rPr>
        <w:t>不断优自助服务终端的部署，结合经济状况适时更新自助服务终端，提升群众自助办体验及获得感。强化“网办”“自助办”指引、宣传及推广，让群众足不出户完成公安政务服务事项办理，减轻窗口工作压力，积极推动“网办”“自助办”为主，窗口办兜底的公安政务服务新态势落地。</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32" w:firstLineChars="200"/>
        <w:textAlignment w:val="auto"/>
        <w:rPr>
          <w:rFonts w:hint="eastAsia"/>
          <w:sz w:val="32"/>
          <w:szCs w:val="32"/>
          <w:lang w:val="en-US" w:eastAsia="zh-CN"/>
        </w:rPr>
      </w:pPr>
      <w:r>
        <w:rPr>
          <w:rFonts w:hint="eastAsia" w:ascii="楷体" w:hAnsi="楷体" w:eastAsia="楷体" w:cs="楷体"/>
          <w:sz w:val="32"/>
          <w:szCs w:val="32"/>
          <w:lang w:val="en-US" w:eastAsia="zh-CN"/>
        </w:rPr>
        <w:t>三是强化监督问效。</w:t>
      </w:r>
      <w:r>
        <w:rPr>
          <w:rFonts w:hint="eastAsia" w:ascii="仿宋_GB2312" w:hAnsi="仿宋_GB2312" w:eastAsia="仿宋_GB2312" w:cs="仿宋_GB2312"/>
          <w:sz w:val="32"/>
          <w:szCs w:val="32"/>
          <w:lang w:val="en-US" w:eastAsia="zh-CN"/>
        </w:rPr>
        <w:t>持续推进内外双监督模式，多渠道收集公安政务服务问题和群众需求，</w:t>
      </w:r>
      <w:r>
        <w:rPr>
          <w:rFonts w:hint="eastAsia" w:ascii="仿宋_GB2312" w:hAnsi="仿宋_GB2312" w:eastAsia="仿宋_GB2312" w:cs="仿宋_GB2312"/>
          <w:color w:val="auto"/>
          <w:kern w:val="2"/>
          <w:sz w:val="32"/>
          <w:szCs w:val="32"/>
          <w:lang w:val="en-US" w:eastAsia="zh-CN" w:bidi="ar-SA"/>
        </w:rPr>
        <w:t>及时分析研判，倒逼各具有政务服务职能单位严格落实主体责任。</w:t>
      </w:r>
    </w:p>
    <w:p>
      <w:pPr>
        <w:keepNext w:val="0"/>
        <w:keepLines w:val="0"/>
        <w:pageBreakBefore w:val="0"/>
        <w:widowControl w:val="0"/>
        <w:numPr>
          <w:ilvl w:val="0"/>
          <w:numId w:val="0"/>
        </w:numPr>
        <w:pBdr>
          <w:top w:val="single" w:color="FFFFFF" w:sz="2" w:space="0"/>
          <w:left w:val="single" w:color="FFFFFF" w:sz="2" w:space="0"/>
          <w:bottom w:val="single" w:color="FFFFFF" w:sz="2" w:space="8"/>
          <w:right w:val="single" w:color="FFFFFF" w:sz="2" w:space="20"/>
        </w:pBdr>
        <w:kinsoku/>
        <w:wordWrap/>
        <w:overflowPunct/>
        <w:topLinePunct w:val="0"/>
        <w:autoSpaceDE/>
        <w:autoSpaceDN/>
        <w:bidi w:val="0"/>
        <w:adjustRightInd w:val="0"/>
        <w:snapToGrid w:val="0"/>
        <w:spacing w:line="600" w:lineRule="exact"/>
        <w:ind w:left="0" w:leftChars="0" w:firstLine="632"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四是强化宣传</w:t>
      </w:r>
      <w:r>
        <w:rPr>
          <w:rFonts w:hint="eastAsia" w:ascii="楷体" w:hAnsi="楷体" w:eastAsia="楷体" w:cs="楷体"/>
          <w:b w:val="0"/>
          <w:bCs/>
          <w:sz w:val="32"/>
          <w:szCs w:val="32"/>
          <w:lang w:eastAsia="zh-CN"/>
        </w:rPr>
        <w:t>。</w:t>
      </w:r>
      <w:r>
        <w:rPr>
          <w:rFonts w:hint="eastAsia" w:ascii="仿宋_GB2312" w:hAnsi="仿宋_GB2312" w:eastAsia="仿宋_GB2312" w:cs="仿宋_GB2312"/>
          <w:sz w:val="32"/>
          <w:szCs w:val="32"/>
        </w:rPr>
        <w:t>在日常</w:t>
      </w:r>
      <w:r>
        <w:rPr>
          <w:rFonts w:hint="eastAsia" w:ascii="仿宋_GB2312" w:hAnsi="仿宋_GB2312" w:eastAsia="仿宋_GB2312" w:cs="仿宋_GB2312"/>
          <w:sz w:val="32"/>
          <w:szCs w:val="32"/>
          <w:lang w:eastAsia="zh-CN"/>
        </w:rPr>
        <w:t>工作中，</w:t>
      </w:r>
      <w:r>
        <w:rPr>
          <w:rFonts w:hint="eastAsia" w:ascii="仿宋_GB2312" w:hAnsi="仿宋_GB2312" w:eastAsia="仿宋_GB2312" w:cs="仿宋_GB2312"/>
          <w:sz w:val="32"/>
          <w:szCs w:val="32"/>
        </w:rPr>
        <w:t>通过“增城公安”微博、微信公众号、</w:t>
      </w:r>
      <w:r>
        <w:rPr>
          <w:rFonts w:hint="eastAsia" w:ascii="仿宋_GB2312" w:hAnsi="仿宋_GB2312" w:eastAsia="仿宋_GB2312" w:cs="仿宋_GB2312"/>
          <w:sz w:val="32"/>
          <w:szCs w:val="32"/>
          <w:lang w:eastAsia="zh-CN"/>
        </w:rPr>
        <w:t>增城融媒体</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媒体</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大力开展</w:t>
      </w:r>
      <w:r>
        <w:rPr>
          <w:rFonts w:hint="eastAsia" w:ascii="仿宋_GB2312" w:hAnsi="仿宋_GB2312" w:eastAsia="仿宋_GB2312" w:cs="仿宋_GB2312"/>
          <w:sz w:val="32"/>
          <w:szCs w:val="32"/>
          <w:lang w:eastAsia="zh-CN"/>
        </w:rPr>
        <w:t>公安政务服务</w:t>
      </w:r>
      <w:r>
        <w:rPr>
          <w:rFonts w:hint="eastAsia" w:ascii="仿宋_GB2312" w:hAnsi="仿宋_GB2312" w:eastAsia="仿宋_GB2312" w:cs="仿宋_GB2312"/>
          <w:sz w:val="32"/>
          <w:szCs w:val="32"/>
        </w:rPr>
        <w:t>宣传工作</w:t>
      </w:r>
      <w:r>
        <w:rPr>
          <w:rFonts w:hint="eastAsia" w:ascii="仿宋_GB2312" w:hAnsi="仿宋_GB2312" w:eastAsia="仿宋_GB2312" w:cs="仿宋_GB2312"/>
          <w:sz w:val="32"/>
          <w:szCs w:val="32"/>
          <w:lang w:eastAsia="zh-CN"/>
        </w:rPr>
        <w:t>，提升群众知晓度</w:t>
      </w:r>
      <w:r>
        <w:rPr>
          <w:rFonts w:hint="eastAsia" w:ascii="仿宋_GB2312" w:hAnsi="仿宋_GB2312" w:eastAsia="仿宋_GB2312" w:cs="仿宋_GB2312"/>
          <w:sz w:val="32"/>
          <w:szCs w:val="32"/>
        </w:rPr>
        <w:t>，努力提升企业、群众在公安改革创新中的获得感。</w:t>
      </w:r>
    </w:p>
    <w:p>
      <w:pPr>
        <w:keepNext w:val="0"/>
        <w:keepLines w:val="0"/>
        <w:pageBreakBefore w:val="0"/>
        <w:widowControl w:val="0"/>
        <w:kinsoku/>
        <w:wordWrap/>
        <w:overflowPunct/>
        <w:topLinePunct w:val="0"/>
        <w:autoSpaceDE/>
        <w:autoSpaceDN/>
        <w:bidi w:val="0"/>
        <w:adjustRightInd/>
        <w:spacing w:line="600" w:lineRule="exact"/>
        <w:ind w:firstLine="632" w:firstLineChars="200"/>
        <w:textAlignment w:val="auto"/>
        <w:rPr>
          <w:rFonts w:hint="default" w:ascii="仿宋_GB2312" w:hAnsi="仿宋_GB2312" w:eastAsia="仿宋_GB2312" w:cs="仿宋_GB2312"/>
          <w:sz w:val="32"/>
          <w:szCs w:val="32"/>
          <w:lang w:val="en-US" w:eastAsia="zh-CN"/>
        </w:rPr>
      </w:pPr>
    </w:p>
    <w:p>
      <w:pPr>
        <w:pStyle w:val="5"/>
        <w:keepNext w:val="0"/>
        <w:keepLines w:val="0"/>
        <w:pageBreakBefore w:val="0"/>
        <w:numPr>
          <w:ilvl w:val="0"/>
          <w:numId w:val="0"/>
        </w:numPr>
        <w:kinsoku/>
        <w:overflowPunct/>
        <w:topLinePunct w:val="0"/>
        <w:autoSpaceDE/>
        <w:autoSpaceDN/>
        <w:bidi w:val="0"/>
        <w:spacing w:line="600" w:lineRule="exact"/>
        <w:textAlignment w:val="auto"/>
        <w:rPr>
          <w:rFonts w:hint="eastAsia"/>
          <w:sz w:val="32"/>
          <w:szCs w:val="32"/>
        </w:rPr>
      </w:pPr>
    </w:p>
    <w:p>
      <w:pPr>
        <w:pStyle w:val="5"/>
        <w:keepNext w:val="0"/>
        <w:keepLines w:val="0"/>
        <w:pageBreakBefore w:val="0"/>
        <w:numPr>
          <w:ilvl w:val="0"/>
          <w:numId w:val="0"/>
        </w:numPr>
        <w:kinsoku/>
        <w:overflowPunct/>
        <w:topLinePunct w:val="0"/>
        <w:autoSpaceDE/>
        <w:autoSpaceDN/>
        <w:bidi w:val="0"/>
        <w:spacing w:line="600" w:lineRule="exact"/>
        <w:textAlignment w:val="auto"/>
        <w:rPr>
          <w:rFonts w:hint="eastAsia"/>
          <w:sz w:val="32"/>
          <w:szCs w:val="32"/>
        </w:rPr>
      </w:pPr>
    </w:p>
    <w:p>
      <w:pPr>
        <w:pStyle w:val="5"/>
        <w:keepNext w:val="0"/>
        <w:keepLines w:val="0"/>
        <w:pageBreakBefore w:val="0"/>
        <w:numPr>
          <w:ilvl w:val="0"/>
          <w:numId w:val="0"/>
        </w:numPr>
        <w:kinsoku/>
        <w:overflowPunct/>
        <w:topLinePunct w:val="0"/>
        <w:autoSpaceDE/>
        <w:autoSpaceDN/>
        <w:bidi w:val="0"/>
        <w:spacing w:line="600" w:lineRule="exact"/>
        <w:textAlignment w:val="auto"/>
        <w:rPr>
          <w:rFonts w:hint="eastAsia"/>
          <w:sz w:val="32"/>
          <w:szCs w:val="32"/>
        </w:rPr>
      </w:pPr>
    </w:p>
    <w:p>
      <w:pPr>
        <w:pStyle w:val="5"/>
        <w:keepNext w:val="0"/>
        <w:keepLines w:val="0"/>
        <w:pageBreakBefore w:val="0"/>
        <w:numPr>
          <w:ilvl w:val="0"/>
          <w:numId w:val="0"/>
        </w:numPr>
        <w:kinsoku/>
        <w:overflowPunct/>
        <w:topLinePunct w:val="0"/>
        <w:autoSpaceDE/>
        <w:autoSpaceDN/>
        <w:bidi w:val="0"/>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广州市公安局增城区分局</w:t>
      </w:r>
    </w:p>
    <w:p>
      <w:pPr>
        <w:pStyle w:val="5"/>
        <w:keepNext w:val="0"/>
        <w:keepLines w:val="0"/>
        <w:pageBreakBefore w:val="0"/>
        <w:numPr>
          <w:ilvl w:val="0"/>
          <w:numId w:val="0"/>
        </w:numPr>
        <w:kinsoku/>
        <w:wordWrap w:val="0"/>
        <w:overflowPunct/>
        <w:topLinePunct w:val="0"/>
        <w:autoSpaceDE/>
        <w:autoSpaceDN/>
        <w:bidi w:val="0"/>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2025年2月14</w:t>
      </w:r>
      <w:bookmarkStart w:id="0" w:name="_GoBack"/>
      <w:bookmarkEnd w:id="0"/>
      <w:r>
        <w:rPr>
          <w:rFonts w:hint="eastAsia" w:ascii="仿宋_GB2312" w:hAnsi="仿宋_GB2312" w:eastAsia="仿宋_GB2312" w:cs="仿宋_GB2312"/>
          <w:sz w:val="32"/>
          <w:szCs w:val="32"/>
          <w:lang w:val="en-US" w:eastAsia="zh-CN"/>
        </w:rPr>
        <w:t xml:space="preserve">日   </w:t>
      </w:r>
    </w:p>
    <w:p>
      <w:pPr>
        <w:pStyle w:val="15"/>
        <w:keepNext w:val="0"/>
        <w:keepLines w:val="0"/>
        <w:pageBreakBefore w:val="0"/>
        <w:widowControl w:val="0"/>
        <w:kinsoku/>
        <w:wordWrap/>
        <w:overflowPunct/>
        <w:topLinePunct w:val="0"/>
        <w:autoSpaceDE/>
        <w:autoSpaceDN/>
        <w:bidi w:val="0"/>
        <w:spacing w:line="570" w:lineRule="exact"/>
        <w:ind w:left="0" w:leftChars="0" w:firstLine="0" w:firstLineChars="0"/>
        <w:jc w:val="both"/>
        <w:textAlignment w:val="auto"/>
        <w:rPr>
          <w:rFonts w:hint="default"/>
        </w:rPr>
      </w:pPr>
    </w:p>
    <w:sectPr>
      <w:headerReference r:id="rId3" w:type="default"/>
      <w:footerReference r:id="rId5" w:type="default"/>
      <w:headerReference r:id="rId4" w:type="even"/>
      <w:footerReference r:id="rId6" w:type="even"/>
      <w:pgSz w:w="11905" w:h="16838"/>
      <w:pgMar w:top="2098" w:right="1474" w:bottom="1984" w:left="1587" w:header="850" w:footer="175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4815840</wp:posOffset>
              </wp:positionH>
              <wp:positionV relativeFrom="paragraph">
                <wp:posOffset>12065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2pt;margin-top:0.95pt;height:144pt;width:144pt;mso-position-horizontal-relative:margin;mso-wrap-style:none;z-index:251659264;mso-width-relative:page;mso-height-relative:page;" filled="f" stroked="f" coordsize="21600,21600" o:gfxdata="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gTMkt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266700</wp:posOffset>
              </wp:positionH>
              <wp:positionV relativeFrom="paragraph">
                <wp:posOffset>11430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pt;margin-top:0.9pt;height:144pt;width:144pt;mso-position-horizontal-relative:margin;mso-wrap-style:none;z-index:251660288;mso-width-relative:page;mso-height-relative:page;" filled="f" stroked="f" coordsize="21600,21600" o:gfxdata="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dJJCX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rFonts w:ascii="Times New Roman" w:hAnsi="Times New Roman" w:eastAsia="宋体" w:cs="Times New Roman"/>
        <w:sz w:val="18"/>
        <w:szCs w:val="24"/>
      </w:rPr>
    </w:pPr>
    <w:r>
      <w:rPr>
        <w:sz w:val="18"/>
      </w:rPr>
      <w:pict>
        <v:shape id="PowerPlusWaterMarkObject4884857" o:spid="_x0000_s4097" o:spt="136" type="#_x0000_t136" style="position:absolute;left:0pt;margin-left:479.35pt;margin-top:324.8pt;height:35pt;width:154pt;mso-position-horizontal-relative:margin;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4142490" o:spid="_x0000_s4098" o:spt="136" type="#_x0000_t136" style="position:absolute;left:0pt;margin-left:285.6pt;margin-top:518.55pt;height:35pt;width:154pt;mso-position-horizontal-relative:margin;mso-position-vertical-relative:margin;rotation:-2949120f;z-index:-251648000;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3664958" o:spid="_x0000_s4099" o:spt="136" type="#_x0000_t136" style="position:absolute;left:0pt;margin-left:91.85pt;margin-top:712.3pt;height:35pt;width:154pt;mso-position-horizontal-relative:margin;mso-position-vertical-relative:margin;rotation:-2949120f;z-index:-251649024;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2941583" o:spid="_x0000_s4100" o:spt="136" type="#_x0000_t136" style="position:absolute;left:0pt;margin-left:479.35pt;margin-top:-34.45pt;height:35pt;width:154pt;mso-position-horizontal-relative:margin;mso-position-vertical-relative:margin;rotation:-2949120f;z-index:-251650048;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2160255" o:spid="_x0000_s4101" o:spt="136" type="#_x0000_t136" style="position:absolute;left:0pt;margin-left:285.6pt;margin-top:159.3pt;height:35pt;width:154pt;mso-position-horizontal-relative:margin;mso-position-vertical-relative:margin;rotation:-2949120f;z-index:-251651072;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1862412" o:spid="_x0000_s4102" o:spt="136" type="#_x0000_t136" style="position:absolute;left:0pt;margin-left:91.85pt;margin-top:353.05pt;height:35pt;width:154pt;mso-position-horizontal-relative:margin;mso-position-vertical-relative:margin;rotation:-2949120f;z-index:-251652096;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1117906" o:spid="_x0000_s4103" o:spt="136" type="#_x0000_t136" style="position:absolute;left:0pt;margin-left:-101.9pt;margin-top:546.8pt;height:35pt;width:154pt;mso-position-horizontal-relative:margin;mso-position-vertical-relative:margin;rotation:-2949120f;z-index:-251653120;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246426" o:spid="_x0000_s4104" o:spt="136" type="#_x0000_t136" style="position:absolute;left:0pt;margin-left:91.85pt;margin-top:-6.25pt;height:35pt;width:154pt;mso-position-horizontal-relative:margin;mso-position-vertical-relative:margin;rotation:-2949120f;z-index:-251654144;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101533" o:spid="_x0000_s4105" o:spt="136" type="#_x0000_t136" style="position:absolute;left:0pt;margin-left:-101.9pt;margin-top:187.5pt;height:35pt;width:154pt;mso-position-horizontal-relative:margin;mso-position-vertical-relative:margin;rotation:-2949120f;z-index:-251655168;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8966786" o:spid="_x0000_s4106" o:spt="136" type="#_x0000_t136" style="position:absolute;left:0pt;margin-left:479.35pt;margin-top:324.8pt;height:35pt;width:154pt;mso-position-horizontal-relative:margin;mso-position-vertical-relative:margin;rotation:-2949120f;z-index:-251637760;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8164766" o:spid="_x0000_s4107" o:spt="136" type="#_x0000_t136" style="position:absolute;left:0pt;margin-left:285.6pt;margin-top:518.55pt;height:35pt;width:154pt;mso-position-horizontal-relative:margin;mso-position-vertical-relative:margin;rotation:-2949120f;z-index:-251638784;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7914819" o:spid="_x0000_s4108" o:spt="136" type="#_x0000_t136" style="position:absolute;left:0pt;margin-left:91.85pt;margin-top:712.3pt;height:35pt;width:154pt;mso-position-horizontal-relative:margin;mso-position-vertical-relative:margin;rotation:-2949120f;z-index:-251639808;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7463571" o:spid="_x0000_s4109" o:spt="136" type="#_x0000_t136" style="position:absolute;left:0pt;margin-left:479.35pt;margin-top:-34.45pt;height:35pt;width:154pt;mso-position-horizontal-relative:margin;mso-position-vertical-relative:margin;rotation:-2949120f;z-index:-251640832;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6684285" o:spid="_x0000_s4110" o:spt="136" type="#_x0000_t136" style="position:absolute;left:0pt;margin-left:285.6pt;margin-top:159.3pt;height:35pt;width:154pt;mso-position-horizontal-relative:margin;mso-position-vertical-relative:margin;rotation:-2949120f;z-index:-251641856;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5942284" o:spid="_x0000_s4111" o:spt="136" type="#_x0000_t136" style="position:absolute;left:0pt;margin-left:91.85pt;margin-top:353.05pt;height:35pt;width:154pt;mso-position-horizontal-relative:margin;mso-position-vertical-relative:margin;rotation:-2949120f;z-index:-251642880;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5917152" o:spid="_x0000_s4112" o:spt="136" type="#_x0000_t136" style="position:absolute;left:0pt;margin-left:-101.9pt;margin-top:546.8pt;height:35pt;width:154pt;mso-position-horizontal-relative:margin;mso-position-vertical-relative:margin;rotation:-2949120f;z-index:-251643904;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5810527" o:spid="_x0000_s4113" o:spt="136" type="#_x0000_t136" style="position:absolute;left:0pt;margin-left:91.85pt;margin-top:-6.25pt;height:35pt;width:154pt;mso-position-horizontal-relative:margin;mso-position-vertical-relative:margin;rotation:-2949120f;z-index:-251644928;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r>
      <w:rPr>
        <w:sz w:val="18"/>
      </w:rPr>
      <w:pict>
        <v:shape id="PowerPlusWaterMarkObject5142957" o:spid="_x0000_s4114" o:spt="136" type="#_x0000_t136" style="position:absolute;left:0pt;margin-left:-101.9pt;margin-top:187.5pt;height:35pt;width:154pt;mso-position-horizontal-relative:margin;mso-position-vertical-relative:margin;rotation:-2949120f;z-index:-251645952;mso-width-relative:page;mso-height-relative:page;" fillcolor="#C0C0C0" filled="t" stroked="f" coordsize="21600,21600" adj="10800">
          <v:path/>
          <v:fill on="t" opacity="19660f" focussize="0,0"/>
          <v:stroke on="f"/>
          <v:imagedata o:title=""/>
          <o:lock v:ext="edit" aspectratio="t"/>
          <v:textpath on="t" fitshape="t" fitpath="t" trim="t" xscale="f" string="区公安分局" style="font-family:FangSong;font-size:3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DEE66"/>
    <w:multiLevelType w:val="singleLevel"/>
    <w:tmpl w:val="CD1DEE66"/>
    <w:lvl w:ilvl="0" w:tentative="0">
      <w:start w:val="1"/>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3D"/>
    <w:rsid w:val="0000131C"/>
    <w:rsid w:val="00010083"/>
    <w:rsid w:val="00014088"/>
    <w:rsid w:val="001F63D8"/>
    <w:rsid w:val="002A1B0F"/>
    <w:rsid w:val="002D0ED7"/>
    <w:rsid w:val="002E5937"/>
    <w:rsid w:val="002F30A1"/>
    <w:rsid w:val="00362285"/>
    <w:rsid w:val="003C12E0"/>
    <w:rsid w:val="003F28C2"/>
    <w:rsid w:val="00460D15"/>
    <w:rsid w:val="005153A5"/>
    <w:rsid w:val="00565325"/>
    <w:rsid w:val="005E2123"/>
    <w:rsid w:val="00602389"/>
    <w:rsid w:val="0062600D"/>
    <w:rsid w:val="006328B9"/>
    <w:rsid w:val="006D1BD5"/>
    <w:rsid w:val="00711BBE"/>
    <w:rsid w:val="008924C9"/>
    <w:rsid w:val="008F668C"/>
    <w:rsid w:val="00936668"/>
    <w:rsid w:val="00991193"/>
    <w:rsid w:val="009C2A66"/>
    <w:rsid w:val="009D4FC1"/>
    <w:rsid w:val="009E5C4C"/>
    <w:rsid w:val="009F03E4"/>
    <w:rsid w:val="00A260E6"/>
    <w:rsid w:val="00AB5028"/>
    <w:rsid w:val="00B441C9"/>
    <w:rsid w:val="00B71D9E"/>
    <w:rsid w:val="00C1326D"/>
    <w:rsid w:val="00D33FE9"/>
    <w:rsid w:val="00E449CE"/>
    <w:rsid w:val="00EB093D"/>
    <w:rsid w:val="00F01779"/>
    <w:rsid w:val="00FB0B59"/>
    <w:rsid w:val="016A6E11"/>
    <w:rsid w:val="02071A61"/>
    <w:rsid w:val="026051D2"/>
    <w:rsid w:val="028B7ABC"/>
    <w:rsid w:val="02B54B3A"/>
    <w:rsid w:val="03082909"/>
    <w:rsid w:val="032D0AFE"/>
    <w:rsid w:val="03506A13"/>
    <w:rsid w:val="040B0CD8"/>
    <w:rsid w:val="04A97B67"/>
    <w:rsid w:val="058A0DFF"/>
    <w:rsid w:val="05DB04A3"/>
    <w:rsid w:val="06655490"/>
    <w:rsid w:val="073A6E8C"/>
    <w:rsid w:val="07983134"/>
    <w:rsid w:val="08816059"/>
    <w:rsid w:val="0A454A8A"/>
    <w:rsid w:val="0AD95900"/>
    <w:rsid w:val="0AED5870"/>
    <w:rsid w:val="0B2E2F79"/>
    <w:rsid w:val="0B9F3E20"/>
    <w:rsid w:val="0BAC346B"/>
    <w:rsid w:val="0BD32DC1"/>
    <w:rsid w:val="0C000856"/>
    <w:rsid w:val="0C0A68A0"/>
    <w:rsid w:val="0D7239DC"/>
    <w:rsid w:val="0D861E44"/>
    <w:rsid w:val="0E814859"/>
    <w:rsid w:val="0FF76FCC"/>
    <w:rsid w:val="11093709"/>
    <w:rsid w:val="118414F1"/>
    <w:rsid w:val="12A94CAA"/>
    <w:rsid w:val="12FF6380"/>
    <w:rsid w:val="13150A7E"/>
    <w:rsid w:val="13274F59"/>
    <w:rsid w:val="13291C9A"/>
    <w:rsid w:val="134E76E1"/>
    <w:rsid w:val="138A779A"/>
    <w:rsid w:val="148C5038"/>
    <w:rsid w:val="14D956FB"/>
    <w:rsid w:val="15122C65"/>
    <w:rsid w:val="15DA5088"/>
    <w:rsid w:val="161D4F06"/>
    <w:rsid w:val="16A8714D"/>
    <w:rsid w:val="16C1154B"/>
    <w:rsid w:val="16D33A12"/>
    <w:rsid w:val="17147873"/>
    <w:rsid w:val="17F127F4"/>
    <w:rsid w:val="184D202B"/>
    <w:rsid w:val="187977A8"/>
    <w:rsid w:val="18CE05CE"/>
    <w:rsid w:val="19820927"/>
    <w:rsid w:val="1A2D5D24"/>
    <w:rsid w:val="1A601328"/>
    <w:rsid w:val="1A902617"/>
    <w:rsid w:val="1C425590"/>
    <w:rsid w:val="1C7162B9"/>
    <w:rsid w:val="1E3E1D2D"/>
    <w:rsid w:val="1F215B7D"/>
    <w:rsid w:val="1F56428E"/>
    <w:rsid w:val="1FDA5152"/>
    <w:rsid w:val="1FEA77EA"/>
    <w:rsid w:val="20AA6291"/>
    <w:rsid w:val="222B1AB3"/>
    <w:rsid w:val="23011C6B"/>
    <w:rsid w:val="232578E5"/>
    <w:rsid w:val="24803883"/>
    <w:rsid w:val="25100B3D"/>
    <w:rsid w:val="258941B2"/>
    <w:rsid w:val="26080063"/>
    <w:rsid w:val="272447C1"/>
    <w:rsid w:val="275D4DFE"/>
    <w:rsid w:val="278651ED"/>
    <w:rsid w:val="27E25380"/>
    <w:rsid w:val="282915F5"/>
    <w:rsid w:val="28F9234D"/>
    <w:rsid w:val="29224891"/>
    <w:rsid w:val="29621FF4"/>
    <w:rsid w:val="29E654E5"/>
    <w:rsid w:val="2A4B6F7A"/>
    <w:rsid w:val="2A7D334C"/>
    <w:rsid w:val="2B5B8148"/>
    <w:rsid w:val="2C3561FE"/>
    <w:rsid w:val="2C3772CF"/>
    <w:rsid w:val="2CDB7B4F"/>
    <w:rsid w:val="2DE377AC"/>
    <w:rsid w:val="2E1A0697"/>
    <w:rsid w:val="2E8F40EF"/>
    <w:rsid w:val="2FDA2B8D"/>
    <w:rsid w:val="2FF06345"/>
    <w:rsid w:val="301E78E4"/>
    <w:rsid w:val="305C47D9"/>
    <w:rsid w:val="30C003E7"/>
    <w:rsid w:val="30FD3381"/>
    <w:rsid w:val="31DD65B9"/>
    <w:rsid w:val="3247522F"/>
    <w:rsid w:val="32693EFC"/>
    <w:rsid w:val="33DB2777"/>
    <w:rsid w:val="33E22642"/>
    <w:rsid w:val="342C455F"/>
    <w:rsid w:val="345E7577"/>
    <w:rsid w:val="34AB7B7C"/>
    <w:rsid w:val="35F74006"/>
    <w:rsid w:val="36403501"/>
    <w:rsid w:val="36ED42EB"/>
    <w:rsid w:val="381D2D9D"/>
    <w:rsid w:val="384C6E5B"/>
    <w:rsid w:val="38710629"/>
    <w:rsid w:val="3877C166"/>
    <w:rsid w:val="38F80E09"/>
    <w:rsid w:val="3935320A"/>
    <w:rsid w:val="39BF3466"/>
    <w:rsid w:val="39F32B74"/>
    <w:rsid w:val="3A3A78CE"/>
    <w:rsid w:val="3A895AD3"/>
    <w:rsid w:val="3B292793"/>
    <w:rsid w:val="3B3600AF"/>
    <w:rsid w:val="3B846310"/>
    <w:rsid w:val="3BCE6DCE"/>
    <w:rsid w:val="3C7B7404"/>
    <w:rsid w:val="3CFC39E2"/>
    <w:rsid w:val="3DFA4F96"/>
    <w:rsid w:val="3DFC4BE1"/>
    <w:rsid w:val="3E025224"/>
    <w:rsid w:val="3E2660D0"/>
    <w:rsid w:val="3EC0748E"/>
    <w:rsid w:val="3F0F68AB"/>
    <w:rsid w:val="3F1160AE"/>
    <w:rsid w:val="3F5E7280"/>
    <w:rsid w:val="3F77D1FF"/>
    <w:rsid w:val="3F7DA27E"/>
    <w:rsid w:val="404E1CC2"/>
    <w:rsid w:val="414F7FB9"/>
    <w:rsid w:val="416A65BA"/>
    <w:rsid w:val="418A1CAC"/>
    <w:rsid w:val="41970E2B"/>
    <w:rsid w:val="423F4532"/>
    <w:rsid w:val="4286355A"/>
    <w:rsid w:val="42C34B54"/>
    <w:rsid w:val="43435519"/>
    <w:rsid w:val="43A6660D"/>
    <w:rsid w:val="43AE0196"/>
    <w:rsid w:val="45277B78"/>
    <w:rsid w:val="4611540E"/>
    <w:rsid w:val="464004CF"/>
    <w:rsid w:val="471064AD"/>
    <w:rsid w:val="48072CF4"/>
    <w:rsid w:val="485F7229"/>
    <w:rsid w:val="48D55F0A"/>
    <w:rsid w:val="4A3C5CA2"/>
    <w:rsid w:val="4A986834"/>
    <w:rsid w:val="4AAF2EE3"/>
    <w:rsid w:val="4AE048A7"/>
    <w:rsid w:val="4B96298C"/>
    <w:rsid w:val="4C0218E6"/>
    <w:rsid w:val="4C1A59A6"/>
    <w:rsid w:val="4C9B2DB9"/>
    <w:rsid w:val="4CBA5D89"/>
    <w:rsid w:val="4D160508"/>
    <w:rsid w:val="4E6376C3"/>
    <w:rsid w:val="4FBB42D5"/>
    <w:rsid w:val="4FC85EBD"/>
    <w:rsid w:val="4FF254C9"/>
    <w:rsid w:val="50067556"/>
    <w:rsid w:val="50587360"/>
    <w:rsid w:val="50732F4C"/>
    <w:rsid w:val="50D571CF"/>
    <w:rsid w:val="51163E81"/>
    <w:rsid w:val="512C19FA"/>
    <w:rsid w:val="513578F5"/>
    <w:rsid w:val="52201D6B"/>
    <w:rsid w:val="53745F79"/>
    <w:rsid w:val="54AF6E71"/>
    <w:rsid w:val="55005056"/>
    <w:rsid w:val="55144768"/>
    <w:rsid w:val="561A210F"/>
    <w:rsid w:val="5622051D"/>
    <w:rsid w:val="564D4C19"/>
    <w:rsid w:val="56961FD4"/>
    <w:rsid w:val="572F7C78"/>
    <w:rsid w:val="573A4200"/>
    <w:rsid w:val="578F7AE0"/>
    <w:rsid w:val="57A35142"/>
    <w:rsid w:val="57A405F0"/>
    <w:rsid w:val="57E263E8"/>
    <w:rsid w:val="59362CEA"/>
    <w:rsid w:val="59D82E86"/>
    <w:rsid w:val="5B2E6224"/>
    <w:rsid w:val="5B344BAA"/>
    <w:rsid w:val="5B5D1890"/>
    <w:rsid w:val="5BCB399A"/>
    <w:rsid w:val="5C2B0D00"/>
    <w:rsid w:val="5C8A041B"/>
    <w:rsid w:val="5CCD21EB"/>
    <w:rsid w:val="5CD530DD"/>
    <w:rsid w:val="5D7050B1"/>
    <w:rsid w:val="5D8235F8"/>
    <w:rsid w:val="5E2E53F4"/>
    <w:rsid w:val="5E811442"/>
    <w:rsid w:val="5F0E761F"/>
    <w:rsid w:val="5F343EC1"/>
    <w:rsid w:val="5F3C66FF"/>
    <w:rsid w:val="5F6F15B7"/>
    <w:rsid w:val="5F9FBF12"/>
    <w:rsid w:val="60E9021E"/>
    <w:rsid w:val="60F61FED"/>
    <w:rsid w:val="610879F5"/>
    <w:rsid w:val="616A5648"/>
    <w:rsid w:val="61EC5016"/>
    <w:rsid w:val="628D3DAB"/>
    <w:rsid w:val="62AA66D7"/>
    <w:rsid w:val="62B4436A"/>
    <w:rsid w:val="62E51F02"/>
    <w:rsid w:val="649369F8"/>
    <w:rsid w:val="65014729"/>
    <w:rsid w:val="657B428A"/>
    <w:rsid w:val="6621369A"/>
    <w:rsid w:val="66E02874"/>
    <w:rsid w:val="67D5446A"/>
    <w:rsid w:val="6986521F"/>
    <w:rsid w:val="69AD29EB"/>
    <w:rsid w:val="6A5D438A"/>
    <w:rsid w:val="6B165840"/>
    <w:rsid w:val="6C3A6440"/>
    <w:rsid w:val="6C7E71A8"/>
    <w:rsid w:val="6C8A73CD"/>
    <w:rsid w:val="6C911B0C"/>
    <w:rsid w:val="6C927DA1"/>
    <w:rsid w:val="6CB829EE"/>
    <w:rsid w:val="6CE0507F"/>
    <w:rsid w:val="6CF61996"/>
    <w:rsid w:val="6DBE56E4"/>
    <w:rsid w:val="6DFA6977"/>
    <w:rsid w:val="6E351B9E"/>
    <w:rsid w:val="6E472574"/>
    <w:rsid w:val="6ED758EB"/>
    <w:rsid w:val="6F135B8C"/>
    <w:rsid w:val="6F217DCC"/>
    <w:rsid w:val="6F537302"/>
    <w:rsid w:val="709F03A2"/>
    <w:rsid w:val="711A048D"/>
    <w:rsid w:val="716A2D22"/>
    <w:rsid w:val="71996C8A"/>
    <w:rsid w:val="72100503"/>
    <w:rsid w:val="72B80505"/>
    <w:rsid w:val="73B16FD1"/>
    <w:rsid w:val="73DDA87D"/>
    <w:rsid w:val="73E45C92"/>
    <w:rsid w:val="73F23645"/>
    <w:rsid w:val="744C085C"/>
    <w:rsid w:val="74A67C70"/>
    <w:rsid w:val="74DE0C9A"/>
    <w:rsid w:val="7537514B"/>
    <w:rsid w:val="753C2362"/>
    <w:rsid w:val="75AD07E5"/>
    <w:rsid w:val="75CB13C1"/>
    <w:rsid w:val="76271066"/>
    <w:rsid w:val="762C223E"/>
    <w:rsid w:val="774643EF"/>
    <w:rsid w:val="77C15D57"/>
    <w:rsid w:val="77D90352"/>
    <w:rsid w:val="77F87DB9"/>
    <w:rsid w:val="78046727"/>
    <w:rsid w:val="78EC6245"/>
    <w:rsid w:val="78F21AA8"/>
    <w:rsid w:val="79173937"/>
    <w:rsid w:val="79762CA6"/>
    <w:rsid w:val="79E65476"/>
    <w:rsid w:val="7B362CD2"/>
    <w:rsid w:val="7B5C0D2D"/>
    <w:rsid w:val="7B703DC2"/>
    <w:rsid w:val="7B754A9B"/>
    <w:rsid w:val="7BA40D44"/>
    <w:rsid w:val="7BDD5775"/>
    <w:rsid w:val="7C76322C"/>
    <w:rsid w:val="7D9A1140"/>
    <w:rsid w:val="7DF73532"/>
    <w:rsid w:val="7E63157E"/>
    <w:rsid w:val="7E755AC2"/>
    <w:rsid w:val="7E8FF0C1"/>
    <w:rsid w:val="7E987765"/>
    <w:rsid w:val="7EA82C0C"/>
    <w:rsid w:val="7EC14FB1"/>
    <w:rsid w:val="7F283C7E"/>
    <w:rsid w:val="7F770FF7"/>
    <w:rsid w:val="7F7F5A4C"/>
    <w:rsid w:val="7F848120"/>
    <w:rsid w:val="7FC46E19"/>
    <w:rsid w:val="7FE57CEC"/>
    <w:rsid w:val="7FFFCE3A"/>
    <w:rsid w:val="9C5F019F"/>
    <w:rsid w:val="A37DB641"/>
    <w:rsid w:val="AD7BAD49"/>
    <w:rsid w:val="BFF580E8"/>
    <w:rsid w:val="D5DF1E4B"/>
    <w:rsid w:val="D9E7BC70"/>
    <w:rsid w:val="DB2B4740"/>
    <w:rsid w:val="DDFBA7CC"/>
    <w:rsid w:val="DE7B0E28"/>
    <w:rsid w:val="DEFDD8F2"/>
    <w:rsid w:val="DF3FF0AC"/>
    <w:rsid w:val="DFFF382B"/>
    <w:rsid w:val="E5FE1B9B"/>
    <w:rsid w:val="EAD7EA1A"/>
    <w:rsid w:val="F1EF0534"/>
    <w:rsid w:val="F1FAC8A3"/>
    <w:rsid w:val="FBA7D986"/>
    <w:rsid w:val="FBCB3B52"/>
    <w:rsid w:val="FDF5C97A"/>
    <w:rsid w:val="FE6D8550"/>
    <w:rsid w:val="FE7BBCAD"/>
    <w:rsid w:val="FF476867"/>
    <w:rsid w:val="FF77685A"/>
    <w:rsid w:val="FFDF21C5"/>
    <w:rsid w:val="FFEFA4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
    <w:pPr>
      <w:keepNext/>
      <w:keepLines/>
      <w:snapToGrid w:val="0"/>
      <w:spacing w:line="570" w:lineRule="exact"/>
      <w:outlineLvl w:val="1"/>
    </w:pPr>
    <w:rPr>
      <w:rFonts w:ascii="黑体" w:hAnsi="黑体" w:eastAsia="黑体" w:cs="黑体"/>
      <w:sz w:val="44"/>
      <w:szCs w:val="44"/>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widowControl/>
      <w:spacing w:line="580" w:lineRule="exact"/>
      <w:ind w:firstLine="420" w:firstLineChars="200"/>
    </w:pPr>
    <w:rPr>
      <w:rFonts w:ascii="仿宋" w:hAnsi="仿宋" w:eastAsia="仿宋"/>
      <w:sz w:val="33"/>
    </w:rPr>
  </w:style>
  <w:style w:type="paragraph" w:styleId="6">
    <w:name w:val="Body Text"/>
    <w:basedOn w:val="1"/>
    <w:next w:val="7"/>
    <w:qFormat/>
    <w:uiPriority w:val="0"/>
    <w:pPr>
      <w:widowControl w:val="0"/>
      <w:spacing w:after="140" w:line="276" w:lineRule="auto"/>
      <w:jc w:val="both"/>
    </w:pPr>
    <w:rPr>
      <w:rFonts w:ascii="Times New Roman" w:hAnsi="Times New Roman" w:eastAsia="宋体" w:cs="Times New Roman"/>
      <w:kern w:val="2"/>
      <w:sz w:val="21"/>
      <w:szCs w:val="24"/>
      <w:lang w:val="en-US" w:eastAsia="zh-CN" w:bidi="ar-SA"/>
    </w:rPr>
  </w:style>
  <w:style w:type="paragraph" w:styleId="7">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8">
    <w:name w:val="Body Text Indent"/>
    <w:basedOn w:val="1"/>
    <w:qFormat/>
    <w:uiPriority w:val="0"/>
    <w:pPr>
      <w:ind w:left="420" w:leftChars="200"/>
    </w:pPr>
    <w:rPr>
      <w:rFonts w:cs="Times New Roman"/>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ind w:left="420" w:leftChars="200"/>
    </w:pPr>
    <w:rPr>
      <w:rFonts w:eastAsia="仿宋_GB2312"/>
      <w:sz w:val="32"/>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widowControl w:val="0"/>
      <w:spacing w:before="240" w:after="60"/>
      <w:jc w:val="center"/>
      <w:outlineLvl w:val="0"/>
    </w:pPr>
    <w:rPr>
      <w:rFonts w:ascii="Arial" w:hAnsi="Arial" w:eastAsia="宋体" w:cs="Times New Roman"/>
      <w:b/>
      <w:kern w:val="2"/>
      <w:sz w:val="21"/>
      <w:szCs w:val="24"/>
      <w:lang w:val="en-US" w:eastAsia="zh-CN" w:bidi="ar-SA"/>
    </w:rPr>
  </w:style>
  <w:style w:type="paragraph" w:styleId="14">
    <w:name w:val="Body Text First Indent"/>
    <w:basedOn w:val="6"/>
    <w:qFormat/>
    <w:uiPriority w:val="0"/>
    <w:pPr>
      <w:widowControl w:val="0"/>
      <w:spacing w:after="140" w:line="276"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basedOn w:val="8"/>
    <w:next w:val="14"/>
    <w:qFormat/>
    <w:uiPriority w:val="0"/>
    <w:pPr>
      <w:spacing w:after="120"/>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basedOn w:val="18"/>
    <w:semiHidden/>
    <w:unhideWhenUsed/>
    <w:qFormat/>
    <w:uiPriority w:val="99"/>
    <w:rPr>
      <w:color w:val="0000FF"/>
      <w:u w:val="single"/>
    </w:rPr>
  </w:style>
  <w:style w:type="paragraph" w:customStyle="1" w:styleId="22">
    <w:name w:val="正文首行缩进 21"/>
    <w:basedOn w:val="1"/>
    <w:unhideWhenUsed/>
    <w:qFormat/>
    <w:uiPriority w:val="99"/>
    <w:pPr>
      <w:spacing w:after="120"/>
      <w:ind w:left="420" w:leftChars="200" w:firstLine="420"/>
    </w:pPr>
    <w:rPr>
      <w:rFonts w:ascii="Times New Roman" w:hAnsi="Times New Roman"/>
    </w:rPr>
  </w:style>
  <w:style w:type="character" w:customStyle="1" w:styleId="23">
    <w:name w:val="页眉 Char"/>
    <w:basedOn w:val="18"/>
    <w:link w:val="10"/>
    <w:semiHidden/>
    <w:qFormat/>
    <w:uiPriority w:val="99"/>
    <w:rPr>
      <w:sz w:val="18"/>
      <w:szCs w:val="18"/>
    </w:rPr>
  </w:style>
  <w:style w:type="character" w:customStyle="1" w:styleId="24">
    <w:name w:val="页脚 Char"/>
    <w:basedOn w:val="18"/>
    <w:link w:val="9"/>
    <w:qFormat/>
    <w:uiPriority w:val="99"/>
    <w:rPr>
      <w:sz w:val="18"/>
      <w:szCs w:val="18"/>
    </w:rPr>
  </w:style>
  <w:style w:type="paragraph" w:customStyle="1" w:styleId="25">
    <w:name w:val="Char Char2 Char Char"/>
    <w:basedOn w:val="1"/>
    <w:qFormat/>
    <w:uiPriority w:val="0"/>
    <w:pPr>
      <w:widowControl/>
      <w:spacing w:after="160" w:line="240" w:lineRule="exact"/>
      <w:jc w:val="left"/>
    </w:pPr>
    <w:rPr>
      <w:rFonts w:ascii="Times New Roman" w:hAnsi="Times New Roman" w:eastAsia="宋体" w:cs="Times New Roman"/>
      <w:szCs w:val="20"/>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8">
    <w:name w:val="font41"/>
    <w:basedOn w:val="18"/>
    <w:qFormat/>
    <w:uiPriority w:val="0"/>
    <w:rPr>
      <w:rFonts w:hint="eastAsia" w:ascii="宋体" w:hAnsi="宋体" w:eastAsia="宋体" w:cs="宋体"/>
      <w:color w:val="000000"/>
      <w:sz w:val="22"/>
      <w:szCs w:val="22"/>
      <w:u w:val="none"/>
    </w:rPr>
  </w:style>
  <w:style w:type="character" w:customStyle="1" w:styleId="29">
    <w:name w:val="font21"/>
    <w:basedOn w:val="18"/>
    <w:qFormat/>
    <w:uiPriority w:val="0"/>
    <w:rPr>
      <w:rFonts w:ascii="仿宋_GB2312" w:eastAsia="仿宋_GB2312" w:cs="仿宋_GB2312"/>
      <w:color w:val="000000"/>
      <w:sz w:val="24"/>
      <w:szCs w:val="24"/>
      <w:u w:val="none"/>
    </w:rPr>
  </w:style>
  <w:style w:type="character" w:customStyle="1" w:styleId="30">
    <w:name w:val="font11"/>
    <w:basedOn w:val="18"/>
    <w:qFormat/>
    <w:uiPriority w:val="0"/>
    <w:rPr>
      <w:rFonts w:hint="eastAsia" w:ascii="宋体" w:hAnsi="宋体" w:eastAsia="宋体" w:cs="宋体"/>
      <w:color w:val="000000"/>
      <w:sz w:val="24"/>
      <w:szCs w:val="24"/>
      <w:u w:val="none"/>
    </w:rPr>
  </w:style>
  <w:style w:type="character" w:customStyle="1" w:styleId="31">
    <w:name w:val="font51"/>
    <w:basedOn w:val="18"/>
    <w:qFormat/>
    <w:uiPriority w:val="0"/>
    <w:rPr>
      <w:rFonts w:hint="eastAsia" w:ascii="宋体" w:hAnsi="宋体" w:eastAsia="宋体" w:cs="宋体"/>
      <w:color w:val="000000"/>
      <w:sz w:val="22"/>
      <w:szCs w:val="22"/>
      <w:u w:val="none"/>
    </w:rPr>
  </w:style>
  <w:style w:type="character" w:customStyle="1" w:styleId="32">
    <w:name w:val="font01"/>
    <w:basedOn w:val="18"/>
    <w:qFormat/>
    <w:uiPriority w:val="0"/>
    <w:rPr>
      <w:rFonts w:hint="eastAsia" w:ascii="宋体" w:hAnsi="宋体" w:eastAsia="宋体" w:cs="宋体"/>
      <w:color w:val="000000"/>
      <w:sz w:val="24"/>
      <w:szCs w:val="24"/>
      <w:u w:val="none"/>
    </w:rPr>
  </w:style>
  <w:style w:type="character" w:customStyle="1" w:styleId="33">
    <w:name w:val="font31"/>
    <w:basedOn w:val="18"/>
    <w:qFormat/>
    <w:uiPriority w:val="0"/>
    <w:rPr>
      <w:rFonts w:hint="eastAsia" w:ascii="宋体" w:hAnsi="宋体" w:eastAsia="宋体" w:cs="宋体"/>
      <w:b/>
      <w:bCs/>
      <w:color w:val="000000"/>
      <w:sz w:val="20"/>
      <w:szCs w:val="20"/>
      <w:u w:val="none"/>
    </w:rPr>
  </w:style>
  <w:style w:type="paragraph" w:customStyle="1" w:styleId="34">
    <w:name w:val="Normal Indent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仿宋_GB2312" w:hAnsi="仿宋_GB2312"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760</Words>
  <Characters>4335</Characters>
  <Lines>1</Lines>
  <Paragraphs>1</Paragraphs>
  <TotalTime>63</TotalTime>
  <ScaleCrop>false</ScaleCrop>
  <LinksUpToDate>false</LinksUpToDate>
  <CharactersWithSpaces>5085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2020-05-06T19:49:00Z</dcterms:created>
  <dc:creator>AutoBVT</dc:creator>
  <cp:lastModifiedBy>Administrator</cp:lastModifiedBy>
  <cp:lastPrinted>2025-02-13T03:43:00Z</cp:lastPrinted>
  <dcterms:modified xsi:type="dcterms:W3CDTF">2025-02-24T10:00:43Z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A8FCC8A280174A8F9C5D44556E31D55F</vt:lpwstr>
  </property>
</Properties>
</file>