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2A036">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72E2A3B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lang w:eastAsia="zh-CN"/>
        </w:rPr>
      </w:pPr>
    </w:p>
    <w:p w14:paraId="2DDD51F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lang w:eastAsia="zh-CN"/>
        </w:rPr>
      </w:pPr>
    </w:p>
    <w:p w14:paraId="05AA848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广州市白水山森林公园门票及</w:t>
      </w:r>
      <w:r>
        <w:rPr>
          <w:rFonts w:hint="default" w:ascii="Times New Roman" w:hAnsi="Times New Roman" w:eastAsia="方正小标宋简体" w:cs="Times New Roman"/>
          <w:sz w:val="44"/>
          <w:szCs w:val="44"/>
        </w:rPr>
        <w:t>观光车票价</w:t>
      </w:r>
    </w:p>
    <w:p w14:paraId="05EB276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定价方案</w:t>
      </w:r>
      <w:r>
        <w:rPr>
          <w:rFonts w:hint="default" w:ascii="Times New Roman" w:hAnsi="Times New Roman" w:eastAsia="方正小标宋简体" w:cs="Times New Roman"/>
          <w:sz w:val="44"/>
          <w:szCs w:val="44"/>
          <w:lang w:val="en-US" w:eastAsia="zh-CN"/>
        </w:rPr>
        <w:t>起草说明</w:t>
      </w:r>
    </w:p>
    <w:p w14:paraId="5DA03E6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方正小标宋简体" w:cs="Times New Roman"/>
          <w:sz w:val="44"/>
          <w:szCs w:val="44"/>
          <w:lang w:val="en-US" w:eastAsia="zh-CN"/>
        </w:rPr>
      </w:pPr>
    </w:p>
    <w:p w14:paraId="41C47AC9">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深入贯彻落实习近平生态文明思想，充分发挥森林公园的生态效益、社会效益和经济效益，根据《中华人民共和国价格法》《广东省定价目录》等相关规定，结合广州市增城林场管理中心的定价申请，市发展改革委牵头组织开展广州市白水山森林公园门票及观光车票价定价工作。我局按照政府定价程序要求，严格履行重大行政决策及行政规范性文件管理程序，科学编制了门票及观光车票价定价方案。</w:t>
      </w:r>
    </w:p>
    <w:p w14:paraId="543825D3">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方案坚持以人民为中心的发展思想，遵循"保护优先、科学利用、可持续发展"的原则，通过建立科学合理的票价机制，强化森林资源保护，提升公园管理服务水平，确保公园运营的可持续性，促进生态旅游健康发展。</w:t>
      </w:r>
      <w:r>
        <w:rPr>
          <w:rFonts w:hint="default" w:ascii="Times New Roman" w:hAnsi="Times New Roman" w:eastAsia="仿宋_GB2312" w:cs="Times New Roman"/>
          <w:sz w:val="32"/>
          <w:szCs w:val="32"/>
          <w:highlight w:val="none"/>
          <w:lang w:val="en-US" w:eastAsia="zh-CN"/>
        </w:rPr>
        <w:t>同时</w:t>
      </w:r>
      <w:r>
        <w:rPr>
          <w:rFonts w:hint="default" w:ascii="Times New Roman" w:hAnsi="Times New Roman" w:eastAsia="仿宋_GB2312" w:cs="Times New Roman"/>
          <w:sz w:val="32"/>
          <w:szCs w:val="32"/>
          <w:highlight w:val="none"/>
        </w:rPr>
        <w:t>充分考虑公园运营成本、游客承受能力及社会公益性等因素，力求实现生态保护、社会公益与经济效益的有机统一。现就广州市白水山森林公园门票及观光车票价定价方案的有关情况说明如下：</w:t>
      </w:r>
    </w:p>
    <w:p w14:paraId="5698DFAF">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一、项目背景</w:t>
      </w:r>
    </w:p>
    <w:p w14:paraId="5D8C79D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广州市白水山森林公园</w:t>
      </w:r>
      <w:r>
        <w:rPr>
          <w:rFonts w:hint="default" w:ascii="Times New Roman" w:hAnsi="Times New Roman" w:eastAsia="仿宋_GB2312" w:cs="Times New Roman"/>
          <w:sz w:val="32"/>
          <w:szCs w:val="32"/>
          <w:lang w:val="en-US" w:eastAsia="zh-CN"/>
        </w:rPr>
        <w:t>总面积4.1万亩，</w:t>
      </w:r>
      <w:r>
        <w:rPr>
          <w:rFonts w:hint="default" w:ascii="Times New Roman" w:hAnsi="Times New Roman" w:eastAsia="仿宋_GB2312" w:cs="Times New Roman"/>
          <w:sz w:val="32"/>
          <w:szCs w:val="32"/>
          <w:lang w:val="en-US" w:eastAsia="en-US"/>
        </w:rPr>
        <w:t>隶属广州市增城林场管理中心，建于1999年。公园地处增城区朱村街，距</w:t>
      </w:r>
      <w:r>
        <w:rPr>
          <w:rFonts w:hint="default" w:ascii="Times New Roman" w:hAnsi="Times New Roman" w:eastAsia="仿宋_GB2312" w:cs="Times New Roman"/>
          <w:sz w:val="32"/>
          <w:szCs w:val="32"/>
          <w:lang w:val="en-US" w:eastAsia="zh-CN"/>
        </w:rPr>
        <w:t>离</w:t>
      </w:r>
      <w:r>
        <w:rPr>
          <w:rFonts w:hint="default" w:ascii="Times New Roman" w:hAnsi="Times New Roman" w:eastAsia="仿宋_GB2312" w:cs="Times New Roman"/>
          <w:sz w:val="32"/>
          <w:szCs w:val="32"/>
          <w:lang w:val="en-US" w:eastAsia="en-US"/>
        </w:rPr>
        <w:t>广州市区仅45公里，北三环、广河高速便捷通达，是一座集森林康养、徒步登山、科普教育为一体的市级森林公园，目前开放面积约10000亩。公园植被丰富，森林覆盖率达94.68%。据初步调查统计，园内植物有93科210属。公园地属丘陵地，属南亚热带海洋性季风气候，年平均气温21.6 ℃，平均海拔约300米，园内最高峰“梅花顶”海拔496.7米，第二高峰“云岭”海拔468米。园内负（氧）离子含量均在1200个/cm3以上，最高可达60000个/cm3，十分适宜开展户外休闲运动。</w:t>
      </w:r>
    </w:p>
    <w:p w14:paraId="217233C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公园生态和人文资源独特，拥有“白水丹邱”瀑布（海拔落差150米，晚清增城八景之首）、五月雪（千年桐）、红花油茶林、古榕树等特色自然景观以及增城丝苗米发源地、聚仙石、梅花顶等人文景点。公园建设已初具规模，基础设施和配套设施逐步建立，公园及周边的食住行游购娱等旅游要素完善，主干道（28.16KM）实现水泥路面基本全覆盖，建有4个内部停车场，防火通道（9.74KM）、登山步道、绿道为主的内部交通网络基本建立，实现了从公园东入口、西入口至白水核心景区及各景点节点之间的交通串联，两个大门口广场建设初具成效，保洁、保安实现了购买服务，视频监控系统已基本建立并发挥作用。</w:t>
      </w:r>
    </w:p>
    <w:p w14:paraId="5ED23EE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二、定价依据</w:t>
      </w:r>
    </w:p>
    <w:p w14:paraId="3DCA101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（一）制定</w:t>
      </w:r>
      <w:r>
        <w:rPr>
          <w:rFonts w:hint="default" w:ascii="Times New Roman" w:hAnsi="Times New Roman" w:eastAsia="楷体_GB2312" w:cs="Times New Roman"/>
          <w:sz w:val="32"/>
          <w:szCs w:val="32"/>
          <w:lang w:val="en-US" w:eastAsia="zh-CN"/>
        </w:rPr>
        <w:t>门票及</w:t>
      </w:r>
      <w:r>
        <w:rPr>
          <w:rFonts w:hint="default" w:ascii="Times New Roman" w:hAnsi="Times New Roman" w:eastAsia="楷体_GB2312" w:cs="Times New Roman"/>
          <w:sz w:val="32"/>
          <w:szCs w:val="32"/>
        </w:rPr>
        <w:t>观光车价格政策依据</w:t>
      </w:r>
    </w:p>
    <w:p w14:paraId="4C4D2D6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1.《中华人民共和国价格法》；</w:t>
      </w:r>
    </w:p>
    <w:p w14:paraId="00FB70B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2.《政府制定价格听证办法》；</w:t>
      </w:r>
    </w:p>
    <w:p w14:paraId="4557CCD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3.《广东省发展改革委关于印发&lt;广东省价格听证目录（2018年版）&gt;的通知》（粤发改规〔2018〕13号）；</w:t>
      </w:r>
    </w:p>
    <w:p w14:paraId="4DAE916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4.《广东省发展改革委转发国家发展改革委关于完善国有景 区门票价格形成机制 降低重点国有景区门票价格指导意见的通知》（粤发改价格函〔2018〕3556号）；</w:t>
      </w:r>
    </w:p>
    <w:p w14:paraId="7C7839A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5.《广东省发展改革委转发国家发展改革委办公厅关于持续 推进完善国有景区门票价格形成机制的通知》（粤发改价格函〔2020〕1661号）</w:t>
      </w:r>
      <w:r>
        <w:rPr>
          <w:rFonts w:hint="default" w:ascii="Times New Roman" w:hAnsi="Times New Roman" w:eastAsia="仿宋_GB2312" w:cs="Times New Roman"/>
          <w:sz w:val="32"/>
          <w:szCs w:val="32"/>
          <w:lang w:eastAsia="zh-CN"/>
        </w:rPr>
        <w:t>；</w:t>
      </w:r>
    </w:p>
    <w:p w14:paraId="736B9932">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6.《广东省发展改革委关于城市公共汽(电)车客运定价成本监审的办法》</w:t>
      </w:r>
      <w:r>
        <w:rPr>
          <w:rFonts w:hint="default" w:ascii="Times New Roman" w:hAnsi="Times New Roman" w:eastAsia="仿宋_GB2312" w:cs="Times New Roman"/>
          <w:color w:val="auto"/>
          <w:sz w:val="32"/>
          <w:szCs w:val="32"/>
          <w:highlight w:val="none"/>
        </w:rPr>
        <w:t>粤发改规〔202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〕6号）</w:t>
      </w:r>
    </w:p>
    <w:p w14:paraId="17AEAD4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《广东省发展改革委关于印发广东省景区门票及景区内交通运输服务价格管理办法的通知》（粤发改规〔2024〕6号）</w:t>
      </w:r>
      <w:r>
        <w:rPr>
          <w:rFonts w:hint="default" w:ascii="Times New Roman" w:hAnsi="Times New Roman" w:eastAsia="仿宋_GB2312" w:cs="Times New Roman"/>
          <w:sz w:val="32"/>
          <w:szCs w:val="32"/>
          <w:lang w:eastAsia="zh-CN"/>
        </w:rPr>
        <w:t>。</w:t>
      </w:r>
    </w:p>
    <w:p w14:paraId="006C894D">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（二）重大行政决策和依法行政相关规定</w:t>
      </w:r>
    </w:p>
    <w:p w14:paraId="5690B05D">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森林公园门票定价</w:t>
      </w:r>
      <w:r>
        <w:rPr>
          <w:rFonts w:hint="default" w:ascii="Times New Roman" w:hAnsi="Times New Roman" w:eastAsia="仿宋_GB2312" w:cs="Times New Roman"/>
          <w:color w:val="auto"/>
          <w:sz w:val="32"/>
          <w:szCs w:val="32"/>
          <w:highlight w:val="none"/>
        </w:rPr>
        <w:t>已纳入</w:t>
      </w:r>
      <w:r>
        <w:rPr>
          <w:rFonts w:hint="default" w:ascii="Times New Roman" w:hAnsi="Times New Roman" w:eastAsia="仿宋_GB2312" w:cs="Times New Roman"/>
          <w:color w:val="auto"/>
          <w:sz w:val="32"/>
          <w:szCs w:val="32"/>
          <w:highlight w:val="none"/>
          <w:lang w:eastAsia="zh-CN"/>
        </w:rPr>
        <w:t>区</w:t>
      </w:r>
      <w:r>
        <w:rPr>
          <w:rFonts w:hint="default" w:ascii="Times New Roman" w:hAnsi="Times New Roman" w:eastAsia="仿宋_GB2312" w:cs="Times New Roman"/>
          <w:color w:val="auto"/>
          <w:sz w:val="32"/>
          <w:szCs w:val="32"/>
          <w:highlight w:val="none"/>
        </w:rPr>
        <w:t>政府重大行政决策事项目录和听证事项目录。按照《重大行政决策程序暂行条例》《广东省重大行政决策程序规定》《广东省重大行政决策听证规定》《广州市依法行政条例》《广州市重大行政决策程序规定》《增城区重大行政决策实施办法》等规定，</w:t>
      </w:r>
      <w:r>
        <w:rPr>
          <w:rFonts w:hint="default" w:ascii="Times New Roman" w:hAnsi="Times New Roman" w:eastAsia="仿宋_GB2312" w:cs="Times New Roman"/>
          <w:color w:val="auto"/>
          <w:sz w:val="32"/>
          <w:szCs w:val="32"/>
          <w:highlight w:val="none"/>
          <w:lang w:val="en-US" w:eastAsia="zh-CN"/>
        </w:rPr>
        <w:t>森林公园门票及观光车票价定价</w:t>
      </w:r>
      <w:r>
        <w:rPr>
          <w:rFonts w:hint="default" w:ascii="Times New Roman" w:hAnsi="Times New Roman" w:eastAsia="仿宋_GB2312" w:cs="Times New Roman"/>
          <w:color w:val="auto"/>
          <w:sz w:val="32"/>
          <w:szCs w:val="32"/>
          <w:highlight w:val="none"/>
        </w:rPr>
        <w:t>事项应当履行公众参与、专家论证、风险评估、合法性审查、集体讨论决定等重大行政决策程序，组织召开听证会。</w:t>
      </w:r>
    </w:p>
    <w:p w14:paraId="5F4BF8AF">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outlineLvl w:val="9"/>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lang w:val="en-US" w:eastAsia="zh-CN"/>
        </w:rPr>
        <w:t>成本监审概况</w:t>
      </w:r>
    </w:p>
    <w:p w14:paraId="466A877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广东省物价局实施</w:t>
      </w:r>
      <w:bookmarkStart w:id="0" w:name="_Toc209434368"/>
      <w:bookmarkStart w:id="1" w:name="_Toc209432953"/>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政府制定价格成本监审办法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细则</w:t>
      </w:r>
      <w:bookmarkEnd w:id="0"/>
      <w:bookmarkEnd w:id="1"/>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mallCaps/>
          <w:sz w:val="32"/>
          <w:szCs w:val="32"/>
        </w:rPr>
        <w:t>粤价</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smallCaps/>
          <w:sz w:val="32"/>
          <w:szCs w:val="32"/>
        </w:rPr>
        <w:t>2006</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smallCaps/>
          <w:sz w:val="32"/>
          <w:szCs w:val="32"/>
        </w:rPr>
        <w:t>228号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等文件</w:t>
      </w:r>
      <w:r>
        <w:rPr>
          <w:rFonts w:hint="default" w:ascii="Times New Roman" w:hAnsi="Times New Roman" w:eastAsia="仿宋_GB2312" w:cs="Times New Roman"/>
          <w:sz w:val="32"/>
          <w:szCs w:val="32"/>
          <w:lang w:val="en-US" w:eastAsia="zh-CN"/>
        </w:rPr>
        <w:t>规定，核定单位门票定价成本</w:t>
      </w:r>
      <w:r>
        <w:rPr>
          <w:rFonts w:hint="default" w:ascii="Times New Roman" w:hAnsi="Times New Roman" w:eastAsia="仿宋_GB2312" w:cs="Times New Roman"/>
          <w:sz w:val="32"/>
          <w:szCs w:val="32"/>
        </w:rPr>
        <w:t>为3</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07</w:t>
      </w:r>
      <w:r>
        <w:rPr>
          <w:rFonts w:hint="default" w:ascii="Times New Roman" w:hAnsi="Times New Roman" w:eastAsia="仿宋_GB2312" w:cs="Times New Roman"/>
          <w:sz w:val="32"/>
          <w:szCs w:val="32"/>
        </w:rPr>
        <w:t>元/人次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核定单位观光车票</w:t>
      </w:r>
      <w:r>
        <w:rPr>
          <w:rFonts w:hint="default" w:ascii="Times New Roman" w:hAnsi="Times New Roman" w:eastAsia="仿宋_GB2312" w:cs="Times New Roman"/>
          <w:color w:val="auto"/>
          <w:sz w:val="32"/>
          <w:szCs w:val="32"/>
        </w:rPr>
        <w:t>每人每公里成本为</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元。</w:t>
      </w:r>
    </w:p>
    <w:p w14:paraId="06DCF68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US" w:eastAsia="zh-CN"/>
        </w:rPr>
        <w:t>三、森林公园门票及观光车票价定价</w:t>
      </w:r>
      <w:r>
        <w:rPr>
          <w:rFonts w:hint="default" w:ascii="Times New Roman" w:hAnsi="Times New Roman" w:eastAsia="黑体" w:cs="Times New Roman"/>
          <w:sz w:val="32"/>
          <w:szCs w:val="32"/>
          <w:lang w:val="en" w:eastAsia="zh-CN"/>
        </w:rPr>
        <w:t>的</w:t>
      </w:r>
      <w:r>
        <w:rPr>
          <w:rFonts w:hint="default" w:ascii="Times New Roman" w:hAnsi="Times New Roman" w:eastAsia="黑体" w:cs="Times New Roman"/>
          <w:sz w:val="32"/>
          <w:szCs w:val="32"/>
          <w:lang w:val="en-US" w:eastAsia="zh-CN"/>
        </w:rPr>
        <w:t>必要性、</w:t>
      </w:r>
      <w:r>
        <w:rPr>
          <w:rFonts w:hint="default" w:ascii="Times New Roman" w:hAnsi="Times New Roman" w:eastAsia="黑体" w:cs="Times New Roman"/>
          <w:sz w:val="32"/>
          <w:szCs w:val="32"/>
          <w:lang w:val="en" w:eastAsia="zh-CN"/>
        </w:rPr>
        <w:t>合法性、合理性</w:t>
      </w:r>
    </w:p>
    <w:p w14:paraId="16F3B641">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（一）必要性</w:t>
      </w:r>
    </w:p>
    <w:p w14:paraId="3A111DB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保障生态保护与可持续发展​</w:t>
      </w:r>
    </w:p>
    <w:p w14:paraId="6939DFB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森林公园是人与自然和谐共生的重要载体，对市民具有强大的吸引力，开园后也必然会吸引更多游客打卡，</w:t>
      </w:r>
      <w:r>
        <w:rPr>
          <w:rFonts w:hint="default" w:ascii="Times New Roman" w:hAnsi="Times New Roman" w:eastAsia="仿宋_GB2312" w:cs="Times New Roman"/>
          <w:color w:val="auto"/>
          <w:sz w:val="32"/>
          <w:szCs w:val="32"/>
          <w:highlight w:val="none"/>
        </w:rPr>
        <w:t>由于森林公园面积大、游览线路长、景点多且分散，如果入园游客过多必将给公园的管理带来很大的压力，</w:t>
      </w:r>
      <w:r>
        <w:rPr>
          <w:rFonts w:hint="default" w:ascii="Times New Roman" w:hAnsi="Times New Roman" w:eastAsia="仿宋_GB2312" w:cs="Times New Roman"/>
          <w:color w:val="auto"/>
          <w:sz w:val="32"/>
          <w:szCs w:val="32"/>
          <w:highlight w:val="none"/>
          <w:lang w:val="en-US" w:eastAsia="zh-CN"/>
        </w:rPr>
        <w:t>大量的燃油车社会车辆进入园区，会对公园造成噪音、尾气等环境污染，观光车一般采用环保能源，如电力、天然气等，相比传统的燃油交通工具，减少了尾气排放，降低了对空气的污染，符合森林公园生态保护的理念。引进电动观光车，逐步控制社会车辆入园后，能够规避环境污染、增加游客的趣味性与舒适性。</w:t>
      </w:r>
    </w:p>
    <w:p w14:paraId="3BB3F7F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提升公园服务质量​</w:t>
      </w:r>
    </w:p>
    <w:p w14:paraId="0397591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森林公园对外开放后，</w:t>
      </w:r>
      <w:r>
        <w:rPr>
          <w:rFonts w:hint="default" w:ascii="Times New Roman" w:hAnsi="Times New Roman" w:eastAsia="仿宋" w:cs="Times New Roman"/>
          <w:color w:val="auto"/>
          <w:sz w:val="32"/>
          <w:szCs w:val="32"/>
          <w:highlight w:val="none"/>
          <w:lang w:val="en-US" w:eastAsia="zh-CN"/>
        </w:rPr>
        <w:t>必将在绿化、保洁、园建设施维护等园容园貌方面加强管理，在惠民服务等方面提出更高的标准。增设保洁、绿化人员，对森林步道、观景台、卫生间等公共设施进行日常清洁与维护，同时更新导览标识、增设休息点、优化游览路线，提升了游客的游览体验。安装监控摄像头、配备消防设备、增加安保人员巡逻频次，保障游客的人身和财产安全。</w:t>
      </w:r>
    </w:p>
    <w:p w14:paraId="5E2CD8A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促进公园良性运营​</w:t>
      </w:r>
    </w:p>
    <w:p w14:paraId="5E79A58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森林公园对外开放后，除做好现有基础设施的日常维修维护以外，还将根据《广州市</w:t>
      </w:r>
      <w:r>
        <w:rPr>
          <w:rFonts w:hint="default" w:ascii="Times New Roman" w:hAnsi="Times New Roman" w:eastAsia="仿宋_GB2312" w:cs="Times New Roman"/>
          <w:sz w:val="32"/>
          <w:szCs w:val="32"/>
          <w:lang w:eastAsia="zh-CN"/>
        </w:rPr>
        <w:t>白水山</w:t>
      </w:r>
      <w:r>
        <w:rPr>
          <w:rFonts w:hint="default" w:ascii="Times New Roman" w:hAnsi="Times New Roman" w:eastAsia="仿宋_GB2312" w:cs="Times New Roman"/>
          <w:sz w:val="32"/>
          <w:szCs w:val="32"/>
        </w:rPr>
        <w:t>森林公园总体规划》和增城区旅游发展“十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五”创建A级景区规划的要求，进一步完善配套设施，提升旅游环境质量，并计划在十</w:t>
      </w:r>
      <w:r>
        <w:rPr>
          <w:rFonts w:hint="default" w:ascii="Times New Roman" w:hAnsi="Times New Roman" w:eastAsia="仿宋_GB2312" w:cs="Times New Roman"/>
          <w:sz w:val="32"/>
          <w:szCs w:val="32"/>
          <w:lang w:eastAsia="zh-CN"/>
        </w:rPr>
        <w:t>五</w:t>
      </w:r>
      <w:r>
        <w:rPr>
          <w:rFonts w:hint="default" w:ascii="Times New Roman" w:hAnsi="Times New Roman" w:eastAsia="仿宋_GB2312" w:cs="Times New Roman"/>
          <w:sz w:val="32"/>
          <w:szCs w:val="32"/>
        </w:rPr>
        <w:t>五期间完成以下建设目标：一是拟投资</w:t>
      </w:r>
      <w:r>
        <w:rPr>
          <w:rFonts w:hint="default" w:ascii="Times New Roman" w:hAnsi="Times New Roman" w:eastAsia="仿宋_GB2312" w:cs="Times New Roman"/>
          <w:sz w:val="32"/>
          <w:szCs w:val="32"/>
          <w:lang w:val="en-US" w:eastAsia="zh-CN"/>
        </w:rPr>
        <w:t>1000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对公园瀑布水体景观升级</w:t>
      </w:r>
      <w:r>
        <w:rPr>
          <w:rFonts w:hint="default" w:ascii="Times New Roman" w:hAnsi="Times New Roman" w:eastAsia="仿宋_GB2312" w:cs="Times New Roman"/>
          <w:sz w:val="32"/>
          <w:szCs w:val="32"/>
        </w:rPr>
        <w:t>改造；二是拟投资</w:t>
      </w:r>
      <w:r>
        <w:rPr>
          <w:rFonts w:hint="default" w:ascii="Times New Roman" w:hAnsi="Times New Roman" w:eastAsia="仿宋_GB2312" w:cs="Times New Roman"/>
          <w:sz w:val="32"/>
          <w:szCs w:val="32"/>
          <w:lang w:val="en-US" w:eastAsia="zh-CN"/>
        </w:rPr>
        <w:t>1400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建设自然教育基地及森林步道</w:t>
      </w:r>
      <w:r>
        <w:rPr>
          <w:rFonts w:hint="default" w:ascii="Times New Roman" w:hAnsi="Times New Roman" w:eastAsia="仿宋_GB2312" w:cs="Times New Roman"/>
          <w:sz w:val="32"/>
          <w:szCs w:val="32"/>
        </w:rPr>
        <w:t>；三是拟投资</w:t>
      </w:r>
      <w:r>
        <w:rPr>
          <w:rFonts w:hint="default" w:ascii="Times New Roman" w:hAnsi="Times New Roman" w:eastAsia="仿宋_GB2312" w:cs="Times New Roman"/>
          <w:sz w:val="32"/>
          <w:szCs w:val="32"/>
          <w:lang w:val="en-US" w:eastAsia="zh-CN"/>
        </w:rPr>
        <w:t>2000</w:t>
      </w:r>
      <w:r>
        <w:rPr>
          <w:rFonts w:hint="default" w:ascii="Times New Roman" w:hAnsi="Times New Roman" w:eastAsia="仿宋_GB2312" w:cs="Times New Roman"/>
          <w:sz w:val="32"/>
          <w:szCs w:val="32"/>
        </w:rPr>
        <w:t>万元进行</w:t>
      </w:r>
      <w:r>
        <w:rPr>
          <w:rFonts w:hint="default" w:ascii="Times New Roman" w:hAnsi="Times New Roman" w:eastAsia="仿宋_GB2312" w:cs="Times New Roman"/>
          <w:sz w:val="32"/>
          <w:szCs w:val="32"/>
          <w:lang w:eastAsia="zh-CN"/>
        </w:rPr>
        <w:t>游客服务中心和停车场</w:t>
      </w:r>
      <w:r>
        <w:rPr>
          <w:rFonts w:hint="default" w:ascii="Times New Roman" w:hAnsi="Times New Roman" w:eastAsia="仿宋_GB2312" w:cs="Times New Roman"/>
          <w:sz w:val="32"/>
          <w:szCs w:val="32"/>
        </w:rPr>
        <w:t>升级改造；四是拟投资</w:t>
      </w:r>
      <w:r>
        <w:rPr>
          <w:rFonts w:hint="default" w:ascii="Times New Roman" w:hAnsi="Times New Roman" w:eastAsia="仿宋_GB2312" w:cs="Times New Roman"/>
          <w:sz w:val="32"/>
          <w:szCs w:val="32"/>
          <w:lang w:val="en-US" w:eastAsia="zh-CN"/>
        </w:rPr>
        <w:t>800</w:t>
      </w:r>
      <w:r>
        <w:rPr>
          <w:rFonts w:hint="default" w:ascii="Times New Roman" w:hAnsi="Times New Roman" w:eastAsia="仿宋_GB2312" w:cs="Times New Roman"/>
          <w:sz w:val="32"/>
          <w:szCs w:val="32"/>
        </w:rPr>
        <w:t>万元进行</w:t>
      </w:r>
      <w:r>
        <w:rPr>
          <w:rFonts w:hint="default" w:ascii="Times New Roman" w:hAnsi="Times New Roman" w:eastAsia="仿宋_GB2312" w:cs="Times New Roman"/>
          <w:sz w:val="32"/>
          <w:szCs w:val="32"/>
          <w:lang w:eastAsia="zh-CN"/>
        </w:rPr>
        <w:t>供水系统建设</w:t>
      </w:r>
      <w:r>
        <w:rPr>
          <w:rFonts w:hint="default" w:ascii="Times New Roman" w:hAnsi="Times New Roman" w:eastAsia="仿宋_GB2312" w:cs="Times New Roman"/>
          <w:sz w:val="32"/>
          <w:szCs w:val="32"/>
        </w:rPr>
        <w:t>建设；五是拟投资</w:t>
      </w:r>
      <w:r>
        <w:rPr>
          <w:rFonts w:hint="default" w:ascii="Times New Roman" w:hAnsi="Times New Roman" w:eastAsia="仿宋_GB2312" w:cs="Times New Roman"/>
          <w:sz w:val="32"/>
          <w:szCs w:val="32"/>
          <w:lang w:val="en-US" w:eastAsia="zh-CN"/>
        </w:rPr>
        <w:t>800</w:t>
      </w:r>
      <w:r>
        <w:rPr>
          <w:rFonts w:hint="default" w:ascii="Times New Roman" w:hAnsi="Times New Roman" w:eastAsia="仿宋_GB2312" w:cs="Times New Roman"/>
          <w:sz w:val="32"/>
          <w:szCs w:val="32"/>
        </w:rPr>
        <w:t>万元进行公园</w:t>
      </w:r>
      <w:r>
        <w:rPr>
          <w:rFonts w:hint="default" w:ascii="Times New Roman" w:hAnsi="Times New Roman" w:eastAsia="仿宋_GB2312" w:cs="Times New Roman"/>
          <w:sz w:val="32"/>
          <w:szCs w:val="32"/>
          <w:lang w:eastAsia="zh-CN"/>
        </w:rPr>
        <w:t>配套基础设施</w:t>
      </w:r>
      <w:r>
        <w:rPr>
          <w:rFonts w:hint="default" w:ascii="Times New Roman" w:hAnsi="Times New Roman" w:eastAsia="仿宋_GB2312" w:cs="Times New Roman"/>
          <w:sz w:val="32"/>
          <w:szCs w:val="32"/>
        </w:rPr>
        <w:t>升级改造。</w:t>
      </w:r>
    </w:p>
    <w:p w14:paraId="1AE6B66B">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合法</w:t>
      </w:r>
      <w:r>
        <w:rPr>
          <w:rFonts w:hint="default" w:ascii="Times New Roman" w:hAnsi="Times New Roman" w:eastAsia="楷体_GB2312" w:cs="Times New Roman"/>
          <w:color w:val="auto"/>
          <w:sz w:val="32"/>
          <w:szCs w:val="32"/>
          <w:highlight w:val="none"/>
        </w:rPr>
        <w:t>性</w:t>
      </w:r>
    </w:p>
    <w:p w14:paraId="44D5BEB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中华人民共和国价格法》《旅游法》《广东省定价目录》等法律法规，景区门票及观光车票价属于政府定价范围，需依法履行定价程序。符合《森林公园管理办法》《广州市公园条例》关于生态保护与合理利用的规定。响应国家关于“建立生态产品价值实现机制”的号召，通过合理定价体现生态资源价值。落实广州市“绿美广州”生态建设要求，平衡保护与利用关系。</w:t>
      </w:r>
    </w:p>
    <w:p w14:paraId="3B8214A8">
      <w:pPr>
        <w:keepNext w:val="0"/>
        <w:keepLines w:val="0"/>
        <w:pageBreakBefore w:val="0"/>
        <w:kinsoku/>
        <w:wordWrap/>
        <w:overflowPunct/>
        <w:topLinePunct w:val="0"/>
        <w:autoSpaceDE w:val="0"/>
        <w:autoSpaceDN/>
        <w:bidi w:val="0"/>
        <w:adjustRightInd w:val="0"/>
        <w:snapToGrid w:val="0"/>
        <w:spacing w:line="600" w:lineRule="exact"/>
        <w:ind w:firstLine="640" w:firstLineChars="200"/>
        <w:jc w:val="both"/>
        <w:textAlignment w:val="auto"/>
        <w:outlineLvl w:val="9"/>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rPr>
        <w:t>）</w:t>
      </w:r>
      <w:r>
        <w:rPr>
          <w:rFonts w:hint="default" w:ascii="Times New Roman" w:hAnsi="Times New Roman" w:eastAsia="楷体_GB2312" w:cs="Times New Roman"/>
          <w:color w:val="auto"/>
          <w:sz w:val="32"/>
          <w:szCs w:val="32"/>
          <w:highlight w:val="none"/>
          <w:lang w:val="en-US" w:eastAsia="zh-CN"/>
        </w:rPr>
        <w:t>合理</w:t>
      </w:r>
      <w:r>
        <w:rPr>
          <w:rFonts w:hint="default" w:ascii="Times New Roman" w:hAnsi="Times New Roman" w:eastAsia="楷体_GB2312" w:cs="Times New Roman"/>
          <w:color w:val="auto"/>
          <w:sz w:val="32"/>
          <w:szCs w:val="32"/>
          <w:highlight w:val="none"/>
        </w:rPr>
        <w:t>性</w:t>
      </w:r>
    </w:p>
    <w:p w14:paraId="00D72FA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1.差异化定价体现公平​</w:t>
      </w:r>
    </w:p>
    <w:p w14:paraId="6040C14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对老年人、学生、军人等特殊群体实行优惠票价，保障公益性。设置淡旺季浮动机制，引导错峰游览，优化资源配置。</w:t>
      </w:r>
    </w:p>
    <w:p w14:paraId="33EFAEC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2.社会效益与经济效益平衡​</w:t>
      </w:r>
    </w:p>
    <w:p w14:paraId="22CEB0B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票价水平充分考虑市民及游客承受能力，避免因价格过高影响公共休闲功能。部分收入专项用于生态修复、科普教育等公益项目，回馈社会。</w:t>
      </w:r>
    </w:p>
    <w:p w14:paraId="3852C0E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3.公开透明接受监督​</w:t>
      </w:r>
    </w:p>
    <w:p w14:paraId="01D3450B">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定价过程公开征求意见，采纳合理建议。执行后定期评估效果，动态调整优化。</w:t>
      </w:r>
    </w:p>
    <w:p w14:paraId="6578360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en-US"/>
        </w:rPr>
        <w:t>四、</w:t>
      </w:r>
      <w:r>
        <w:rPr>
          <w:rFonts w:hint="default" w:ascii="Times New Roman" w:hAnsi="Times New Roman" w:eastAsia="黑体" w:cs="Times New Roman"/>
          <w:sz w:val="32"/>
          <w:szCs w:val="32"/>
          <w:lang w:eastAsia="zh-CN"/>
        </w:rPr>
        <w:t>白水山森林公园</w:t>
      </w:r>
      <w:r>
        <w:rPr>
          <w:rFonts w:hint="default" w:ascii="Times New Roman" w:hAnsi="Times New Roman" w:eastAsia="黑体" w:cs="Times New Roman"/>
          <w:sz w:val="32"/>
          <w:szCs w:val="32"/>
        </w:rPr>
        <w:t>与周边旅游景区收费情况</w:t>
      </w:r>
      <w:r>
        <w:rPr>
          <w:rFonts w:hint="default" w:ascii="Times New Roman" w:hAnsi="Times New Roman" w:eastAsia="黑体" w:cs="Times New Roman"/>
          <w:sz w:val="32"/>
          <w:szCs w:val="32"/>
          <w:lang w:eastAsia="zh-CN"/>
        </w:rPr>
        <w:t>对比</w:t>
      </w:r>
    </w:p>
    <w:p w14:paraId="6D76AD4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rPr>
        <w:t>景区</w:t>
      </w:r>
      <w:r>
        <w:rPr>
          <w:rFonts w:hint="default" w:ascii="Times New Roman" w:hAnsi="Times New Roman" w:eastAsia="楷体_GB2312" w:cs="Times New Roman"/>
          <w:sz w:val="32"/>
          <w:szCs w:val="32"/>
          <w:lang w:val="en-US" w:eastAsia="zh-CN"/>
        </w:rPr>
        <w:t>门票对比表</w:t>
      </w:r>
    </w:p>
    <w:tbl>
      <w:tblPr>
        <w:tblStyle w:val="6"/>
        <w:tblpPr w:leftFromText="180" w:rightFromText="180" w:vertAnchor="text" w:horzAnchor="page" w:tblpXSpec="center" w:tblpY="494"/>
        <w:tblW w:w="8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3939"/>
        <w:gridCol w:w="2037"/>
      </w:tblGrid>
      <w:tr w14:paraId="6F4D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263" w:type="dxa"/>
            <w:noWrap w:val="0"/>
            <w:vAlign w:val="center"/>
          </w:tcPr>
          <w:p w14:paraId="4BA653E4">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所属区县</w:t>
            </w:r>
          </w:p>
        </w:tc>
        <w:tc>
          <w:tcPr>
            <w:tcW w:w="3939" w:type="dxa"/>
            <w:noWrap w:val="0"/>
            <w:vAlign w:val="center"/>
          </w:tcPr>
          <w:p w14:paraId="236E13BE">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景点名称</w:t>
            </w:r>
          </w:p>
        </w:tc>
        <w:tc>
          <w:tcPr>
            <w:tcW w:w="2037" w:type="dxa"/>
            <w:noWrap w:val="0"/>
            <w:vAlign w:val="center"/>
          </w:tcPr>
          <w:p w14:paraId="4D11B01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门票价格</w:t>
            </w:r>
          </w:p>
          <w:p w14:paraId="3FF48D82">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(元)</w:t>
            </w:r>
          </w:p>
        </w:tc>
      </w:tr>
      <w:tr w14:paraId="62D3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63" w:type="dxa"/>
            <w:vMerge w:val="restart"/>
            <w:noWrap w:val="0"/>
            <w:vAlign w:val="center"/>
          </w:tcPr>
          <w:p w14:paraId="3B437E3E">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增城区</w:t>
            </w:r>
          </w:p>
        </w:tc>
        <w:tc>
          <w:tcPr>
            <w:tcW w:w="3939" w:type="dxa"/>
            <w:noWrap w:val="0"/>
            <w:vAlign w:val="center"/>
          </w:tcPr>
          <w:p w14:paraId="79D374E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白水寨风景名胜区</w:t>
            </w:r>
          </w:p>
        </w:tc>
        <w:tc>
          <w:tcPr>
            <w:tcW w:w="2037" w:type="dxa"/>
            <w:noWrap w:val="0"/>
            <w:vAlign w:val="center"/>
          </w:tcPr>
          <w:p w14:paraId="2DA31DF5">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60</w:t>
            </w:r>
          </w:p>
        </w:tc>
      </w:tr>
      <w:tr w14:paraId="3CC4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63" w:type="dxa"/>
            <w:vMerge w:val="continue"/>
            <w:noWrap w:val="0"/>
            <w:vAlign w:val="center"/>
          </w:tcPr>
          <w:p w14:paraId="25BFC49C">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p>
        </w:tc>
        <w:tc>
          <w:tcPr>
            <w:tcW w:w="3939" w:type="dxa"/>
            <w:noWrap w:val="0"/>
            <w:vAlign w:val="center"/>
          </w:tcPr>
          <w:p w14:paraId="05DFDCFB">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白江湖森林公园</w:t>
            </w:r>
          </w:p>
        </w:tc>
        <w:tc>
          <w:tcPr>
            <w:tcW w:w="2037" w:type="dxa"/>
            <w:noWrap w:val="0"/>
            <w:vAlign w:val="center"/>
          </w:tcPr>
          <w:p w14:paraId="5DD72E13">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40</w:t>
            </w:r>
          </w:p>
        </w:tc>
      </w:tr>
      <w:tr w14:paraId="3556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263" w:type="dxa"/>
            <w:vMerge w:val="continue"/>
            <w:noWrap w:val="0"/>
            <w:vAlign w:val="center"/>
          </w:tcPr>
          <w:p w14:paraId="7A6462AA">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p>
        </w:tc>
        <w:tc>
          <w:tcPr>
            <w:tcW w:w="3939" w:type="dxa"/>
            <w:noWrap w:val="0"/>
            <w:vAlign w:val="center"/>
          </w:tcPr>
          <w:p w14:paraId="56AD424C">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七彩澳游世界</w:t>
            </w:r>
          </w:p>
        </w:tc>
        <w:tc>
          <w:tcPr>
            <w:tcW w:w="2037" w:type="dxa"/>
            <w:noWrap w:val="0"/>
            <w:vAlign w:val="center"/>
          </w:tcPr>
          <w:p w14:paraId="3E380924">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60</w:t>
            </w:r>
          </w:p>
        </w:tc>
      </w:tr>
      <w:tr w14:paraId="7E6F0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263" w:type="dxa"/>
            <w:vMerge w:val="restart"/>
            <w:noWrap w:val="0"/>
            <w:vAlign w:val="center"/>
          </w:tcPr>
          <w:p w14:paraId="6D23ABC6">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从化区</w:t>
            </w:r>
          </w:p>
        </w:tc>
        <w:tc>
          <w:tcPr>
            <w:tcW w:w="3939" w:type="dxa"/>
            <w:noWrap w:val="0"/>
            <w:vAlign w:val="center"/>
          </w:tcPr>
          <w:p w14:paraId="08726DB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流溪河国家森林公园</w:t>
            </w:r>
          </w:p>
        </w:tc>
        <w:tc>
          <w:tcPr>
            <w:tcW w:w="2037" w:type="dxa"/>
            <w:noWrap w:val="0"/>
            <w:vAlign w:val="center"/>
          </w:tcPr>
          <w:p w14:paraId="32849311">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40</w:t>
            </w:r>
          </w:p>
        </w:tc>
      </w:tr>
      <w:tr w14:paraId="40DC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263" w:type="dxa"/>
            <w:vMerge w:val="continue"/>
            <w:noWrap w:val="0"/>
            <w:vAlign w:val="center"/>
          </w:tcPr>
          <w:p w14:paraId="1D148727">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p>
        </w:tc>
        <w:tc>
          <w:tcPr>
            <w:tcW w:w="3939" w:type="dxa"/>
            <w:noWrap w:val="0"/>
            <w:vAlign w:val="center"/>
          </w:tcPr>
          <w:p w14:paraId="1D0807F1">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石门国家森林公园</w:t>
            </w:r>
          </w:p>
        </w:tc>
        <w:tc>
          <w:tcPr>
            <w:tcW w:w="2037" w:type="dxa"/>
            <w:noWrap w:val="0"/>
            <w:vAlign w:val="center"/>
          </w:tcPr>
          <w:p w14:paraId="3F26CD8F">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40</w:t>
            </w:r>
          </w:p>
        </w:tc>
      </w:tr>
      <w:tr w14:paraId="67ED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263" w:type="dxa"/>
            <w:vMerge w:val="restart"/>
            <w:noWrap w:val="0"/>
            <w:vAlign w:val="center"/>
          </w:tcPr>
          <w:p w14:paraId="39F62CAD">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增城区</w:t>
            </w:r>
          </w:p>
        </w:tc>
        <w:tc>
          <w:tcPr>
            <w:tcW w:w="3939" w:type="dxa"/>
            <w:noWrap w:val="0"/>
            <w:vAlign w:val="center"/>
          </w:tcPr>
          <w:p w14:paraId="13086DE7">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白水山</w:t>
            </w:r>
            <w:r>
              <w:rPr>
                <w:rFonts w:hint="default" w:ascii="Times New Roman" w:hAnsi="Times New Roman" w:eastAsia="仿宋_GB2312" w:cs="Times New Roman"/>
                <w:color w:val="auto"/>
                <w:sz w:val="32"/>
                <w:szCs w:val="32"/>
              </w:rPr>
              <w:t>森林公园</w:t>
            </w:r>
          </w:p>
          <w:p w14:paraId="498D10B2">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（方案一）</w:t>
            </w:r>
          </w:p>
        </w:tc>
        <w:tc>
          <w:tcPr>
            <w:tcW w:w="2037" w:type="dxa"/>
            <w:noWrap w:val="0"/>
            <w:vAlign w:val="center"/>
          </w:tcPr>
          <w:p w14:paraId="5110D5F1">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30</w:t>
            </w:r>
          </w:p>
        </w:tc>
      </w:tr>
      <w:tr w14:paraId="7227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2263" w:type="dxa"/>
            <w:vMerge w:val="continue"/>
            <w:noWrap w:val="0"/>
            <w:vAlign w:val="center"/>
          </w:tcPr>
          <w:p w14:paraId="28AB8207">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p>
        </w:tc>
        <w:tc>
          <w:tcPr>
            <w:tcW w:w="3939" w:type="dxa"/>
            <w:noWrap w:val="0"/>
            <w:vAlign w:val="center"/>
          </w:tcPr>
          <w:p w14:paraId="70E5678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白水山</w:t>
            </w:r>
            <w:r>
              <w:rPr>
                <w:rFonts w:hint="default" w:ascii="Times New Roman" w:hAnsi="Times New Roman" w:eastAsia="仿宋_GB2312" w:cs="Times New Roman"/>
                <w:color w:val="auto"/>
                <w:sz w:val="32"/>
                <w:szCs w:val="32"/>
              </w:rPr>
              <w:t>森林公园</w:t>
            </w:r>
          </w:p>
          <w:p w14:paraId="13BF03AB">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（方案二）</w:t>
            </w:r>
          </w:p>
        </w:tc>
        <w:tc>
          <w:tcPr>
            <w:tcW w:w="2037" w:type="dxa"/>
            <w:noWrap w:val="0"/>
            <w:vAlign w:val="center"/>
          </w:tcPr>
          <w:p w14:paraId="32CE99B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40</w:t>
            </w:r>
          </w:p>
        </w:tc>
      </w:tr>
    </w:tbl>
    <w:p w14:paraId="176E212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楷体_GB2312" w:cs="Times New Roman"/>
          <w:sz w:val="32"/>
          <w:szCs w:val="32"/>
          <w:lang w:val="en-US" w:eastAsia="zh-CN"/>
        </w:rPr>
      </w:pPr>
    </w:p>
    <w:p w14:paraId="57EF84F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观光车票价对比表</w:t>
      </w:r>
    </w:p>
    <w:tbl>
      <w:tblPr>
        <w:tblStyle w:val="9"/>
        <w:tblpPr w:leftFromText="180" w:rightFromText="180" w:vertAnchor="text" w:horzAnchor="page" w:tblpX="1964" w:tblpY="245"/>
        <w:tblOverlap w:val="never"/>
        <w:tblW w:w="83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26"/>
        <w:gridCol w:w="1048"/>
        <w:gridCol w:w="2014"/>
        <w:gridCol w:w="1662"/>
        <w:gridCol w:w="1667"/>
      </w:tblGrid>
      <w:tr w14:paraId="5479B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926" w:type="dxa"/>
            <w:vAlign w:val="center"/>
          </w:tcPr>
          <w:p w14:paraId="0FDA85A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bookmarkStart w:id="2" w:name="_GoBack"/>
            <w:bookmarkEnd w:id="2"/>
            <w:r>
              <w:rPr>
                <w:rFonts w:hint="default" w:ascii="Times New Roman" w:hAnsi="Times New Roman" w:eastAsia="仿宋_GB2312" w:cs="Times New Roman"/>
                <w:sz w:val="32"/>
                <w:szCs w:val="32"/>
              </w:rPr>
              <w:t>景区名称</w:t>
            </w:r>
          </w:p>
        </w:tc>
        <w:tc>
          <w:tcPr>
            <w:tcW w:w="1048" w:type="dxa"/>
            <w:vAlign w:val="center"/>
          </w:tcPr>
          <w:p w14:paraId="25F6090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所在地</w:t>
            </w:r>
          </w:p>
        </w:tc>
        <w:tc>
          <w:tcPr>
            <w:tcW w:w="2014" w:type="dxa"/>
            <w:vAlign w:val="center"/>
          </w:tcPr>
          <w:p w14:paraId="5E6FC48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观光车票价</w:t>
            </w:r>
          </w:p>
        </w:tc>
        <w:tc>
          <w:tcPr>
            <w:tcW w:w="1662" w:type="dxa"/>
            <w:vAlign w:val="center"/>
          </w:tcPr>
          <w:p w14:paraId="0C753E0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线路里程</w:t>
            </w:r>
          </w:p>
        </w:tc>
        <w:tc>
          <w:tcPr>
            <w:tcW w:w="1667" w:type="dxa"/>
            <w:vAlign w:val="center"/>
          </w:tcPr>
          <w:p w14:paraId="1F844449">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每人每公里票价</w:t>
            </w:r>
          </w:p>
        </w:tc>
      </w:tr>
      <w:tr w14:paraId="6B7E6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26" w:type="dxa"/>
            <w:vMerge w:val="restart"/>
            <w:tcBorders>
              <w:bottom w:val="nil"/>
            </w:tcBorders>
            <w:vAlign w:val="center"/>
          </w:tcPr>
          <w:p w14:paraId="0C446A45">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仿宋_GB2312" w:cs="Times New Roman"/>
                <w:sz w:val="32"/>
                <w:szCs w:val="32"/>
              </w:rPr>
            </w:pPr>
          </w:p>
          <w:p w14:paraId="4D95F58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白云山风景区</w:t>
            </w:r>
          </w:p>
          <w:p w14:paraId="7E776EC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（5A）</w:t>
            </w:r>
          </w:p>
        </w:tc>
        <w:tc>
          <w:tcPr>
            <w:tcW w:w="1048" w:type="dxa"/>
            <w:vMerge w:val="restart"/>
            <w:tcBorders>
              <w:bottom w:val="nil"/>
            </w:tcBorders>
            <w:vAlign w:val="center"/>
          </w:tcPr>
          <w:p w14:paraId="1CA77FA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p>
        </w:tc>
        <w:tc>
          <w:tcPr>
            <w:tcW w:w="2014" w:type="dxa"/>
            <w:vAlign w:val="center"/>
          </w:tcPr>
          <w:p w14:paraId="7E4E9B0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 线单程 25元</w:t>
            </w:r>
          </w:p>
        </w:tc>
        <w:tc>
          <w:tcPr>
            <w:tcW w:w="1662" w:type="dxa"/>
            <w:vAlign w:val="center"/>
          </w:tcPr>
          <w:p w14:paraId="487BCFCB">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3.2km</w:t>
            </w:r>
          </w:p>
        </w:tc>
        <w:tc>
          <w:tcPr>
            <w:tcW w:w="1667" w:type="dxa"/>
            <w:vAlign w:val="center"/>
          </w:tcPr>
          <w:p w14:paraId="75916CD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7.8元</w:t>
            </w:r>
          </w:p>
        </w:tc>
      </w:tr>
      <w:tr w14:paraId="5CFE1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926" w:type="dxa"/>
            <w:vMerge w:val="continue"/>
            <w:tcBorders>
              <w:top w:val="nil"/>
              <w:bottom w:val="nil"/>
            </w:tcBorders>
            <w:vAlign w:val="center"/>
          </w:tcPr>
          <w:p w14:paraId="157C3B3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1048" w:type="dxa"/>
            <w:vMerge w:val="continue"/>
            <w:tcBorders>
              <w:top w:val="nil"/>
              <w:bottom w:val="nil"/>
            </w:tcBorders>
            <w:vAlign w:val="center"/>
          </w:tcPr>
          <w:p w14:paraId="49CBCAE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2014" w:type="dxa"/>
            <w:vAlign w:val="center"/>
          </w:tcPr>
          <w:p w14:paraId="378E204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B 线单程 20元</w:t>
            </w:r>
          </w:p>
        </w:tc>
        <w:tc>
          <w:tcPr>
            <w:tcW w:w="1662" w:type="dxa"/>
            <w:vAlign w:val="center"/>
          </w:tcPr>
          <w:p w14:paraId="3EC2AA65">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5.5km</w:t>
            </w:r>
          </w:p>
        </w:tc>
        <w:tc>
          <w:tcPr>
            <w:tcW w:w="1667" w:type="dxa"/>
            <w:vAlign w:val="center"/>
          </w:tcPr>
          <w:p w14:paraId="19D78DD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3.6元</w:t>
            </w:r>
          </w:p>
        </w:tc>
      </w:tr>
      <w:tr w14:paraId="6376F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926" w:type="dxa"/>
            <w:vMerge w:val="continue"/>
            <w:tcBorders>
              <w:top w:val="nil"/>
              <w:bottom w:val="nil"/>
            </w:tcBorders>
            <w:vAlign w:val="center"/>
          </w:tcPr>
          <w:p w14:paraId="45C11E2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1048" w:type="dxa"/>
            <w:vMerge w:val="continue"/>
            <w:tcBorders>
              <w:top w:val="nil"/>
              <w:bottom w:val="nil"/>
            </w:tcBorders>
            <w:vAlign w:val="center"/>
          </w:tcPr>
          <w:p w14:paraId="31B9E1C7">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2014" w:type="dxa"/>
            <w:vAlign w:val="center"/>
          </w:tcPr>
          <w:p w14:paraId="5AA7DBF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C 线单程 10元</w:t>
            </w:r>
          </w:p>
        </w:tc>
        <w:tc>
          <w:tcPr>
            <w:tcW w:w="1662" w:type="dxa"/>
            <w:vAlign w:val="center"/>
          </w:tcPr>
          <w:p w14:paraId="2AF5519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3km</w:t>
            </w:r>
          </w:p>
        </w:tc>
        <w:tc>
          <w:tcPr>
            <w:tcW w:w="1667" w:type="dxa"/>
            <w:vAlign w:val="center"/>
          </w:tcPr>
          <w:p w14:paraId="4871E07F">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3.3元</w:t>
            </w:r>
          </w:p>
        </w:tc>
      </w:tr>
      <w:tr w14:paraId="63698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1926" w:type="dxa"/>
            <w:vMerge w:val="continue"/>
            <w:tcBorders>
              <w:top w:val="nil"/>
            </w:tcBorders>
            <w:vAlign w:val="center"/>
          </w:tcPr>
          <w:p w14:paraId="15C377A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1048" w:type="dxa"/>
            <w:vMerge w:val="continue"/>
            <w:tcBorders>
              <w:top w:val="nil"/>
            </w:tcBorders>
            <w:vAlign w:val="center"/>
          </w:tcPr>
          <w:p w14:paraId="2F47542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2014" w:type="dxa"/>
            <w:vAlign w:val="center"/>
          </w:tcPr>
          <w:p w14:paraId="6619CD9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D 线单程 10元</w:t>
            </w:r>
          </w:p>
        </w:tc>
        <w:tc>
          <w:tcPr>
            <w:tcW w:w="1662" w:type="dxa"/>
            <w:vAlign w:val="center"/>
          </w:tcPr>
          <w:p w14:paraId="4400CCE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2km</w:t>
            </w:r>
          </w:p>
        </w:tc>
        <w:tc>
          <w:tcPr>
            <w:tcW w:w="1667" w:type="dxa"/>
            <w:vAlign w:val="center"/>
          </w:tcPr>
          <w:p w14:paraId="141F445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5元</w:t>
            </w:r>
          </w:p>
        </w:tc>
      </w:tr>
      <w:tr w14:paraId="4779C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926" w:type="dxa"/>
            <w:vAlign w:val="center"/>
          </w:tcPr>
          <w:p w14:paraId="2993435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观音山旅游风 景区（4A）</w:t>
            </w:r>
          </w:p>
        </w:tc>
        <w:tc>
          <w:tcPr>
            <w:tcW w:w="1048" w:type="dxa"/>
            <w:vAlign w:val="center"/>
          </w:tcPr>
          <w:p w14:paraId="200B4D6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东莞市</w:t>
            </w:r>
          </w:p>
        </w:tc>
        <w:tc>
          <w:tcPr>
            <w:tcW w:w="2014" w:type="dxa"/>
            <w:vAlign w:val="center"/>
          </w:tcPr>
          <w:p w14:paraId="11EAB6F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单程 30 元</w:t>
            </w:r>
          </w:p>
        </w:tc>
        <w:tc>
          <w:tcPr>
            <w:tcW w:w="1662" w:type="dxa"/>
            <w:vAlign w:val="center"/>
          </w:tcPr>
          <w:p w14:paraId="26F80058">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6km</w:t>
            </w:r>
          </w:p>
        </w:tc>
        <w:tc>
          <w:tcPr>
            <w:tcW w:w="1667" w:type="dxa"/>
            <w:vAlign w:val="center"/>
          </w:tcPr>
          <w:p w14:paraId="13AEFB5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5元</w:t>
            </w:r>
          </w:p>
        </w:tc>
      </w:tr>
      <w:tr w14:paraId="5847B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926" w:type="dxa"/>
            <w:shd w:val="clear" w:color="auto" w:fill="auto"/>
            <w:vAlign w:val="center"/>
          </w:tcPr>
          <w:p w14:paraId="721340FB">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color w:val="auto"/>
                <w:sz w:val="32"/>
                <w:szCs w:val="32"/>
              </w:rPr>
              <w:t>流溪河国家森林公园</w:t>
            </w:r>
          </w:p>
        </w:tc>
        <w:tc>
          <w:tcPr>
            <w:tcW w:w="1048" w:type="dxa"/>
            <w:vMerge w:val="restart"/>
            <w:vAlign w:val="center"/>
          </w:tcPr>
          <w:p w14:paraId="1CFBF020">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w:t>
            </w:r>
          </w:p>
        </w:tc>
        <w:tc>
          <w:tcPr>
            <w:tcW w:w="2014" w:type="dxa"/>
            <w:vAlign w:val="center"/>
          </w:tcPr>
          <w:p w14:paraId="4F85888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w:t>
            </w:r>
          </w:p>
        </w:tc>
        <w:tc>
          <w:tcPr>
            <w:tcW w:w="1662" w:type="dxa"/>
            <w:vAlign w:val="center"/>
          </w:tcPr>
          <w:p w14:paraId="627A39FA">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km</w:t>
            </w:r>
          </w:p>
        </w:tc>
        <w:tc>
          <w:tcPr>
            <w:tcW w:w="1667" w:type="dxa"/>
            <w:vAlign w:val="center"/>
          </w:tcPr>
          <w:p w14:paraId="1E5DADB3">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3.08元</w:t>
            </w:r>
          </w:p>
        </w:tc>
      </w:tr>
      <w:tr w14:paraId="7BAAB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926" w:type="dxa"/>
            <w:shd w:val="clear" w:color="auto" w:fill="auto"/>
            <w:vAlign w:val="center"/>
          </w:tcPr>
          <w:p w14:paraId="2FDA90A6">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snapToGrid w:val="0"/>
                <w:color w:val="auto"/>
                <w:kern w:val="0"/>
                <w:sz w:val="32"/>
                <w:szCs w:val="32"/>
                <w:lang w:val="en-US" w:eastAsia="en-US" w:bidi="ar-SA"/>
              </w:rPr>
            </w:pPr>
            <w:r>
              <w:rPr>
                <w:rFonts w:hint="default" w:ascii="Times New Roman" w:hAnsi="Times New Roman" w:eastAsia="仿宋_GB2312" w:cs="Times New Roman"/>
                <w:color w:val="auto"/>
                <w:sz w:val="32"/>
                <w:szCs w:val="32"/>
              </w:rPr>
              <w:t>石门国家森林公园</w:t>
            </w:r>
          </w:p>
        </w:tc>
        <w:tc>
          <w:tcPr>
            <w:tcW w:w="1048" w:type="dxa"/>
            <w:vMerge w:val="continue"/>
            <w:vAlign w:val="center"/>
          </w:tcPr>
          <w:p w14:paraId="78B9CE9C">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2014" w:type="dxa"/>
            <w:shd w:val="clear" w:color="auto" w:fill="auto"/>
            <w:vAlign w:val="center"/>
          </w:tcPr>
          <w:p w14:paraId="30E7E4FD">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z w:val="32"/>
                <w:szCs w:val="32"/>
                <w:lang w:val="en-US" w:eastAsia="zh-CN"/>
              </w:rPr>
              <w:t>单程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w:t>
            </w:r>
          </w:p>
        </w:tc>
        <w:tc>
          <w:tcPr>
            <w:tcW w:w="1662" w:type="dxa"/>
            <w:shd w:val="clear" w:color="auto" w:fill="auto"/>
            <w:vAlign w:val="center"/>
          </w:tcPr>
          <w:p w14:paraId="490CBB42">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km</w:t>
            </w:r>
          </w:p>
        </w:tc>
        <w:tc>
          <w:tcPr>
            <w:tcW w:w="1667" w:type="dxa"/>
            <w:shd w:val="clear" w:color="auto" w:fill="auto"/>
            <w:vAlign w:val="center"/>
          </w:tcPr>
          <w:p w14:paraId="5B30B77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z w:val="32"/>
                <w:szCs w:val="32"/>
                <w:lang w:val="en-US" w:eastAsia="zh-CN"/>
              </w:rPr>
              <w:t>2.94元</w:t>
            </w:r>
          </w:p>
        </w:tc>
      </w:tr>
      <w:tr w14:paraId="5E204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1926" w:type="dxa"/>
            <w:shd w:val="clear" w:color="auto" w:fill="auto"/>
            <w:vAlign w:val="center"/>
          </w:tcPr>
          <w:p w14:paraId="71BCED80">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白水山森林</w:t>
            </w:r>
          </w:p>
          <w:p w14:paraId="19D46BB1">
            <w:pPr>
              <w:keepNext w:val="0"/>
              <w:keepLines w:val="0"/>
              <w:pageBreakBefore w:val="0"/>
              <w:widowControl w:val="0"/>
              <w:kinsoku/>
              <w:wordWrap/>
              <w:overflowPunct/>
              <w:topLinePunct w:val="0"/>
              <w:autoSpaceDE w:val="0"/>
              <w:bidi w:val="0"/>
              <w:adjustRightInd w:val="0"/>
              <w:snapToGrid w:val="0"/>
              <w:jc w:val="cente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公园</w:t>
            </w:r>
          </w:p>
        </w:tc>
        <w:tc>
          <w:tcPr>
            <w:tcW w:w="1048" w:type="dxa"/>
            <w:vMerge w:val="continue"/>
            <w:vAlign w:val="center"/>
          </w:tcPr>
          <w:p w14:paraId="71F34BE4">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rPr>
            </w:pPr>
          </w:p>
        </w:tc>
        <w:tc>
          <w:tcPr>
            <w:tcW w:w="2014" w:type="dxa"/>
            <w:shd w:val="clear" w:color="auto" w:fill="auto"/>
            <w:vAlign w:val="center"/>
          </w:tcPr>
          <w:p w14:paraId="68387931">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单程</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w:t>
            </w:r>
          </w:p>
        </w:tc>
        <w:tc>
          <w:tcPr>
            <w:tcW w:w="1662" w:type="dxa"/>
            <w:shd w:val="clear" w:color="auto" w:fill="auto"/>
            <w:vAlign w:val="center"/>
          </w:tcPr>
          <w:p w14:paraId="1DE8219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km</w:t>
            </w:r>
          </w:p>
        </w:tc>
        <w:tc>
          <w:tcPr>
            <w:tcW w:w="1667" w:type="dxa"/>
            <w:shd w:val="clear" w:color="auto" w:fill="auto"/>
            <w:vAlign w:val="center"/>
          </w:tcPr>
          <w:p w14:paraId="4E6C61D6">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2元</w:t>
            </w:r>
          </w:p>
        </w:tc>
      </w:tr>
    </w:tbl>
    <w:p w14:paraId="728EB6B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州市白水山森林公园作为重要的生态绿肺和休闲旅游目的地，具有显著的自然资源优势和社会服务功能。其生态资源丰富，生物多样性突出。公园占地面积大，森林覆盖率高，拥有丰富的植物群落（如南亚热带常绿阔叶林）和野生动物资源（如鸟类、昆虫等），具有较高的科研和保护价值。公园景观类型多样，游览体验丰富，基础设施完善，服务功能健全，满足不同游客需求。</w:t>
      </w:r>
    </w:p>
    <w:p w14:paraId="2905B5FF">
      <w:pPr>
        <w:keepNext w:val="0"/>
        <w:keepLines w:val="0"/>
        <w:pageBreakBefore w:val="0"/>
        <w:widowControl/>
        <w:kinsoku/>
        <w:wordWrap/>
        <w:overflowPunct/>
        <w:topLinePunct w:val="0"/>
        <w:autoSpaceDE w:val="0"/>
        <w:autoSpaceDN w:val="0"/>
        <w:bidi w:val="0"/>
        <w:adjustRightInd w:val="0"/>
        <w:snapToGrid w:val="0"/>
        <w:spacing w:line="560" w:lineRule="exact"/>
        <w:ind w:firstLine="645"/>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同周边旅游景区收费情况比较，我园拟定门票价格低于周边同类景区，且无额外景点收费。观光车票价较周边景区低30%-50%，且线路覆盖主要景点，性价比突出。</w:t>
      </w:r>
    </w:p>
    <w:p w14:paraId="3F5F00A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、拟定价格影响分析</w:t>
      </w:r>
    </w:p>
    <w:p w14:paraId="353AFBE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（一）对景区经营者的影响</w:t>
      </w:r>
    </w:p>
    <w:p w14:paraId="1DB7B02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提高管理效率。门票和观光车票的设置有助于景区管理者更好地控制游客流量，避免景区过度拥挤，从而保护生态环境和游客安全。通过票务系统，景区可以收集游客数据，分析游客行为，为景区的规划和管理提供科学依据。</w:t>
      </w:r>
    </w:p>
    <w:p w14:paraId="6C56748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2.促进景区发展。门票收入可以用于景区的设施建设、生态保护和文化传承等方面，提升景区的整体品质和吸引力。观光车票的收入可以用于观光车的维护和更新，提高游客的游览体验。</w:t>
      </w:r>
    </w:p>
    <w:p w14:paraId="69FFC9F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（二）对游客的影响</w:t>
      </w:r>
    </w:p>
    <w:p w14:paraId="02AA582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.森林公园面积范围广，旅游范围大，游客步行游览易产生体力消耗，影响旅游体验。观光车的开通将有效提升景区通达性，显著改善游客游览舒适度与便利性。</w:t>
      </w:r>
    </w:p>
    <w:p w14:paraId="011CDD5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2.促进生态环境保护意识。景区通过宣传和教育活动，引导游客文明游览，共同保护景区环境。门票收入将按比例专项用于景区生态维护，通过建立"游览—保护"良性循环机制，切实增强游客环境保护意识。</w:t>
      </w:r>
    </w:p>
    <w:p w14:paraId="1F2B0D57">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default" w:ascii="Times New Roman" w:hAnsi="Times New Roman" w:eastAsia="黑体" w:cs="Times New Roman"/>
          <w:sz w:val="21"/>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.观光车服务属于游客自主选择项目，采取非强制性消费模式。该服务在提升景区接待能力、优化游客游览体验的同时，通过差异化服务满足不同游客需求，不会对游客整体旅游成本构成实质性负担。</w:t>
      </w:r>
    </w:p>
    <w:p w14:paraId="22D3DA4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、其他情况说明</w:t>
      </w:r>
    </w:p>
    <w:p w14:paraId="6B2EE23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（一）对下列群体实施政策优惠</w:t>
      </w:r>
    </w:p>
    <w:p w14:paraId="6CACE797">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000000"/>
          <w:sz w:val="32"/>
          <w:szCs w:val="32"/>
        </w:rPr>
        <w:t>6周岁（含）以下或身高1.2米（含）以下的儿童免票；</w:t>
      </w:r>
    </w:p>
    <w:p w14:paraId="63814F31">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2、1.2米（不含）至1.5米（含）的儿童半票优惠；</w:t>
      </w:r>
    </w:p>
    <w:p w14:paraId="35A611A0">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3、6周岁（不含）至18周岁（含）未成年人、全日制大学本科及以下学历学生实行半票优</w:t>
      </w:r>
      <w:r>
        <w:rPr>
          <w:rFonts w:hint="default" w:ascii="Times New Roman" w:hAnsi="Times New Roman" w:eastAsia="仿宋_GB2312" w:cs="Times New Roman"/>
          <w:color w:val="000000"/>
          <w:sz w:val="32"/>
          <w:szCs w:val="32"/>
          <w:lang w:eastAsia="zh-CN"/>
        </w:rPr>
        <w:t>惠</w:t>
      </w:r>
      <w:r>
        <w:rPr>
          <w:rFonts w:hint="default" w:ascii="Times New Roman" w:hAnsi="Times New Roman" w:eastAsia="仿宋_GB2312" w:cs="Times New Roman"/>
          <w:color w:val="000000"/>
          <w:sz w:val="32"/>
          <w:szCs w:val="32"/>
        </w:rPr>
        <w:t>；</w:t>
      </w:r>
    </w:p>
    <w:p w14:paraId="784FCFF2">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4、60周岁（含）至65周岁（不含）的老年人持有效证件实行半票优惠；</w:t>
      </w:r>
    </w:p>
    <w:p w14:paraId="2F51CE17">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5、65周岁（含）以上的老人、现役军人、军队离退休干部、残疾人以及民政部门确认的低保救助对象、五保户等持有效证件实行免费；</w:t>
      </w:r>
    </w:p>
    <w:p w14:paraId="39033C5D">
      <w:pPr>
        <w:keepNext w:val="0"/>
        <w:keepLines w:val="0"/>
        <w:pageBreakBefore w:val="0"/>
        <w:kinsoku/>
        <w:wordWrap/>
        <w:overflowPunct/>
        <w:topLinePunct w:val="0"/>
        <w:autoSpaceDE w:val="0"/>
        <w:bidi w:val="0"/>
        <w:adjustRightInd w:val="0"/>
        <w:snapToGrid w:val="0"/>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6、青少年（含入境游青少年）购票入园参观时需出示有效身份证明（或证件），其他游客务必带好相关证件方可享受上述门票优惠价格。</w:t>
      </w:r>
    </w:p>
    <w:p w14:paraId="5C1D0B1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（二）游客享受高品质的旅游服务</w:t>
      </w:r>
    </w:p>
    <w:p w14:paraId="13E4F47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公园通过完善基础设施，提升游客游玩的便利性和舒适度，通过服务人员培训，确保游客在游览过程中得到专业、贴心的服务，通过开发智慧导览系统、票务预约平台等，减少游客排队时间，提高游览效率。</w:t>
      </w:r>
      <w:r>
        <w:rPr>
          <w:rFonts w:hint="default" w:ascii="Times New Roman" w:hAnsi="Times New Roman" w:eastAsia="仿宋_GB2312" w:cs="Times New Roman"/>
          <w:sz w:val="32"/>
          <w:szCs w:val="32"/>
        </w:rPr>
        <w:t>游客是观光车服务的直接受益者，乘坐观光车可以避免自驾过程中因不熟悉适应山路产生的交通事故，减少交通堵塞，实现畅通旅游。观光车的引入，节约游玩时间，减少自驾或者步行的体力负担，方便游客用更多的时间、更好的视野欣赏沿途美景、呼吸新鲜空气，实现舒适轻松旅游。</w:t>
      </w:r>
    </w:p>
    <w:p w14:paraId="33B3634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实现全民共建共享</w:t>
      </w:r>
    </w:p>
    <w:p w14:paraId="32C00637">
      <w:pPr>
        <w:keepNext w:val="0"/>
        <w:keepLines w:val="0"/>
        <w:pageBreakBefore w:val="0"/>
        <w:kinsoku/>
        <w:wordWrap/>
        <w:overflowPunct/>
        <w:topLinePunct w:val="0"/>
        <w:autoSpaceDE w:val="0"/>
        <w:bidi w:val="0"/>
        <w:adjustRightInd w:val="0"/>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广州市白水山森林公园</w:t>
      </w:r>
      <w:r>
        <w:rPr>
          <w:rFonts w:hint="default" w:ascii="Times New Roman" w:hAnsi="Times New Roman" w:eastAsia="仿宋_GB2312" w:cs="Times New Roman"/>
          <w:sz w:val="32"/>
          <w:szCs w:val="32"/>
        </w:rPr>
        <w:t>属于广州市</w:t>
      </w:r>
      <w:r>
        <w:rPr>
          <w:rFonts w:hint="eastAsia" w:ascii="Times New Roman" w:hAnsi="Times New Roman" w:eastAsia="仿宋_GB2312" w:cs="Times New Roman"/>
          <w:sz w:val="32"/>
          <w:szCs w:val="32"/>
          <w:lang w:eastAsia="zh-CN"/>
        </w:rPr>
        <w:t>级森林公园</w:t>
      </w:r>
      <w:r>
        <w:rPr>
          <w:rFonts w:hint="default" w:ascii="Times New Roman" w:hAnsi="Times New Roman" w:eastAsia="仿宋_GB2312" w:cs="Times New Roman"/>
          <w:sz w:val="32"/>
          <w:szCs w:val="32"/>
        </w:rPr>
        <w:t>，在纳入</w:t>
      </w:r>
      <w:r>
        <w:rPr>
          <w:rFonts w:hint="default" w:ascii="Times New Roman" w:hAnsi="Times New Roman" w:eastAsia="仿宋_GB2312" w:cs="Times New Roman"/>
          <w:sz w:val="32"/>
          <w:szCs w:val="32"/>
          <w:lang w:eastAsia="zh-CN"/>
        </w:rPr>
        <w:t>“环两山引领示范区”</w:t>
      </w:r>
      <w:r>
        <w:rPr>
          <w:rFonts w:hint="default" w:ascii="Times New Roman" w:hAnsi="Times New Roman" w:eastAsia="仿宋_GB2312" w:cs="Times New Roman"/>
          <w:sz w:val="32"/>
          <w:szCs w:val="32"/>
        </w:rPr>
        <w:t>体系之后，仍然</w:t>
      </w:r>
      <w:r>
        <w:rPr>
          <w:rFonts w:hint="default" w:ascii="Times New Roman" w:hAnsi="Times New Roman" w:eastAsia="仿宋_GB2312" w:cs="Times New Roman"/>
          <w:sz w:val="32"/>
          <w:szCs w:val="32"/>
          <w:lang w:val="en-US" w:eastAsia="zh-CN"/>
        </w:rPr>
        <w:t>会</w:t>
      </w:r>
      <w:r>
        <w:rPr>
          <w:rFonts w:hint="default" w:ascii="Times New Roman" w:hAnsi="Times New Roman" w:eastAsia="仿宋_GB2312" w:cs="Times New Roman"/>
          <w:sz w:val="32"/>
          <w:szCs w:val="32"/>
        </w:rPr>
        <w:t>坚持园区公共产品的公益属性，充分考虑老年人、儿童、残疾人、军人、学生等特殊群体的权益，</w:t>
      </w:r>
      <w:r>
        <w:rPr>
          <w:rFonts w:hint="default" w:ascii="Times New Roman" w:hAnsi="Times New Roman" w:eastAsia="仿宋_GB2312" w:cs="Times New Roman"/>
          <w:sz w:val="32"/>
          <w:szCs w:val="32"/>
          <w:lang w:val="en-US" w:eastAsia="zh-CN"/>
        </w:rPr>
        <w:t>切实发挥好园区的公益属性和科普教育功能，</w:t>
      </w:r>
      <w:r>
        <w:rPr>
          <w:rFonts w:hint="default" w:ascii="Times New Roman" w:hAnsi="Times New Roman" w:eastAsia="仿宋_GB2312" w:cs="Times New Roman"/>
          <w:sz w:val="32"/>
          <w:szCs w:val="32"/>
        </w:rPr>
        <w:t>在实现门票价格科学、合理、可行的同时，尽量做到惠民、利民、便民，让</w:t>
      </w:r>
      <w:r>
        <w:rPr>
          <w:rFonts w:hint="default" w:ascii="Times New Roman" w:hAnsi="Times New Roman" w:eastAsia="仿宋_GB2312" w:cs="Times New Roman"/>
          <w:sz w:val="32"/>
          <w:szCs w:val="32"/>
          <w:lang w:eastAsia="zh-CN"/>
        </w:rPr>
        <w:t>广州市白水山森林公园</w:t>
      </w:r>
      <w:r>
        <w:rPr>
          <w:rFonts w:hint="default" w:ascii="Times New Roman" w:hAnsi="Times New Roman" w:eastAsia="仿宋_GB2312" w:cs="Times New Roman"/>
          <w:sz w:val="32"/>
          <w:szCs w:val="32"/>
        </w:rPr>
        <w:t>生态文明旅游景区的建设成果与全民</w:t>
      </w:r>
      <w:r>
        <w:rPr>
          <w:rFonts w:hint="default" w:ascii="Times New Roman" w:hAnsi="Times New Roman" w:eastAsia="仿宋_GB2312" w:cs="Times New Roman"/>
          <w:sz w:val="32"/>
          <w:szCs w:val="32"/>
          <w:lang w:eastAsia="zh-CN"/>
        </w:rPr>
        <w:t>共享</w:t>
      </w:r>
      <w:r>
        <w:rPr>
          <w:rFonts w:hint="default" w:ascii="Times New Roman" w:hAnsi="Times New Roman" w:eastAsia="仿宋_GB2312" w:cs="Times New Roman"/>
          <w:sz w:val="32"/>
          <w:szCs w:val="32"/>
        </w:rPr>
        <w:t>。</w:t>
      </w:r>
    </w:p>
    <w:p w14:paraId="1282F8F2">
      <w:pPr>
        <w:keepNext w:val="0"/>
        <w:keepLines w:val="0"/>
        <w:pageBreakBefore w:val="0"/>
        <w:widowControl/>
        <w:kinsoku/>
        <w:wordWrap/>
        <w:overflowPunct/>
        <w:topLinePunct w:val="0"/>
        <w:autoSpaceDE w:val="0"/>
        <w:autoSpaceDN w:val="0"/>
        <w:bidi w:val="0"/>
        <w:adjustRightInd w:val="0"/>
        <w:snapToGrid w:val="0"/>
        <w:spacing w:line="560" w:lineRule="exact"/>
        <w:ind w:firstLine="645"/>
        <w:jc w:val="both"/>
        <w:textAlignment w:val="baseline"/>
        <w:rPr>
          <w:rFonts w:hint="default" w:ascii="Times New Roman" w:hAnsi="Times New Roman" w:eastAsia="仿宋_GB2312" w:cs="Times New Roman"/>
          <w:sz w:val="32"/>
          <w:szCs w:val="32"/>
          <w:lang w:val="en-US" w:eastAsia="zh-CN"/>
        </w:rPr>
      </w:pP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D2AF33-991D-4830-B6E9-A82A42E755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E43B79D1-8628-43A6-8843-644E2276DCDF}"/>
  </w:font>
  <w:font w:name="仿宋_GB2312">
    <w:panose1 w:val="02010609030101010101"/>
    <w:charset w:val="86"/>
    <w:family w:val="auto"/>
    <w:pitch w:val="default"/>
    <w:sig w:usb0="00000001" w:usb1="080E0000" w:usb2="00000000" w:usb3="00000000" w:csb0="00040000" w:csb1="00000000"/>
    <w:embedRegular r:id="rId3" w:fontKey="{6ED5E2F2-71EC-4EA3-8625-749BEC467C30}"/>
  </w:font>
  <w:font w:name="楷体_GB2312">
    <w:panose1 w:val="02010609030101010101"/>
    <w:charset w:val="86"/>
    <w:family w:val="modern"/>
    <w:pitch w:val="default"/>
    <w:sig w:usb0="00000001" w:usb1="080E0000" w:usb2="00000000" w:usb3="00000000" w:csb0="00040000" w:csb1="00000000"/>
    <w:embedRegular r:id="rId4" w:fontKey="{2FFBA4C3-F063-4A97-A314-0CC56CF2001B}"/>
  </w:font>
  <w:font w:name="仿宋">
    <w:panose1 w:val="02010609060101010101"/>
    <w:charset w:val="86"/>
    <w:family w:val="auto"/>
    <w:pitch w:val="default"/>
    <w:sig w:usb0="800002BF" w:usb1="38CF7CFA" w:usb2="00000016" w:usb3="00000000" w:csb0="00040001" w:csb1="00000000"/>
    <w:embedRegular r:id="rId5" w:fontKey="{940F9CB8-C4E2-489A-874D-AD5FC2189DDB}"/>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FKai-SB">
    <w:panose1 w:val="03000509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E7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FEF5AA">
                          <w:pPr>
                            <w:pStyle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DFEF5AA">
                    <w:pPr>
                      <w:pStyle w:val="2"/>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default" w:ascii="Times New Roman" w:hAnsi="Times New Roman" w:eastAsia="仿宋_GB2312"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34F78"/>
    <w:rsid w:val="06234F78"/>
    <w:rsid w:val="0BFB1422"/>
    <w:rsid w:val="115429F6"/>
    <w:rsid w:val="135A7EF5"/>
    <w:rsid w:val="2CFF7E3C"/>
    <w:rsid w:val="43EC6F2D"/>
    <w:rsid w:val="4A3F68EF"/>
    <w:rsid w:val="4ACE78CB"/>
    <w:rsid w:val="65B35060"/>
    <w:rsid w:val="6ED92845"/>
    <w:rsid w:val="74C66EA0"/>
    <w:rsid w:val="7AE45DCA"/>
    <w:rsid w:val="7C3C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4221</Words>
  <Characters>4411</Characters>
  <Lines>0</Lines>
  <Paragraphs>0</Paragraphs>
  <TotalTime>1</TotalTime>
  <ScaleCrop>false</ScaleCrop>
  <LinksUpToDate>false</LinksUpToDate>
  <CharactersWithSpaces>4432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2025-06-08T01:36:00Z</dcterms:created>
  <dc:creator>彤</dc:creator>
  <cp:lastModifiedBy>随心小语</cp:lastModifiedBy>
  <cp:lastPrinted>2025-06-09T07:31:00Z</cp:lastPrinted>
  <dcterms:modified xsi:type="dcterms:W3CDTF">2025-06-12T09:14:23Z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B9523B5124654ED18897AB56BB5B9F69_13</vt:lpwstr>
  </property>
  <property fmtid="{D5CDD505-2E9C-101B-9397-08002B2CF9AE}" pid="4" name="KSOTemplateDocerSaveRecord">
    <vt:lpwstr>eyJoZGlkIjoiNzdhODQzMWYxZjRiYWZiNDQ1YzdkYWJkNGNmYTZmZjQiLCJ1c2VySWQiOiIxMTU1MDg4MjYwIn0=</vt:lpwstr>
  </property>
</Properties>
</file>