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before="120" w:after="120" w:line="560" w:lineRule="exact"/>
        <w:ind w:right="-506"/>
        <w:jc w:val="left"/>
        <w:textAlignment w:val="auto"/>
        <w:rPr>
          <w:rFonts w:hint="eastAsia" w:ascii="黑体" w:hAnsi="黑体" w:eastAsia="黑体" w:cs="黑体"/>
          <w:bCs/>
          <w:color w:val="auto"/>
          <w:sz w:val="32"/>
          <w:szCs w:val="32"/>
          <w:highlight w:val="none"/>
          <w:lang w:val="en-US" w:eastAsia="zh-CN"/>
        </w:rPr>
      </w:pPr>
      <w:bookmarkStart w:id="1" w:name="_GoBack"/>
      <w:bookmarkEnd w:id="1"/>
      <w:r>
        <w:rPr>
          <w:rFonts w:hint="eastAsia" w:ascii="黑体" w:hAnsi="黑体" w:eastAsia="黑体" w:cs="黑体"/>
          <w:bCs/>
          <w:color w:val="auto"/>
          <w:sz w:val="32"/>
          <w:szCs w:val="32"/>
          <w:highlight w:val="none"/>
          <w:lang w:val="en-US" w:eastAsia="zh-CN"/>
        </w:rPr>
        <w:t>附件1</w:t>
      </w:r>
    </w:p>
    <w:p>
      <w:pPr>
        <w:keepNext w:val="0"/>
        <w:keepLines w:val="0"/>
        <w:pageBreakBefore w:val="0"/>
        <w:kinsoku/>
        <w:wordWrap/>
        <w:overflowPunct/>
        <w:topLinePunct w:val="0"/>
        <w:autoSpaceDE/>
        <w:autoSpaceDN/>
        <w:bidi w:val="0"/>
        <w:snapToGrid w:val="0"/>
        <w:spacing w:before="120" w:after="120" w:line="560" w:lineRule="exact"/>
        <w:ind w:left="-297" w:right="-506"/>
        <w:jc w:val="center"/>
        <w:textAlignment w:val="auto"/>
        <w:rPr>
          <w:rFonts w:hint="eastAsia" w:ascii="方正小标宋简体" w:hAnsi="黑体" w:eastAsia="方正小标宋简体" w:cs="黑体"/>
          <w:bCs/>
          <w:color w:val="auto"/>
          <w:sz w:val="48"/>
          <w:szCs w:val="48"/>
          <w:highlight w:val="none"/>
          <w:lang w:val="en-US" w:eastAsia="zh-CN"/>
        </w:rPr>
      </w:pPr>
    </w:p>
    <w:p>
      <w:pPr>
        <w:keepNext w:val="0"/>
        <w:keepLines w:val="0"/>
        <w:pageBreakBefore w:val="0"/>
        <w:kinsoku/>
        <w:wordWrap/>
        <w:overflowPunct/>
        <w:topLinePunct w:val="0"/>
        <w:autoSpaceDE/>
        <w:autoSpaceDN/>
        <w:bidi w:val="0"/>
        <w:snapToGrid w:val="0"/>
        <w:spacing w:before="120" w:after="120" w:line="560" w:lineRule="exact"/>
        <w:ind w:left="-297" w:right="-506"/>
        <w:jc w:val="center"/>
        <w:textAlignment w:val="auto"/>
        <w:rPr>
          <w:rFonts w:hint="eastAsia" w:ascii="方正小标宋简体" w:hAnsi="黑体" w:eastAsia="方正小标宋简体" w:cs="黑体"/>
          <w:bCs/>
          <w:color w:val="auto"/>
          <w:sz w:val="48"/>
          <w:szCs w:val="48"/>
          <w:highlight w:val="none"/>
        </w:rPr>
      </w:pPr>
      <w:r>
        <w:rPr>
          <w:rFonts w:hint="eastAsia" w:ascii="方正小标宋简体" w:hAnsi="黑体" w:eastAsia="方正小标宋简体" w:cs="黑体"/>
          <w:bCs/>
          <w:color w:val="auto"/>
          <w:sz w:val="48"/>
          <w:szCs w:val="48"/>
          <w:highlight w:val="none"/>
          <w:lang w:val="en-US" w:eastAsia="zh-CN"/>
        </w:rPr>
        <w:t>跨境电商活动补助事项申请表</w:t>
      </w:r>
    </w:p>
    <w:p>
      <w:pPr>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color w:val="auto"/>
          <w:sz w:val="32"/>
          <w:szCs w:val="32"/>
          <w:highlight w:val="none"/>
          <w:u w:val="single"/>
        </w:rPr>
      </w:pPr>
      <w:r>
        <w:rPr>
          <w:rFonts w:hint="eastAsia" w:ascii="仿宋_GB2312" w:hAnsi="仿宋_GB2312" w:eastAsia="仿宋_GB2312" w:cs="仿宋_GB2312"/>
          <w:color w:val="auto"/>
          <w:sz w:val="32"/>
          <w:szCs w:val="32"/>
          <w:highlight w:val="none"/>
        </w:rPr>
        <w:t xml:space="preserve">申报单位：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加盖公</w:t>
      </w:r>
      <w:r>
        <w:rPr>
          <w:rFonts w:hint="eastAsia" w:ascii="仿宋_GB2312" w:hAnsi="仿宋_GB2312" w:eastAsia="仿宋_GB2312" w:cs="仿宋_GB2312"/>
          <w:color w:val="auto"/>
          <w:sz w:val="32"/>
          <w:szCs w:val="32"/>
          <w:highlight w:val="none"/>
        </w:rPr>
        <w:t>章）</w:t>
      </w:r>
    </w:p>
    <w:p>
      <w:pPr>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法</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人：</w:t>
      </w:r>
    </w:p>
    <w:p>
      <w:pPr>
        <w:pStyle w:val="4"/>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p>
    <w:p>
      <w:pPr>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联系电话：</w:t>
      </w:r>
    </w:p>
    <w:p>
      <w:pPr>
        <w:pStyle w:val="4"/>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highlight w:val="none"/>
          <w:lang w:val="en-US" w:eastAsia="zh-CN"/>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 系 人：</w:t>
      </w:r>
    </w:p>
    <w:p>
      <w:pPr>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color w:val="auto"/>
          <w:sz w:val="32"/>
          <w:szCs w:val="32"/>
          <w:highlight w:val="none"/>
        </w:rPr>
        <w:t>联系电话：</w:t>
      </w:r>
    </w:p>
    <w:p>
      <w:pPr>
        <w:keepNext w:val="0"/>
        <w:keepLines w:val="0"/>
        <w:pageBreakBefore w:val="0"/>
        <w:kinsoku/>
        <w:wordWrap/>
        <w:overflowPunct/>
        <w:topLinePunct w:val="0"/>
        <w:autoSpaceDE/>
        <w:autoSpaceDN/>
        <w:bidi w:val="0"/>
        <w:snapToGrid w:val="0"/>
        <w:spacing w:line="560" w:lineRule="exact"/>
        <w:textAlignment w:val="auto"/>
        <w:rPr>
          <w:rFonts w:hint="eastAsia" w:ascii="仿宋_GB2312" w:hAnsi="仿宋_GB2312" w:eastAsia="仿宋_GB2312" w:cs="仿宋_GB2312"/>
          <w:bCs/>
          <w:color w:val="auto"/>
          <w:sz w:val="32"/>
          <w:szCs w:val="32"/>
          <w:highlight w:val="none"/>
          <w:u w:val="single"/>
        </w:rPr>
      </w:pPr>
    </w:p>
    <w:p>
      <w:pPr>
        <w:keepNext w:val="0"/>
        <w:keepLines w:val="0"/>
        <w:pageBreakBefore w:val="0"/>
        <w:kinsoku/>
        <w:wordWrap/>
        <w:overflowPunct/>
        <w:topLinePunct w:val="0"/>
        <w:autoSpaceDE/>
        <w:autoSpaceDN/>
        <w:bidi w:val="0"/>
        <w:snapToGrid w:val="0"/>
        <w:spacing w:line="560" w:lineRule="exact"/>
        <w:ind w:firstLine="1280" w:firstLineChars="4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电子邮箱：</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lang w:val="en-US" w:eastAsia="zh-CN"/>
        </w:rPr>
      </w:pPr>
    </w:p>
    <w:p>
      <w:pPr>
        <w:pStyle w:val="2"/>
        <w:rPr>
          <w:rFonts w:hint="default" w:ascii="Times New Roman" w:hAnsi="Times New Roman" w:eastAsia="方正小标宋简体" w:cs="Times New Roman"/>
          <w:color w:val="auto"/>
          <w:sz w:val="44"/>
          <w:szCs w:val="44"/>
          <w:highlight w:val="none"/>
          <w:lang w:val="en-US" w:eastAsia="zh-CN"/>
        </w:rPr>
      </w:pPr>
    </w:p>
    <w:p>
      <w:pPr>
        <w:rPr>
          <w:rFonts w:hint="default"/>
          <w:color w:val="auto"/>
          <w:lang w:val="en-US" w:eastAsia="zh-CN"/>
        </w:rPr>
      </w:pPr>
    </w:p>
    <w:p>
      <w:pPr>
        <w:pStyle w:val="2"/>
        <w:rPr>
          <w:rFonts w:hint="default" w:ascii="Times New Roman" w:hAnsi="Times New Roman" w:eastAsia="方正小标宋简体" w:cs="Times New Roman"/>
          <w:color w:val="auto"/>
          <w:sz w:val="44"/>
          <w:szCs w:val="44"/>
          <w:highlight w:val="none"/>
          <w:lang w:val="en-US" w:eastAsia="zh-CN"/>
        </w:rPr>
      </w:pPr>
    </w:p>
    <w:p>
      <w:pPr>
        <w:rPr>
          <w:rFonts w:hint="default" w:ascii="Times New Roman" w:hAnsi="Times New Roman" w:eastAsia="方正小标宋简体" w:cs="Times New Roman"/>
          <w:color w:val="auto"/>
          <w:sz w:val="44"/>
          <w:szCs w:val="44"/>
          <w:highlight w:val="none"/>
          <w:lang w:val="en-US" w:eastAsia="zh-CN"/>
        </w:rPr>
      </w:pPr>
    </w:p>
    <w:p>
      <w:pPr>
        <w:pStyle w:val="2"/>
        <w:rPr>
          <w:rFonts w:hint="default"/>
          <w:color w:val="auto"/>
          <w:highlight w:val="none"/>
          <w:lang w:val="en-US" w:eastAsia="zh-CN"/>
        </w:rPr>
      </w:pPr>
    </w:p>
    <w:p>
      <w:pPr>
        <w:rPr>
          <w:rFonts w:hint="default"/>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申请表</w:t>
      </w:r>
    </w:p>
    <w:tbl>
      <w:tblPr>
        <w:tblStyle w:val="11"/>
        <w:tblpPr w:leftFromText="180" w:rightFromText="180" w:vertAnchor="text" w:tblpX="10438" w:tblpY="-7193"/>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val="0"/>
            <w:vAlign w:val="top"/>
          </w:tcPr>
          <w:p>
            <w:pPr>
              <w:rPr>
                <w:rFonts w:hint="default" w:ascii="Times New Roman" w:hAnsi="Times New Roman" w:cs="Times New Roman"/>
                <w:color w:val="auto"/>
                <w:highlight w:val="none"/>
                <w:vertAlign w:val="baseline"/>
                <w:lang w:val="en-US" w:eastAsia="zh-CN"/>
              </w:rPr>
            </w:pPr>
          </w:p>
        </w:tc>
      </w:tr>
    </w:tbl>
    <w:tbl>
      <w:tblPr>
        <w:tblStyle w:val="11"/>
        <w:tblpPr w:leftFromText="180" w:rightFromText="180" w:vertAnchor="text" w:horzAnchor="page" w:tblpX="1082" w:tblpY="137"/>
        <w:tblOverlap w:val="never"/>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8"/>
        <w:gridCol w:w="6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920"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仿宋_GB2312" w:hAnsi="仿宋_GB2312" w:eastAsia="仿宋_GB2312" w:cs="仿宋_GB2312"/>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一、基本信息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单位名称</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lang w:val="en-US" w:eastAsia="zh-CN"/>
              </w:rPr>
              <w:t>统一社会信用代码</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注册时间</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注册地址</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银行账户名称</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开户银行</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3018"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开户银行账户</w:t>
            </w:r>
          </w:p>
        </w:tc>
        <w:tc>
          <w:tcPr>
            <w:tcW w:w="690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920"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宋体" w:hAnsi="宋体" w:eastAsia="宋体" w:cs="宋体"/>
                <w:color w:val="auto"/>
                <w:sz w:val="24"/>
                <w:szCs w:val="24"/>
                <w:highlight w:val="none"/>
                <w:u w:val="single"/>
                <w:vertAlign w:val="baseline"/>
                <w:lang w:val="en-US" w:eastAsia="zh-CN"/>
              </w:rPr>
            </w:pPr>
            <w:r>
              <w:rPr>
                <w:rFonts w:hint="eastAsia" w:ascii="黑体" w:hAnsi="黑体" w:eastAsia="黑体" w:cs="黑体"/>
                <w:color w:val="auto"/>
                <w:sz w:val="24"/>
                <w:szCs w:val="24"/>
                <w:highlight w:val="none"/>
                <w:vertAlign w:val="baseline"/>
                <w:lang w:val="en-US" w:eastAsia="zh-CN"/>
              </w:rPr>
              <w:t>二、申报专题：</w:t>
            </w:r>
            <w:r>
              <w:rPr>
                <w:rFonts w:hint="eastAsia" w:ascii="黑体" w:hAnsi="黑体" w:eastAsia="黑体" w:cs="黑体"/>
                <w:color w:val="auto"/>
                <w:sz w:val="24"/>
                <w:szCs w:val="24"/>
                <w:highlight w:val="none"/>
                <w:u w:val="single"/>
                <w:vertAlign w:val="baseline"/>
                <w:lang w:val="en-US" w:eastAsia="zh-CN"/>
              </w:rPr>
              <w:t xml:space="preserve">               </w:t>
            </w:r>
            <w:r>
              <w:rPr>
                <w:rFonts w:hint="eastAsia" w:ascii="黑体" w:hAnsi="黑体" w:eastAsia="黑体" w:cs="黑体"/>
                <w:color w:val="auto"/>
                <w:sz w:val="24"/>
                <w:szCs w:val="24"/>
                <w:highlight w:val="none"/>
                <w:u w:val="none"/>
                <w:vertAlign w:val="baseline"/>
                <w:lang w:val="en-US" w:eastAsia="zh-CN"/>
              </w:rPr>
              <w:t xml:space="preserve"> ，申报金额</w:t>
            </w:r>
            <w:r>
              <w:rPr>
                <w:rFonts w:hint="eastAsia" w:ascii="黑体" w:hAnsi="黑体" w:eastAsia="黑体" w:cs="黑体"/>
                <w:color w:val="auto"/>
                <w:sz w:val="24"/>
                <w:szCs w:val="24"/>
                <w:highlight w:val="none"/>
                <w:u w:val="single"/>
                <w:vertAlign w:val="baseline"/>
                <w:lang w:val="en-US" w:eastAsia="zh-CN"/>
              </w:rPr>
              <w:t xml:space="preserve">              </w:t>
            </w:r>
            <w:r>
              <w:rPr>
                <w:rFonts w:hint="eastAsia" w:ascii="黑体" w:hAnsi="黑体" w:eastAsia="黑体" w:cs="黑体"/>
                <w:color w:val="auto"/>
                <w:sz w:val="24"/>
                <w:szCs w:val="24"/>
                <w:highlight w:val="none"/>
                <w:u w:val="none"/>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920" w:type="dxa"/>
            <w:gridSpan w:val="2"/>
          </w:tcPr>
          <w:p>
            <w:pPr>
              <w:spacing w:line="560" w:lineRule="exact"/>
              <w:rPr>
                <w:rFonts w:hint="eastAsia" w:ascii="黑体" w:hAnsi="黑体" w:eastAsia="黑体" w:cs="黑体"/>
                <w:color w:val="auto"/>
                <w:sz w:val="24"/>
                <w:szCs w:val="24"/>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三、申报承诺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920" w:type="dxa"/>
            <w:gridSpan w:val="2"/>
          </w:tcPr>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Times New Roman" w:hAnsi="Times New Roman" w:eastAsia="宋体" w:cs="Times New Roman"/>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eastAsia="zh-CN"/>
              </w:rPr>
              <w:t>（一）</w:t>
            </w:r>
            <w:bookmarkStart w:id="0" w:name="OLE_LINK1"/>
            <w:r>
              <w:rPr>
                <w:rFonts w:hint="default" w:ascii="Times New Roman" w:hAnsi="Times New Roman" w:eastAsia="宋体" w:cs="Times New Roman"/>
                <w:color w:val="auto"/>
                <w:kern w:val="0"/>
                <w:sz w:val="24"/>
                <w:szCs w:val="24"/>
                <w:highlight w:val="none"/>
              </w:rPr>
              <w:t>本</w:t>
            </w:r>
            <w:r>
              <w:rPr>
                <w:rFonts w:hint="eastAsia" w:eastAsia="宋体" w:cs="Times New Roman"/>
                <w:color w:val="auto"/>
                <w:kern w:val="0"/>
                <w:sz w:val="24"/>
                <w:szCs w:val="24"/>
                <w:highlight w:val="none"/>
                <w:lang w:eastAsia="zh-CN"/>
              </w:rPr>
              <w:t>单位</w:t>
            </w:r>
            <w:bookmarkEnd w:id="0"/>
            <w:r>
              <w:rPr>
                <w:rFonts w:hint="eastAsia" w:eastAsia="宋体" w:cs="Times New Roman"/>
                <w:color w:val="auto"/>
                <w:kern w:val="0"/>
                <w:sz w:val="24"/>
                <w:szCs w:val="24"/>
                <w:highlight w:val="none"/>
                <w:lang w:eastAsia="zh-CN"/>
              </w:rPr>
              <w:t>已知悉跨境电商活动补助</w:t>
            </w:r>
            <w:r>
              <w:rPr>
                <w:rFonts w:hint="default" w:ascii="Times New Roman" w:hAnsi="Times New Roman" w:eastAsia="宋体" w:cs="Times New Roman"/>
                <w:color w:val="auto"/>
                <w:kern w:val="0"/>
                <w:sz w:val="24"/>
                <w:szCs w:val="24"/>
                <w:highlight w:val="none"/>
              </w:rPr>
              <w:t>事项</w:t>
            </w:r>
            <w:r>
              <w:rPr>
                <w:rFonts w:hint="eastAsia" w:eastAsia="宋体" w:cs="Times New Roman"/>
                <w:color w:val="auto"/>
                <w:kern w:val="0"/>
                <w:sz w:val="24"/>
                <w:szCs w:val="24"/>
                <w:highlight w:val="none"/>
                <w:lang w:eastAsia="zh-CN"/>
              </w:rPr>
              <w:t>的所有内容，并</w:t>
            </w:r>
            <w:r>
              <w:rPr>
                <w:rFonts w:hint="default" w:ascii="Times New Roman" w:hAnsi="Times New Roman" w:eastAsia="宋体" w:cs="Times New Roman"/>
                <w:color w:val="auto"/>
                <w:kern w:val="0"/>
                <w:sz w:val="24"/>
                <w:szCs w:val="24"/>
                <w:highlight w:val="none"/>
              </w:rPr>
              <w:t>自愿申报</w:t>
            </w:r>
            <w:r>
              <w:rPr>
                <w:rFonts w:hint="eastAsia" w:eastAsia="宋体" w:cs="Times New Roman"/>
                <w:color w:val="auto"/>
                <w:kern w:val="0"/>
                <w:sz w:val="24"/>
                <w:szCs w:val="24"/>
                <w:highlight w:val="none"/>
                <w:lang w:eastAsia="zh-CN"/>
              </w:rPr>
              <w:t>该事项</w:t>
            </w:r>
            <w:r>
              <w:rPr>
                <w:rFonts w:hint="default" w:ascii="Times New Roman" w:hAnsi="Times New Roman" w:eastAsia="宋体" w:cs="Times New Roman"/>
                <w:color w:val="auto"/>
                <w:kern w:val="0"/>
                <w:sz w:val="24"/>
                <w:szCs w:val="24"/>
                <w:highlight w:val="none"/>
              </w:rPr>
              <w:t>，承诺申报材料真实、合法、</w:t>
            </w:r>
            <w:r>
              <w:rPr>
                <w:rFonts w:hint="eastAsia" w:eastAsia="宋体" w:cs="Times New Roman"/>
                <w:color w:val="auto"/>
                <w:kern w:val="0"/>
                <w:sz w:val="24"/>
                <w:szCs w:val="24"/>
                <w:highlight w:val="none"/>
                <w:lang w:eastAsia="zh-CN"/>
              </w:rPr>
              <w:t>准确、完整、</w:t>
            </w:r>
            <w:r>
              <w:rPr>
                <w:rFonts w:hint="default" w:ascii="Times New Roman" w:hAnsi="Times New Roman" w:eastAsia="宋体" w:cs="Times New Roman"/>
                <w:color w:val="auto"/>
                <w:kern w:val="0"/>
                <w:sz w:val="24"/>
                <w:szCs w:val="24"/>
                <w:highlight w:val="none"/>
              </w:rPr>
              <w:t>有效，无涉密及敏感信息</w:t>
            </w:r>
            <w:r>
              <w:rPr>
                <w:rFonts w:hint="eastAsia"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如有虚假，愿意承担相关法律责任及由此产生的一切后果。</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eastAsia="zh-CN"/>
              </w:rPr>
              <w:t>（二）</w:t>
            </w:r>
            <w:r>
              <w:rPr>
                <w:rFonts w:hint="default" w:ascii="Times New Roman" w:hAnsi="Times New Roman" w:eastAsia="宋体" w:cs="Times New Roman"/>
                <w:color w:val="auto"/>
                <w:kern w:val="0"/>
                <w:sz w:val="24"/>
                <w:szCs w:val="24"/>
                <w:highlight w:val="none"/>
              </w:rPr>
              <w:t>本</w:t>
            </w:r>
            <w:r>
              <w:rPr>
                <w:rFonts w:hint="eastAsia" w:eastAsia="宋体" w:cs="Times New Roman"/>
                <w:color w:val="auto"/>
                <w:kern w:val="0"/>
                <w:sz w:val="24"/>
                <w:szCs w:val="24"/>
                <w:highlight w:val="none"/>
                <w:lang w:eastAsia="zh-CN"/>
              </w:rPr>
              <w:t>单位</w:t>
            </w:r>
            <w:r>
              <w:rPr>
                <w:rFonts w:hint="eastAsia" w:ascii="Times New Roman" w:hAnsi="Times New Roman" w:eastAsia="宋体" w:cs="Times New Roman"/>
                <w:color w:val="auto"/>
                <w:kern w:val="0"/>
                <w:sz w:val="24"/>
                <w:szCs w:val="24"/>
                <w:highlight w:val="none"/>
                <w:lang w:eastAsia="zh-CN"/>
              </w:rPr>
              <w:t>承诺</w:t>
            </w:r>
            <w:r>
              <w:rPr>
                <w:rFonts w:hint="default" w:ascii="Times New Roman" w:hAnsi="Times New Roman" w:eastAsia="宋体" w:cs="Times New Roman"/>
                <w:color w:val="auto"/>
                <w:kern w:val="0"/>
                <w:sz w:val="24"/>
                <w:szCs w:val="24"/>
                <w:highlight w:val="none"/>
                <w:lang w:eastAsia="zh-CN"/>
              </w:rPr>
              <w:t>未获得市</w:t>
            </w:r>
            <w:r>
              <w:rPr>
                <w:rFonts w:hint="eastAsia" w:ascii="Times New Roman" w:hAnsi="Times New Roman" w:eastAsia="宋体" w:cs="Times New Roman"/>
                <w:color w:val="auto"/>
                <w:kern w:val="0"/>
                <w:sz w:val="24"/>
                <w:szCs w:val="24"/>
                <w:highlight w:val="none"/>
                <w:lang w:eastAsia="zh-CN"/>
              </w:rPr>
              <w:t>、区</w:t>
            </w:r>
            <w:r>
              <w:rPr>
                <w:rFonts w:hint="eastAsia" w:eastAsia="宋体" w:cs="Times New Roman"/>
                <w:color w:val="auto"/>
                <w:kern w:val="0"/>
                <w:sz w:val="24"/>
                <w:szCs w:val="24"/>
                <w:highlight w:val="none"/>
                <w:lang w:eastAsia="zh-CN"/>
              </w:rPr>
              <w:t>同类</w:t>
            </w:r>
            <w:r>
              <w:rPr>
                <w:rFonts w:hint="default" w:ascii="Times New Roman" w:hAnsi="Times New Roman" w:eastAsia="宋体" w:cs="Times New Roman"/>
                <w:color w:val="auto"/>
                <w:kern w:val="0"/>
                <w:sz w:val="24"/>
                <w:szCs w:val="24"/>
                <w:highlight w:val="none"/>
                <w:lang w:eastAsia="zh-CN"/>
              </w:rPr>
              <w:t>财政资金支持</w:t>
            </w:r>
            <w:r>
              <w:rPr>
                <w:rFonts w:hint="default" w:ascii="Times New Roman" w:hAnsi="Times New Roman" w:eastAsia="宋体" w:cs="Times New Roman"/>
                <w:color w:val="auto"/>
                <w:kern w:val="0"/>
                <w:sz w:val="24"/>
                <w:szCs w:val="24"/>
                <w:highlight w:val="none"/>
              </w:rPr>
              <w:t>。</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eastAsia="zh-CN"/>
              </w:rPr>
              <w:t>（三）</w:t>
            </w:r>
            <w:r>
              <w:rPr>
                <w:rFonts w:hint="default" w:ascii="Times New Roman" w:hAnsi="Times New Roman" w:eastAsia="宋体" w:cs="Times New Roman"/>
                <w:color w:val="auto"/>
                <w:kern w:val="0"/>
                <w:sz w:val="24"/>
                <w:szCs w:val="24"/>
                <w:highlight w:val="none"/>
              </w:rPr>
              <w:t>本</w:t>
            </w:r>
            <w:r>
              <w:rPr>
                <w:rFonts w:hint="eastAsia" w:eastAsia="宋体" w:cs="Times New Roman"/>
                <w:color w:val="auto"/>
                <w:kern w:val="0"/>
                <w:sz w:val="24"/>
                <w:szCs w:val="24"/>
                <w:highlight w:val="none"/>
                <w:lang w:eastAsia="zh-CN"/>
              </w:rPr>
              <w:t>单位</w:t>
            </w:r>
            <w:r>
              <w:rPr>
                <w:rFonts w:hint="eastAsia" w:ascii="Times New Roman" w:hAnsi="Times New Roman" w:eastAsia="宋体" w:cs="Times New Roman"/>
                <w:color w:val="auto"/>
                <w:kern w:val="0"/>
                <w:sz w:val="24"/>
                <w:szCs w:val="24"/>
                <w:highlight w:val="none"/>
                <w:lang w:eastAsia="zh-CN"/>
              </w:rPr>
              <w:t>承诺</w:t>
            </w:r>
            <w:r>
              <w:rPr>
                <w:rFonts w:hint="eastAsia" w:ascii="Times New Roman" w:hAnsi="Times New Roman" w:eastAsia="宋体" w:cs="Times New Roman"/>
                <w:color w:val="auto"/>
                <w:kern w:val="0"/>
                <w:sz w:val="24"/>
                <w:szCs w:val="24"/>
                <w:highlight w:val="none"/>
                <w:lang w:val="en-US" w:eastAsia="zh-CN"/>
              </w:rPr>
              <w:t>未被列入联合惩戒失信黑名单</w:t>
            </w:r>
            <w:r>
              <w:rPr>
                <w:rFonts w:hint="eastAsia" w:eastAsia="宋体" w:cs="Times New Roman"/>
                <w:color w:val="auto"/>
                <w:kern w:val="0"/>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rPr>
              <w:t>未拖欠应交还财政资金</w:t>
            </w:r>
            <w:r>
              <w:rPr>
                <w:rFonts w:hint="eastAsia" w:eastAsia="宋体" w:cs="Times New Roman"/>
                <w:color w:val="auto"/>
                <w:kern w:val="0"/>
                <w:sz w:val="24"/>
                <w:szCs w:val="24"/>
                <w:highlight w:val="none"/>
                <w:lang w:val="en-US" w:eastAsia="zh-CN"/>
              </w:rPr>
              <w:t>。本企业</w:t>
            </w:r>
            <w:r>
              <w:rPr>
                <w:rFonts w:hint="eastAsia" w:ascii="Times New Roman" w:hAnsi="Times New Roman" w:eastAsia="宋体" w:cs="Times New Roman"/>
                <w:color w:val="auto"/>
                <w:kern w:val="0"/>
                <w:sz w:val="24"/>
                <w:szCs w:val="24"/>
                <w:highlight w:val="none"/>
                <w:lang w:val="en-US" w:eastAsia="zh-CN"/>
              </w:rPr>
              <w:t>不处于接受审计或纪检监察部门调查的阶段。</w:t>
            </w:r>
          </w:p>
          <w:p>
            <w:pPr>
              <w:pStyle w:val="4"/>
              <w:keepNext w:val="0"/>
              <w:keepLines w:val="0"/>
              <w:pageBreakBefore w:val="0"/>
              <w:kinsoku/>
              <w:wordWrap/>
              <w:overflowPunct/>
              <w:topLinePunct w:val="0"/>
              <w:autoSpaceDE/>
              <w:autoSpaceDN/>
              <w:bidi w:val="0"/>
              <w:adjustRightInd/>
              <w:spacing w:line="400" w:lineRule="exact"/>
              <w:ind w:left="0" w:leftChars="0" w:firstLine="480" w:firstLineChars="200"/>
              <w:textAlignment w:val="auto"/>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eastAsia="zh-CN"/>
              </w:rPr>
              <w:t>（四）</w:t>
            </w:r>
            <w:r>
              <w:rPr>
                <w:rFonts w:hint="default" w:ascii="Times New Roman" w:hAnsi="Times New Roman" w:eastAsia="宋体" w:cs="Times New Roman"/>
                <w:color w:val="auto"/>
                <w:kern w:val="0"/>
                <w:sz w:val="24"/>
                <w:szCs w:val="24"/>
                <w:highlight w:val="none"/>
              </w:rPr>
              <w:t>本</w:t>
            </w:r>
            <w:r>
              <w:rPr>
                <w:rFonts w:hint="eastAsia" w:eastAsia="宋体" w:cs="Times New Roman"/>
                <w:color w:val="auto"/>
                <w:kern w:val="0"/>
                <w:sz w:val="24"/>
                <w:szCs w:val="24"/>
                <w:highlight w:val="none"/>
                <w:lang w:eastAsia="zh-CN"/>
              </w:rPr>
              <w:t>单位</w:t>
            </w:r>
            <w:r>
              <w:rPr>
                <w:rFonts w:hint="default" w:ascii="Times New Roman" w:hAnsi="Times New Roman" w:eastAsia="宋体" w:cs="Times New Roman"/>
                <w:color w:val="auto"/>
                <w:kern w:val="0"/>
                <w:sz w:val="24"/>
                <w:szCs w:val="24"/>
                <w:highlight w:val="none"/>
              </w:rPr>
              <w:t>获得财政</w:t>
            </w:r>
            <w:r>
              <w:rPr>
                <w:rFonts w:hint="eastAsia" w:ascii="Times New Roman" w:hAnsi="Times New Roman" w:eastAsia="宋体" w:cs="Times New Roman"/>
                <w:color w:val="auto"/>
                <w:kern w:val="0"/>
                <w:sz w:val="24"/>
                <w:szCs w:val="24"/>
                <w:highlight w:val="none"/>
                <w:lang w:eastAsia="zh-CN"/>
              </w:rPr>
              <w:t>资金</w:t>
            </w:r>
            <w:r>
              <w:rPr>
                <w:rFonts w:hint="default" w:ascii="Times New Roman" w:hAnsi="Times New Roman" w:eastAsia="宋体" w:cs="Times New Roman"/>
                <w:color w:val="auto"/>
                <w:kern w:val="0"/>
                <w:sz w:val="24"/>
                <w:szCs w:val="24"/>
                <w:highlight w:val="none"/>
              </w:rPr>
              <w:t>支持后，配合商务部门、审计部门等有关部门开展现场检查、审计等工作</w:t>
            </w:r>
            <w:r>
              <w:rPr>
                <w:rFonts w:hint="eastAsia" w:ascii="Times New Roman" w:hAnsi="Times New Roman" w:eastAsia="宋体" w:cs="Times New Roman"/>
                <w:color w:val="auto"/>
                <w:kern w:val="0"/>
                <w:sz w:val="24"/>
                <w:szCs w:val="24"/>
                <w:highlight w:val="none"/>
                <w:lang w:eastAsia="zh-CN"/>
              </w:rPr>
              <w:t>。若上级部门</w:t>
            </w:r>
            <w:r>
              <w:rPr>
                <w:rFonts w:hint="eastAsia" w:eastAsia="宋体" w:cs="Times New Roman"/>
                <w:color w:val="auto"/>
                <w:kern w:val="0"/>
                <w:sz w:val="24"/>
                <w:szCs w:val="24"/>
                <w:highlight w:val="none"/>
                <w:lang w:eastAsia="zh-CN"/>
              </w:rPr>
              <w:t>开展资金</w:t>
            </w:r>
            <w:r>
              <w:rPr>
                <w:rFonts w:hint="eastAsia" w:ascii="Times New Roman" w:hAnsi="Times New Roman" w:eastAsia="宋体" w:cs="Times New Roman"/>
                <w:color w:val="auto"/>
                <w:kern w:val="0"/>
                <w:sz w:val="24"/>
                <w:szCs w:val="24"/>
                <w:highlight w:val="none"/>
                <w:lang w:eastAsia="zh-CN"/>
              </w:rPr>
              <w:t>清算，则以上级部门清算意见为准</w:t>
            </w:r>
            <w:r>
              <w:rPr>
                <w:rFonts w:hint="eastAsia" w:eastAsia="宋体" w:cs="Times New Roman"/>
                <w:color w:val="auto"/>
                <w:kern w:val="0"/>
                <w:sz w:val="24"/>
                <w:szCs w:val="24"/>
                <w:highlight w:val="none"/>
                <w:lang w:eastAsia="zh-CN"/>
              </w:rPr>
              <w:t>，</w:t>
            </w:r>
            <w:r>
              <w:rPr>
                <w:rFonts w:hint="eastAsia" w:ascii="Times New Roman" w:hAnsi="Times New Roman" w:eastAsia="宋体" w:cs="Times New Roman"/>
                <w:color w:val="auto"/>
                <w:kern w:val="0"/>
                <w:sz w:val="24"/>
                <w:szCs w:val="24"/>
                <w:highlight w:val="none"/>
                <w:lang w:eastAsia="zh-CN"/>
              </w:rPr>
              <w:t>本企业</w:t>
            </w:r>
            <w:r>
              <w:rPr>
                <w:rFonts w:hint="eastAsia" w:eastAsia="宋体" w:cs="Times New Roman"/>
                <w:color w:val="auto"/>
                <w:kern w:val="0"/>
                <w:sz w:val="24"/>
                <w:szCs w:val="24"/>
                <w:highlight w:val="none"/>
                <w:lang w:eastAsia="zh-CN"/>
              </w:rPr>
              <w:t>积极</w:t>
            </w:r>
            <w:r>
              <w:rPr>
                <w:rFonts w:hint="eastAsia" w:ascii="Times New Roman" w:hAnsi="Times New Roman" w:eastAsia="宋体" w:cs="Times New Roman"/>
                <w:color w:val="auto"/>
                <w:kern w:val="0"/>
                <w:sz w:val="24"/>
                <w:szCs w:val="24"/>
                <w:highlight w:val="none"/>
                <w:lang w:eastAsia="zh-CN"/>
              </w:rPr>
              <w:t>配合</w:t>
            </w:r>
            <w:r>
              <w:rPr>
                <w:rFonts w:hint="eastAsia" w:eastAsia="宋体" w:cs="Times New Roman"/>
                <w:color w:val="auto"/>
                <w:kern w:val="0"/>
                <w:sz w:val="24"/>
                <w:szCs w:val="24"/>
                <w:highlight w:val="none"/>
                <w:lang w:eastAsia="zh-CN"/>
              </w:rPr>
              <w:t>相关资金清算和整改工作</w:t>
            </w:r>
            <w:r>
              <w:rPr>
                <w:rFonts w:hint="eastAsia"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 xml:space="preserve">  </w:t>
            </w:r>
          </w:p>
          <w:p>
            <w:pPr>
              <w:pStyle w:val="4"/>
              <w:keepNext w:val="0"/>
              <w:keepLines w:val="0"/>
              <w:pageBreakBefore w:val="0"/>
              <w:kinsoku/>
              <w:wordWrap/>
              <w:overflowPunct/>
              <w:topLinePunct w:val="0"/>
              <w:autoSpaceDE/>
              <w:autoSpaceDN/>
              <w:bidi w:val="0"/>
              <w:adjustRightInd/>
              <w:spacing w:line="400" w:lineRule="exact"/>
              <w:ind w:left="0" w:leftChars="0" w:firstLine="0" w:firstLineChars="0"/>
              <w:textAlignment w:val="auto"/>
              <w:rPr>
                <w:rFonts w:hint="eastAsia" w:ascii="Times New Roman" w:hAnsi="Times New Roman" w:eastAsia="宋体" w:cs="Times New Roman"/>
                <w:color w:val="auto"/>
                <w:kern w:val="0"/>
                <w:sz w:val="24"/>
                <w:szCs w:val="24"/>
                <w:highlight w:val="none"/>
                <w:lang w:eastAsia="zh-CN"/>
              </w:rPr>
            </w:pPr>
          </w:p>
          <w:p>
            <w:pPr>
              <w:pStyle w:val="4"/>
              <w:keepNext w:val="0"/>
              <w:keepLines w:val="0"/>
              <w:pageBreakBefore w:val="0"/>
              <w:kinsoku/>
              <w:wordWrap/>
              <w:overflowPunct/>
              <w:topLinePunct w:val="0"/>
              <w:autoSpaceDE/>
              <w:autoSpaceDN/>
              <w:bidi w:val="0"/>
              <w:adjustRightInd/>
              <w:spacing w:line="400" w:lineRule="exact"/>
              <w:ind w:left="0" w:leftChars="0" w:firstLine="0" w:firstLineChars="0"/>
              <w:textAlignment w:val="auto"/>
              <w:rPr>
                <w:rFonts w:hint="eastAsia" w:ascii="Times New Roman" w:hAnsi="Times New Roman" w:eastAsia="宋体" w:cs="Times New Roman"/>
                <w:color w:val="auto"/>
                <w:kern w:val="0"/>
                <w:sz w:val="24"/>
                <w:szCs w:val="24"/>
                <w:highlight w:val="none"/>
                <w:lang w:eastAsia="zh-CN"/>
              </w:rPr>
            </w:pPr>
          </w:p>
          <w:p>
            <w:pPr>
              <w:pStyle w:val="4"/>
              <w:keepNext w:val="0"/>
              <w:keepLines w:val="0"/>
              <w:pageBreakBefore w:val="0"/>
              <w:kinsoku/>
              <w:wordWrap/>
              <w:overflowPunct/>
              <w:topLinePunct w:val="0"/>
              <w:autoSpaceDE/>
              <w:autoSpaceDN/>
              <w:bidi w:val="0"/>
              <w:adjustRightInd/>
              <w:spacing w:line="400" w:lineRule="exact"/>
              <w:ind w:left="0" w:leftChars="0" w:firstLine="0" w:firstLineChars="0"/>
              <w:textAlignment w:val="auto"/>
              <w:rPr>
                <w:rFonts w:hint="eastAsia" w:ascii="Times New Roman" w:hAnsi="Times New Roman" w:eastAsia="宋体" w:cs="Times New Roman"/>
                <w:color w:val="auto"/>
                <w:kern w:val="0"/>
                <w:sz w:val="24"/>
                <w:szCs w:val="24"/>
                <w:highlight w:val="none"/>
                <w:lang w:eastAsia="zh-CN"/>
              </w:rPr>
            </w:pPr>
          </w:p>
          <w:p>
            <w:pPr>
              <w:pStyle w:val="4"/>
              <w:keepNext w:val="0"/>
              <w:keepLines w:val="0"/>
              <w:pageBreakBefore w:val="0"/>
              <w:kinsoku/>
              <w:wordWrap/>
              <w:overflowPunct/>
              <w:topLinePunct w:val="0"/>
              <w:autoSpaceDE/>
              <w:autoSpaceDN/>
              <w:bidi w:val="0"/>
              <w:adjustRightInd/>
              <w:spacing w:line="400" w:lineRule="exact"/>
              <w:ind w:left="0" w:leftChars="0" w:firstLine="0" w:firstLine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法定代表人签字：</w:t>
            </w:r>
            <w:r>
              <w:rPr>
                <w:rFonts w:hint="eastAsia" w:asciiTheme="minorEastAsia" w:hAnsiTheme="minorEastAsia" w:eastAsiaTheme="minorEastAsia" w:cstheme="minorEastAsia"/>
                <w:color w:val="auto"/>
                <w:sz w:val="24"/>
                <w:szCs w:val="24"/>
                <w:highlight w:val="none"/>
                <w:lang w:val="en-US" w:eastAsia="zh-CN"/>
              </w:rPr>
              <w:t xml:space="preserve">                               申报</w:t>
            </w:r>
            <w:r>
              <w:rPr>
                <w:rFonts w:hint="eastAsia" w:asciiTheme="minorEastAsia" w:hAnsiTheme="minorEastAsia" w:eastAsiaTheme="minorEastAsia" w:cstheme="minorEastAsia"/>
                <w:color w:val="auto"/>
                <w:sz w:val="24"/>
                <w:szCs w:val="24"/>
                <w:highlight w:val="none"/>
                <w:lang w:eastAsia="zh-CN"/>
              </w:rPr>
              <w:t>企业名称（</w:t>
            </w:r>
            <w:r>
              <w:rPr>
                <w:rFonts w:hint="eastAsia" w:asciiTheme="minorEastAsia" w:hAnsiTheme="minorEastAsia" w:eastAsiaTheme="minorEastAsia" w:cstheme="minorEastAsia"/>
                <w:color w:val="auto"/>
                <w:sz w:val="24"/>
                <w:szCs w:val="24"/>
                <w:highlight w:val="none"/>
                <w:lang w:val="en-US" w:eastAsia="zh-CN"/>
              </w:rPr>
              <w:t>公</w:t>
            </w:r>
            <w:r>
              <w:rPr>
                <w:rFonts w:hint="eastAsia" w:asciiTheme="minorEastAsia" w:hAnsiTheme="minorEastAsia" w:eastAsiaTheme="minorEastAsia" w:cstheme="minorEastAsia"/>
                <w:color w:val="auto"/>
                <w:sz w:val="24"/>
                <w:szCs w:val="24"/>
                <w:highlight w:val="none"/>
                <w:lang w:eastAsia="zh-CN"/>
              </w:rPr>
              <w:t>章）：</w:t>
            </w:r>
          </w:p>
          <w:p>
            <w:pPr>
              <w:keepNext w:val="0"/>
              <w:keepLines w:val="0"/>
              <w:pageBreakBefore w:val="0"/>
              <w:kinsoku/>
              <w:wordWrap/>
              <w:overflowPunct/>
              <w:topLinePunct w:val="0"/>
              <w:autoSpaceDE/>
              <w:autoSpaceDN/>
              <w:bidi w:val="0"/>
              <w:snapToGrid w:val="0"/>
              <w:spacing w:line="560" w:lineRule="exact"/>
              <w:textAlignment w:val="auto"/>
              <w:rPr>
                <w:rFonts w:hint="eastAsia" w:ascii="黑体" w:hAnsi="黑体" w:eastAsia="黑体" w:cs="黑体"/>
                <w:color w:val="auto"/>
                <w:sz w:val="28"/>
                <w:szCs w:val="28"/>
                <w:highlight w:val="none"/>
                <w:vertAlign w:val="baseline"/>
                <w:lang w:val="en-US" w:eastAsia="zh-CN"/>
              </w:rPr>
            </w:pPr>
          </w:p>
        </w:tc>
      </w:tr>
    </w:tbl>
    <w:p>
      <w:pPr>
        <w:rPr>
          <w:rFonts w:hint="eastAsia"/>
          <w:color w:val="auto"/>
          <w:highlight w:val="none"/>
          <w:lang w:eastAsia="zh-CN"/>
        </w:rPr>
      </w:pPr>
    </w:p>
    <w:p>
      <w:pPr>
        <w:rPr>
          <w:rFonts w:hint="eastAsia"/>
          <w:color w:val="auto"/>
          <w:highlight w:val="none"/>
          <w:lang w:eastAsia="zh-CN"/>
        </w:rPr>
        <w:sectPr>
          <w:footerReference r:id="rId3" w:type="default"/>
          <w:pgSz w:w="11906" w:h="16838"/>
          <w:pgMar w:top="1440" w:right="1803" w:bottom="1440" w:left="1803" w:header="851" w:footer="992" w:gutter="0"/>
          <w:pgNumType w:fmt="decimal"/>
          <w:cols w:space="0" w:num="1"/>
          <w:rtlGutter w:val="0"/>
          <w:docGrid w:type="lines" w:linePitch="319" w:charSpace="0"/>
        </w:sectPr>
      </w:pPr>
    </w:p>
    <w:p>
      <w:pPr>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eastAsia="zh-CN"/>
        </w:rPr>
        <w:t>附件</w:t>
      </w:r>
      <w:r>
        <w:rPr>
          <w:rFonts w:hint="eastAsia" w:ascii="黑体" w:hAnsi="黑体" w:eastAsia="黑体" w:cs="黑体"/>
          <w:color w:val="auto"/>
          <w:highlight w:val="none"/>
          <w:lang w:val="en-US" w:eastAsia="zh-CN"/>
        </w:rPr>
        <w:t>2</w:t>
      </w:r>
    </w:p>
    <w:p>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方正小标宋简体" w:hAnsi="方正小标宋简体" w:eastAsia="方正小标宋简体" w:cs="方正小标宋简体"/>
          <w:color w:val="auto"/>
          <w:spacing w:val="7"/>
          <w:sz w:val="36"/>
          <w:szCs w:val="36"/>
          <w:highlight w:val="none"/>
          <w:lang w:val="en-US" w:eastAsia="zh-CN"/>
        </w:rPr>
      </w:pPr>
      <w:r>
        <w:rPr>
          <w:rFonts w:hint="eastAsia" w:ascii="方正小标宋简体" w:hAnsi="方正小标宋简体" w:eastAsia="方正小标宋简体" w:cs="方正小标宋简体"/>
          <w:color w:val="auto"/>
          <w:spacing w:val="7"/>
          <w:sz w:val="36"/>
          <w:szCs w:val="36"/>
          <w:highlight w:val="none"/>
          <w:lang w:val="en-US" w:eastAsia="zh-CN"/>
        </w:rPr>
        <w:t>活动费用汇总表（单位：元）</w:t>
      </w:r>
    </w:p>
    <w:p>
      <w:pPr>
        <w:pStyle w:val="2"/>
        <w:rPr>
          <w:rFonts w:hint="eastAsia"/>
          <w:color w:val="auto"/>
          <w:highlight w:val="none"/>
          <w:lang w:val="en-US" w:eastAsia="zh-CN"/>
        </w:rPr>
      </w:pPr>
    </w:p>
    <w:tbl>
      <w:tblPr>
        <w:tblStyle w:val="10"/>
        <w:tblW w:w="13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63"/>
        <w:gridCol w:w="2472"/>
        <w:gridCol w:w="1648"/>
        <w:gridCol w:w="1823"/>
        <w:gridCol w:w="1823"/>
        <w:gridCol w:w="2831"/>
        <w:gridCol w:w="1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17"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序号</w:t>
            </w:r>
          </w:p>
        </w:tc>
        <w:tc>
          <w:tcPr>
            <w:tcW w:w="24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费用类型（</w:t>
            </w:r>
            <w:r>
              <w:rPr>
                <w:rFonts w:hint="eastAsia" w:ascii="宋体" w:hAnsi="宋体" w:eastAsia="宋体" w:cs="宋体"/>
                <w:b w:val="0"/>
                <w:bCs/>
                <w:i w:val="0"/>
                <w:color w:val="auto"/>
                <w:kern w:val="0"/>
                <w:sz w:val="24"/>
                <w:szCs w:val="24"/>
                <w:highlight w:val="none"/>
                <w:u w:val="none"/>
                <w:lang w:val="en-US" w:eastAsia="zh-CN" w:bidi="ar"/>
              </w:rPr>
              <w:t>活动</w:t>
            </w:r>
            <w:r>
              <w:rPr>
                <w:rFonts w:hint="default" w:ascii="宋体" w:hAnsi="宋体" w:eastAsia="宋体" w:cs="宋体"/>
                <w:b w:val="0"/>
                <w:bCs/>
                <w:i w:val="0"/>
                <w:color w:val="auto"/>
                <w:kern w:val="0"/>
                <w:sz w:val="24"/>
                <w:szCs w:val="24"/>
                <w:highlight w:val="none"/>
                <w:u w:val="none"/>
                <w:lang w:val="en-US" w:eastAsia="zh-CN" w:bidi="ar"/>
              </w:rPr>
              <w:t>场地费、媒体宣传费、</w:t>
            </w:r>
            <w:r>
              <w:rPr>
                <w:rFonts w:hint="eastAsia" w:ascii="宋体" w:hAnsi="宋体" w:eastAsia="宋体" w:cs="宋体"/>
                <w:b w:val="0"/>
                <w:bCs/>
                <w:i w:val="0"/>
                <w:color w:val="auto"/>
                <w:kern w:val="0"/>
                <w:sz w:val="24"/>
                <w:szCs w:val="24"/>
                <w:highlight w:val="none"/>
                <w:u w:val="none"/>
                <w:lang w:val="en-US" w:eastAsia="zh-CN" w:bidi="ar"/>
              </w:rPr>
              <w:t>策划费、</w:t>
            </w:r>
            <w:r>
              <w:rPr>
                <w:rFonts w:hint="default" w:ascii="宋体" w:hAnsi="宋体" w:eastAsia="宋体" w:cs="宋体"/>
                <w:b w:val="0"/>
                <w:bCs/>
                <w:i w:val="0"/>
                <w:color w:val="auto"/>
                <w:kern w:val="0"/>
                <w:sz w:val="24"/>
                <w:szCs w:val="24"/>
                <w:highlight w:val="none"/>
                <w:u w:val="none"/>
                <w:lang w:val="en-US" w:eastAsia="zh-CN" w:bidi="ar"/>
              </w:rPr>
              <w:t>宣传物料设计制作费、</w:t>
            </w:r>
            <w:r>
              <w:rPr>
                <w:rFonts w:hint="eastAsia" w:ascii="宋体" w:hAnsi="宋体" w:eastAsia="宋体" w:cs="宋体"/>
                <w:b w:val="0"/>
                <w:bCs/>
                <w:i w:val="0"/>
                <w:color w:val="auto"/>
                <w:kern w:val="0"/>
                <w:sz w:val="24"/>
                <w:szCs w:val="24"/>
                <w:highlight w:val="none"/>
                <w:u w:val="none"/>
                <w:lang w:val="en-US" w:eastAsia="zh-CN" w:bidi="ar"/>
              </w:rPr>
              <w:t>设备费</w:t>
            </w:r>
            <w:r>
              <w:rPr>
                <w:rFonts w:hint="eastAsia" w:ascii="宋体" w:hAnsi="宋体" w:eastAsia="宋体" w:cs="宋体"/>
                <w:b/>
                <w:i w:val="0"/>
                <w:color w:val="auto"/>
                <w:kern w:val="0"/>
                <w:sz w:val="24"/>
                <w:szCs w:val="24"/>
                <w:highlight w:val="none"/>
                <w:u w:val="none"/>
                <w:lang w:val="en-US" w:eastAsia="zh-CN" w:bidi="ar"/>
              </w:rPr>
              <w:t>）</w:t>
            </w:r>
          </w:p>
        </w:tc>
        <w:tc>
          <w:tcPr>
            <w:tcW w:w="164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银行付汇凭证号</w:t>
            </w:r>
          </w:p>
        </w:tc>
        <w:tc>
          <w:tcPr>
            <w:tcW w:w="1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发票日期</w:t>
            </w:r>
          </w:p>
        </w:tc>
        <w:tc>
          <w:tcPr>
            <w:tcW w:w="1823"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24"/>
                <w:szCs w:val="24"/>
                <w:highlight w:val="none"/>
                <w:u w:val="none"/>
                <w:lang w:val="en-US" w:eastAsia="zh-CN" w:bidi="ar"/>
              </w:rPr>
              <w:t>发票内容</w:t>
            </w:r>
          </w:p>
        </w:tc>
        <w:tc>
          <w:tcPr>
            <w:tcW w:w="283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lang w:eastAsia="zh-CN"/>
              </w:rPr>
            </w:pPr>
            <w:r>
              <w:rPr>
                <w:rFonts w:hint="eastAsia" w:ascii="宋体" w:hAnsi="宋体" w:eastAsia="宋体" w:cs="宋体"/>
                <w:b/>
                <w:i w:val="0"/>
                <w:color w:val="auto"/>
                <w:kern w:val="0"/>
                <w:sz w:val="24"/>
                <w:szCs w:val="24"/>
                <w:highlight w:val="none"/>
                <w:u w:val="none"/>
                <w:lang w:val="en-US" w:eastAsia="zh-CN" w:bidi="ar"/>
              </w:rPr>
              <w:t>发票金额</w:t>
            </w:r>
            <w:r>
              <w:rPr>
                <w:rFonts w:hint="eastAsia" w:ascii="宋体" w:hAnsi="宋体" w:eastAsia="宋体" w:cs="宋体"/>
                <w:b/>
                <w:i w:val="0"/>
                <w:color w:val="auto"/>
                <w:kern w:val="0"/>
                <w:sz w:val="24"/>
                <w:szCs w:val="24"/>
                <w:highlight w:val="none"/>
                <w:u w:val="none"/>
                <w:lang w:val="en-US" w:eastAsia="zh-CN" w:bidi="ar"/>
              </w:rPr>
              <w:br w:type="textWrapping"/>
            </w:r>
            <w:r>
              <w:rPr>
                <w:rFonts w:hint="eastAsia" w:ascii="宋体" w:hAnsi="宋体" w:eastAsia="宋体" w:cs="宋体"/>
                <w:b/>
                <w:i w:val="0"/>
                <w:color w:val="auto"/>
                <w:kern w:val="0"/>
                <w:sz w:val="24"/>
                <w:szCs w:val="24"/>
                <w:highlight w:val="none"/>
                <w:u w:val="none"/>
                <w:lang w:val="en-US" w:eastAsia="zh-CN" w:bidi="ar"/>
              </w:rPr>
              <w:t>（含税）</w:t>
            </w:r>
          </w:p>
        </w:tc>
        <w:tc>
          <w:tcPr>
            <w:tcW w:w="18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0" w:hRule="atLeast"/>
        </w:trPr>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23"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3" w:hRule="atLeast"/>
        </w:trPr>
        <w:tc>
          <w:tcPr>
            <w:tcW w:w="912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auto"/>
                <w:sz w:val="24"/>
                <w:szCs w:val="24"/>
                <w:highlight w:val="none"/>
                <w:u w:val="none"/>
                <w:lang w:eastAsia="zh-CN"/>
              </w:rPr>
            </w:pPr>
            <w:r>
              <w:rPr>
                <w:rFonts w:hint="eastAsia" w:ascii="宋体" w:hAnsi="宋体" w:eastAsia="宋体" w:cs="宋体"/>
                <w:b/>
                <w:bCs/>
                <w:i w:val="0"/>
                <w:color w:val="auto"/>
                <w:sz w:val="24"/>
                <w:szCs w:val="24"/>
                <w:highlight w:val="none"/>
                <w:u w:val="none"/>
                <w:lang w:eastAsia="zh-CN"/>
              </w:rPr>
              <w:t>汇总（元）</w:t>
            </w:r>
          </w:p>
        </w:tc>
        <w:tc>
          <w:tcPr>
            <w:tcW w:w="283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auto"/>
                <w:sz w:val="24"/>
                <w:szCs w:val="24"/>
                <w:highlight w:val="none"/>
                <w:u w:val="none"/>
              </w:rPr>
            </w:pPr>
          </w:p>
        </w:tc>
      </w:tr>
    </w:tbl>
    <w:p>
      <w:pPr>
        <w:rPr>
          <w:rFonts w:hint="default"/>
          <w:color w:val="auto"/>
          <w:highlight w:val="none"/>
          <w:lang w:val="en-US" w:eastAsia="zh-CN"/>
        </w:rPr>
        <w:sectPr>
          <w:pgSz w:w="16838" w:h="11906" w:orient="landscape"/>
          <w:pgMar w:top="1803" w:right="1440" w:bottom="1803" w:left="1440" w:header="851" w:footer="992" w:gutter="0"/>
          <w:pgNumType w:fmt="decimal"/>
          <w:cols w:space="0" w:num="1"/>
          <w:rtlGutter w:val="0"/>
          <w:docGrid w:type="lines" w:linePitch="319" w:charSpace="0"/>
        </w:sectPr>
      </w:pPr>
    </w:p>
    <w:p>
      <w:pPr>
        <w:rPr>
          <w:rFonts w:hint="default" w:ascii="黑体" w:hAnsi="黑体" w:eastAsia="黑体" w:cs="黑体"/>
          <w:color w:val="auto"/>
          <w:highlight w:val="none"/>
          <w:lang w:val="en-US" w:eastAsia="zh-CN"/>
        </w:rPr>
      </w:pPr>
      <w:r>
        <w:rPr>
          <w:rFonts w:hint="eastAsia" w:ascii="黑体" w:hAnsi="黑体" w:eastAsia="黑体" w:cs="黑体"/>
          <w:color w:val="auto"/>
          <w:highlight w:val="none"/>
          <w:lang w:eastAsia="zh-CN"/>
        </w:rPr>
        <w:t>附件</w:t>
      </w:r>
      <w:r>
        <w:rPr>
          <w:rFonts w:hint="eastAsia" w:ascii="黑体" w:hAnsi="黑体" w:eastAsia="黑体" w:cs="黑体"/>
          <w:color w:val="auto"/>
          <w:highlight w:val="none"/>
          <w:lang w:val="en-US" w:eastAsia="zh-CN"/>
        </w:rPr>
        <w:t>3</w:t>
      </w:r>
    </w:p>
    <w:p>
      <w:pPr>
        <w:pStyle w:val="2"/>
        <w:rPr>
          <w:rFonts w:hint="eastAsia"/>
          <w:color w:val="auto"/>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eastAsia="zh-CN"/>
        </w:rPr>
      </w:pPr>
      <w:r>
        <w:rPr>
          <w:rFonts w:ascii="Times New Roman" w:hAnsi="Times New Roman"/>
          <w:color w:val="auto"/>
          <w:highlight w:val="none"/>
        </w:rPr>
        <w:drawing>
          <wp:anchor distT="0" distB="0" distL="114300" distR="114300" simplePos="0" relativeHeight="251659264" behindDoc="0" locked="0" layoutInCell="1" allowOverlap="1">
            <wp:simplePos x="0" y="0"/>
            <wp:positionH relativeFrom="column">
              <wp:posOffset>-236855</wp:posOffset>
            </wp:positionH>
            <wp:positionV relativeFrom="paragraph">
              <wp:posOffset>-100330</wp:posOffset>
            </wp:positionV>
            <wp:extent cx="5676265" cy="5984875"/>
            <wp:effectExtent l="0" t="0" r="8255" b="444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676265" cy="5984875"/>
                    </a:xfrm>
                    <a:prstGeom prst="rect">
                      <a:avLst/>
                    </a:prstGeom>
                    <a:noFill/>
                    <a:ln>
                      <a:noFill/>
                    </a:ln>
                  </pic:spPr>
                </pic:pic>
              </a:graphicData>
            </a:graphic>
          </wp:anchor>
        </w:drawing>
      </w:r>
    </w:p>
    <w:sectPr>
      <w:footerReference r:id="rId4" w:type="default"/>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5</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6"/>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5</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8</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8</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7D5048"/>
    <w:rsid w:val="00DF30A8"/>
    <w:rsid w:val="01C82BDC"/>
    <w:rsid w:val="03084073"/>
    <w:rsid w:val="036E7C29"/>
    <w:rsid w:val="03B808EC"/>
    <w:rsid w:val="03D158E2"/>
    <w:rsid w:val="045C6740"/>
    <w:rsid w:val="04C744F8"/>
    <w:rsid w:val="04D60D35"/>
    <w:rsid w:val="053119D3"/>
    <w:rsid w:val="05383447"/>
    <w:rsid w:val="057645F3"/>
    <w:rsid w:val="05E55B02"/>
    <w:rsid w:val="068C404F"/>
    <w:rsid w:val="06AF030E"/>
    <w:rsid w:val="07B27F18"/>
    <w:rsid w:val="09000D68"/>
    <w:rsid w:val="0917550F"/>
    <w:rsid w:val="0A01497E"/>
    <w:rsid w:val="0B264EC5"/>
    <w:rsid w:val="0B772E37"/>
    <w:rsid w:val="0BDA3A07"/>
    <w:rsid w:val="0C0D4BAF"/>
    <w:rsid w:val="0D096312"/>
    <w:rsid w:val="0D8C49D2"/>
    <w:rsid w:val="0E4624C4"/>
    <w:rsid w:val="0E7845EE"/>
    <w:rsid w:val="0ECD1B57"/>
    <w:rsid w:val="0F0808F9"/>
    <w:rsid w:val="0F685BED"/>
    <w:rsid w:val="0F7208FA"/>
    <w:rsid w:val="0F9D03B4"/>
    <w:rsid w:val="10157E5D"/>
    <w:rsid w:val="113B0CED"/>
    <w:rsid w:val="1174765E"/>
    <w:rsid w:val="12186659"/>
    <w:rsid w:val="122E2513"/>
    <w:rsid w:val="12E452D0"/>
    <w:rsid w:val="132062DF"/>
    <w:rsid w:val="132C3A7E"/>
    <w:rsid w:val="139D2DD9"/>
    <w:rsid w:val="13E32D07"/>
    <w:rsid w:val="13F16E85"/>
    <w:rsid w:val="14825021"/>
    <w:rsid w:val="14973F99"/>
    <w:rsid w:val="14C22C0F"/>
    <w:rsid w:val="14C5497C"/>
    <w:rsid w:val="14F45718"/>
    <w:rsid w:val="15F449C4"/>
    <w:rsid w:val="16D20FA7"/>
    <w:rsid w:val="17121EF6"/>
    <w:rsid w:val="1828226A"/>
    <w:rsid w:val="18615458"/>
    <w:rsid w:val="18EF1EC4"/>
    <w:rsid w:val="1A1019DF"/>
    <w:rsid w:val="1ABD3348"/>
    <w:rsid w:val="1AE77026"/>
    <w:rsid w:val="1B9A2479"/>
    <w:rsid w:val="1BD20640"/>
    <w:rsid w:val="1BDD637C"/>
    <w:rsid w:val="1C341D19"/>
    <w:rsid w:val="1C347716"/>
    <w:rsid w:val="1DC6558F"/>
    <w:rsid w:val="1DD801BB"/>
    <w:rsid w:val="1DE64877"/>
    <w:rsid w:val="1EAF047E"/>
    <w:rsid w:val="1EB07E53"/>
    <w:rsid w:val="1F800B86"/>
    <w:rsid w:val="1FA16E5A"/>
    <w:rsid w:val="20760E25"/>
    <w:rsid w:val="20D01769"/>
    <w:rsid w:val="20D74E4A"/>
    <w:rsid w:val="20D767FC"/>
    <w:rsid w:val="221960C2"/>
    <w:rsid w:val="2245697B"/>
    <w:rsid w:val="225E0EB2"/>
    <w:rsid w:val="2366556E"/>
    <w:rsid w:val="23984264"/>
    <w:rsid w:val="23A40687"/>
    <w:rsid w:val="23C440AF"/>
    <w:rsid w:val="23F64E10"/>
    <w:rsid w:val="24591ED2"/>
    <w:rsid w:val="24F52289"/>
    <w:rsid w:val="250D3031"/>
    <w:rsid w:val="25165C32"/>
    <w:rsid w:val="2568292A"/>
    <w:rsid w:val="25A40E92"/>
    <w:rsid w:val="25DC7B47"/>
    <w:rsid w:val="26103F96"/>
    <w:rsid w:val="26231E21"/>
    <w:rsid w:val="26567F3E"/>
    <w:rsid w:val="266714CB"/>
    <w:rsid w:val="269B385E"/>
    <w:rsid w:val="271422A2"/>
    <w:rsid w:val="2728100B"/>
    <w:rsid w:val="2779212A"/>
    <w:rsid w:val="283320F5"/>
    <w:rsid w:val="284C3130"/>
    <w:rsid w:val="284E5A8B"/>
    <w:rsid w:val="29AB300D"/>
    <w:rsid w:val="2B281DE2"/>
    <w:rsid w:val="2B935B35"/>
    <w:rsid w:val="2C1E3487"/>
    <w:rsid w:val="2C694333"/>
    <w:rsid w:val="2C992F04"/>
    <w:rsid w:val="2CD927D7"/>
    <w:rsid w:val="2D4F478F"/>
    <w:rsid w:val="2E675B7A"/>
    <w:rsid w:val="2E835A9A"/>
    <w:rsid w:val="2EB40A01"/>
    <w:rsid w:val="2EF46BE4"/>
    <w:rsid w:val="2FAB7F1A"/>
    <w:rsid w:val="303055E4"/>
    <w:rsid w:val="304D2674"/>
    <w:rsid w:val="30BA75A1"/>
    <w:rsid w:val="30EF0F2F"/>
    <w:rsid w:val="31944939"/>
    <w:rsid w:val="32BC3287"/>
    <w:rsid w:val="32C10E98"/>
    <w:rsid w:val="33E107B1"/>
    <w:rsid w:val="33FF3595"/>
    <w:rsid w:val="34010D8E"/>
    <w:rsid w:val="34C659B0"/>
    <w:rsid w:val="34E00E0E"/>
    <w:rsid w:val="355004F3"/>
    <w:rsid w:val="360A1837"/>
    <w:rsid w:val="361B5DC1"/>
    <w:rsid w:val="36985D7C"/>
    <w:rsid w:val="375D1FA0"/>
    <w:rsid w:val="376B758B"/>
    <w:rsid w:val="37A11206"/>
    <w:rsid w:val="38313D09"/>
    <w:rsid w:val="38875CFE"/>
    <w:rsid w:val="396253B4"/>
    <w:rsid w:val="39E87691"/>
    <w:rsid w:val="39FC537B"/>
    <w:rsid w:val="3A231834"/>
    <w:rsid w:val="3AA65523"/>
    <w:rsid w:val="3AA75DD9"/>
    <w:rsid w:val="3B1230A6"/>
    <w:rsid w:val="3B6E22E2"/>
    <w:rsid w:val="3B8A01FB"/>
    <w:rsid w:val="3B956951"/>
    <w:rsid w:val="3C400143"/>
    <w:rsid w:val="3C703045"/>
    <w:rsid w:val="3CA52D12"/>
    <w:rsid w:val="3CDD36A0"/>
    <w:rsid w:val="3CDD700A"/>
    <w:rsid w:val="3D3A494D"/>
    <w:rsid w:val="3D732790"/>
    <w:rsid w:val="3E137937"/>
    <w:rsid w:val="3E691DC4"/>
    <w:rsid w:val="3EEF32D7"/>
    <w:rsid w:val="40385ADC"/>
    <w:rsid w:val="41E27D68"/>
    <w:rsid w:val="41E37AFC"/>
    <w:rsid w:val="42273796"/>
    <w:rsid w:val="42731664"/>
    <w:rsid w:val="429C2DDA"/>
    <w:rsid w:val="42A476CB"/>
    <w:rsid w:val="42C351A4"/>
    <w:rsid w:val="42EF6C91"/>
    <w:rsid w:val="43225713"/>
    <w:rsid w:val="43482542"/>
    <w:rsid w:val="437C1BC9"/>
    <w:rsid w:val="43D936AB"/>
    <w:rsid w:val="443A62C1"/>
    <w:rsid w:val="445507AC"/>
    <w:rsid w:val="44B95BE6"/>
    <w:rsid w:val="44E44DC8"/>
    <w:rsid w:val="457E7423"/>
    <w:rsid w:val="45C41648"/>
    <w:rsid w:val="47D204C9"/>
    <w:rsid w:val="488149DC"/>
    <w:rsid w:val="48F46AF6"/>
    <w:rsid w:val="49D24516"/>
    <w:rsid w:val="4A267589"/>
    <w:rsid w:val="4A8574DD"/>
    <w:rsid w:val="4B5CC8A2"/>
    <w:rsid w:val="4B7B5D80"/>
    <w:rsid w:val="4BBD26C8"/>
    <w:rsid w:val="4BFF2AFA"/>
    <w:rsid w:val="4C1E22F2"/>
    <w:rsid w:val="4C393462"/>
    <w:rsid w:val="4C524952"/>
    <w:rsid w:val="4C944BD3"/>
    <w:rsid w:val="4CD34E55"/>
    <w:rsid w:val="4CE1426B"/>
    <w:rsid w:val="4DF422CC"/>
    <w:rsid w:val="4EF43404"/>
    <w:rsid w:val="4EFB2F64"/>
    <w:rsid w:val="4FD66DF8"/>
    <w:rsid w:val="4FFA3AB9"/>
    <w:rsid w:val="50360AE3"/>
    <w:rsid w:val="50627901"/>
    <w:rsid w:val="50F86735"/>
    <w:rsid w:val="525A47B5"/>
    <w:rsid w:val="528C759D"/>
    <w:rsid w:val="53580C54"/>
    <w:rsid w:val="540E6470"/>
    <w:rsid w:val="542E541F"/>
    <w:rsid w:val="5451332B"/>
    <w:rsid w:val="5546349D"/>
    <w:rsid w:val="556A579B"/>
    <w:rsid w:val="56F11CB4"/>
    <w:rsid w:val="575C44BD"/>
    <w:rsid w:val="57E86B89"/>
    <w:rsid w:val="581B1C7C"/>
    <w:rsid w:val="58402F14"/>
    <w:rsid w:val="58B511AF"/>
    <w:rsid w:val="596A58FA"/>
    <w:rsid w:val="59B868EA"/>
    <w:rsid w:val="5A641BBF"/>
    <w:rsid w:val="5A843E79"/>
    <w:rsid w:val="5B0325FC"/>
    <w:rsid w:val="5B764C65"/>
    <w:rsid w:val="5B904D56"/>
    <w:rsid w:val="5B9B4367"/>
    <w:rsid w:val="5CB618B2"/>
    <w:rsid w:val="5CBC1452"/>
    <w:rsid w:val="5E8D5C9E"/>
    <w:rsid w:val="5F3B3D95"/>
    <w:rsid w:val="6018013E"/>
    <w:rsid w:val="60236A5A"/>
    <w:rsid w:val="613C4CA2"/>
    <w:rsid w:val="618C16F2"/>
    <w:rsid w:val="61E9451B"/>
    <w:rsid w:val="63362621"/>
    <w:rsid w:val="633E2563"/>
    <w:rsid w:val="6377258D"/>
    <w:rsid w:val="63D51617"/>
    <w:rsid w:val="63DFB174"/>
    <w:rsid w:val="644F5C5E"/>
    <w:rsid w:val="645F5B71"/>
    <w:rsid w:val="648318A6"/>
    <w:rsid w:val="64C43BDB"/>
    <w:rsid w:val="65132BFD"/>
    <w:rsid w:val="65B4616C"/>
    <w:rsid w:val="663053DD"/>
    <w:rsid w:val="67812CDD"/>
    <w:rsid w:val="67FADF99"/>
    <w:rsid w:val="683126ED"/>
    <w:rsid w:val="68404C02"/>
    <w:rsid w:val="686D64AA"/>
    <w:rsid w:val="68727968"/>
    <w:rsid w:val="691D7C84"/>
    <w:rsid w:val="69357087"/>
    <w:rsid w:val="69ED5D07"/>
    <w:rsid w:val="6A8049AB"/>
    <w:rsid w:val="6AEF52A0"/>
    <w:rsid w:val="6B41090F"/>
    <w:rsid w:val="6B507726"/>
    <w:rsid w:val="6BBA2254"/>
    <w:rsid w:val="6C551417"/>
    <w:rsid w:val="6C7D422F"/>
    <w:rsid w:val="6CBE67E7"/>
    <w:rsid w:val="6DE5261D"/>
    <w:rsid w:val="6EC4573E"/>
    <w:rsid w:val="6F0A291C"/>
    <w:rsid w:val="6F367873"/>
    <w:rsid w:val="6F8E3551"/>
    <w:rsid w:val="6F9D106B"/>
    <w:rsid w:val="70CC2351"/>
    <w:rsid w:val="710812B7"/>
    <w:rsid w:val="71BE0CCA"/>
    <w:rsid w:val="71DF6EB1"/>
    <w:rsid w:val="723D56DA"/>
    <w:rsid w:val="72D76698"/>
    <w:rsid w:val="72EB1AD1"/>
    <w:rsid w:val="72FA7564"/>
    <w:rsid w:val="73A361F2"/>
    <w:rsid w:val="748951FD"/>
    <w:rsid w:val="749476CA"/>
    <w:rsid w:val="74C96F85"/>
    <w:rsid w:val="74D035FC"/>
    <w:rsid w:val="74E54932"/>
    <w:rsid w:val="750621BA"/>
    <w:rsid w:val="75286BE4"/>
    <w:rsid w:val="756B1EA2"/>
    <w:rsid w:val="757E5A4A"/>
    <w:rsid w:val="75A61306"/>
    <w:rsid w:val="75DB2715"/>
    <w:rsid w:val="76625AF4"/>
    <w:rsid w:val="77B513E6"/>
    <w:rsid w:val="78FD1A99"/>
    <w:rsid w:val="79A77ECB"/>
    <w:rsid w:val="79B3383F"/>
    <w:rsid w:val="7A380D15"/>
    <w:rsid w:val="7CA47060"/>
    <w:rsid w:val="7D61214B"/>
    <w:rsid w:val="7DBE2B0F"/>
    <w:rsid w:val="7E197B65"/>
    <w:rsid w:val="7E6F004B"/>
    <w:rsid w:val="7EA26991"/>
    <w:rsid w:val="7EAD6AC9"/>
    <w:rsid w:val="7F343772"/>
    <w:rsid w:val="7F6DBC84"/>
    <w:rsid w:val="7F847D4B"/>
    <w:rsid w:val="7FB3DA08"/>
    <w:rsid w:val="7FC83025"/>
    <w:rsid w:val="7FE928ED"/>
    <w:rsid w:val="B7DF4BF2"/>
    <w:rsid w:val="D2F5B94C"/>
    <w:rsid w:val="EB733DD9"/>
    <w:rsid w:val="F9FF6A7D"/>
    <w:rsid w:val="FD7D5048"/>
    <w:rsid w:val="FE5CECEB"/>
    <w:rsid w:val="FE5ED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paragraph" w:styleId="3">
    <w:name w:val="heading 3"/>
    <w:basedOn w:val="1"/>
    <w:next w:val="1"/>
    <w:qFormat/>
    <w:uiPriority w:val="0"/>
    <w:pPr>
      <w:keepNext/>
      <w:keepLines/>
      <w:spacing w:before="260" w:after="260" w:line="416" w:lineRule="auto"/>
      <w:outlineLvl w:val="2"/>
    </w:pPr>
    <w:rPr>
      <w:rFonts w:ascii="Times New Roman" w:hAnsi="Times New Roman"/>
      <w:b/>
      <w:bCs/>
      <w:sz w:val="32"/>
      <w:szCs w:val="32"/>
    </w:rPr>
  </w:style>
  <w:style w:type="character" w:default="1" w:styleId="12">
    <w:name w:val="Default Paragraph Font"/>
    <w:link w:val="13"/>
    <w:semiHidden/>
    <w:qFormat/>
    <w:uiPriority w:val="0"/>
    <w:rPr>
      <w:rFonts w:eastAsia="仿宋_GB2312" w:asciiTheme="minorHAnsi" w:hAnsiTheme="minorHAnsi" w:cstheme="minorBidi"/>
      <w:kern w:val="2"/>
      <w:sz w:val="24"/>
      <w:szCs w:val="24"/>
      <w:lang w:val="en-US" w:eastAsia="zh-CN" w:bidi="ar-SA"/>
    </w:rPr>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40" w:line="276" w:lineRule="auto"/>
    </w:pPr>
    <w:rPr>
      <w:rFonts w:ascii="Calibri" w:hAnsi="Calibri" w:eastAsia="宋体" w:cs="Times New Roman"/>
      <w:sz w:val="21"/>
      <w:szCs w:val="24"/>
    </w:rPr>
  </w:style>
  <w:style w:type="paragraph" w:styleId="4">
    <w:name w:val="Normal Indent"/>
    <w:basedOn w:val="1"/>
    <w:unhideWhenUsed/>
    <w:qFormat/>
    <w:uiPriority w:val="99"/>
    <w:pPr>
      <w:ind w:firstLine="420" w:firstLineChars="200"/>
    </w:pPr>
    <w:rPr>
      <w:rFonts w:ascii="Calibri" w:hAnsi="Calibri" w:eastAsia="宋体" w:cs="Times New Roman"/>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keepNext w:val="0"/>
      <w:keepLines w:val="0"/>
      <w:widowControl/>
      <w:suppressLineNumbers w:val="0"/>
      <w:spacing w:before="0" w:beforeAutospacing="1" w:after="0" w:afterAutospacing="1"/>
      <w:jc w:val="left"/>
    </w:pPr>
    <w:rPr>
      <w:rFonts w:hint="eastAsia" w:ascii="宋体" w:hAnsi="宋体" w:eastAsia="宋体" w:cs="宋体"/>
      <w:kern w:val="0"/>
      <w:sz w:val="24"/>
      <w:szCs w:val="24"/>
      <w:lang w:val="en-US" w:eastAsia="zh-CN" w:bidi="ar"/>
    </w:rPr>
  </w:style>
  <w:style w:type="paragraph" w:styleId="9">
    <w:name w:val="Body Text First Indent 2"/>
    <w:basedOn w:val="1"/>
    <w:qFormat/>
    <w:uiPriority w:val="0"/>
    <w:pPr>
      <w:spacing w:after="120"/>
      <w:ind w:left="420" w:leftChars="200" w:firstLine="42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 Char Char Char Char Char Char Char Char Char Char Char"/>
    <w:link w:val="12"/>
    <w:qFormat/>
    <w:uiPriority w:val="0"/>
    <w:pPr>
      <w:widowControl w:val="0"/>
      <w:spacing w:line="300" w:lineRule="auto"/>
      <w:ind w:firstLine="480" w:firstLineChars="200"/>
      <w:jc w:val="both"/>
    </w:pPr>
    <w:rPr>
      <w:rFonts w:eastAsia="仿宋_GB2312" w:asciiTheme="minorHAnsi" w:hAnsiTheme="minorHAnsi" w:cstheme="minorBidi"/>
      <w:kern w:val="2"/>
      <w:sz w:val="24"/>
      <w:szCs w:val="24"/>
      <w:lang w:val="en-US" w:eastAsia="zh-CN" w:bidi="ar-SA"/>
    </w:rPr>
  </w:style>
  <w:style w:type="character" w:styleId="14">
    <w:name w:val="Hyperlink"/>
    <w:basedOn w:val="12"/>
    <w:qFormat/>
    <w:uiPriority w:val="0"/>
    <w:rPr>
      <w:color w:val="0000FF"/>
      <w:u w:val="single"/>
    </w:rPr>
  </w:style>
  <w:style w:type="character" w:customStyle="1" w:styleId="15">
    <w:name w:val="font11"/>
    <w:qFormat/>
    <w:uiPriority w:val="0"/>
    <w:rPr>
      <w:rFonts w:hint="eastAsia" w:ascii="宋体" w:hAnsi="宋体" w:eastAsia="宋体" w:cs="宋体"/>
      <w:b/>
      <w:color w:val="000000"/>
      <w:sz w:val="24"/>
      <w:szCs w:val="24"/>
      <w:u w:val="none"/>
    </w:rPr>
  </w:style>
  <w:style w:type="character" w:customStyle="1" w:styleId="16">
    <w:name w:val="font01"/>
    <w:basedOn w:val="12"/>
    <w:qFormat/>
    <w:uiPriority w:val="0"/>
    <w:rPr>
      <w:rFonts w:hint="eastAsia" w:ascii="宋体" w:hAnsi="宋体" w:eastAsia="宋体" w:cs="宋体"/>
      <w:color w:val="000000"/>
      <w:sz w:val="20"/>
      <w:szCs w:val="20"/>
      <w:u w:val="none"/>
    </w:rPr>
  </w:style>
  <w:style w:type="paragraph" w:customStyle="1" w:styleId="17">
    <w:name w:val="正文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2024-08-10T22:05:00Z</dcterms:created>
  <dc:creator>姚志康</dc:creator>
  <cp:lastModifiedBy>H</cp:lastModifiedBy>
  <dcterms:modified xsi:type="dcterms:W3CDTF">2025-08-21T08:10:16Z</dcterms:modified>
  <dc:title>广州市商务局关于印发市级外贸稳增长资金支持外贸骨干企业发展事项（2024年上半年）申报指南的通知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