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343F4">
      <w:pPr>
        <w:pStyle w:val="3"/>
        <w:keepNext w:val="0"/>
        <w:keepLines w:val="0"/>
        <w:pageBreakBefore w:val="0"/>
        <w:widowControl w:val="0"/>
        <w:kinsoku/>
        <w:wordWrap/>
        <w:overflowPunct/>
        <w:topLinePunct w:val="0"/>
        <w:autoSpaceDE/>
        <w:autoSpaceDN/>
        <w:bidi w:val="0"/>
        <w:spacing w:line="570" w:lineRule="exact"/>
        <w:jc w:val="both"/>
        <w:textAlignment w:val="auto"/>
        <w:rPr>
          <w:rFonts w:hint="eastAsia" w:ascii="黑体" w:hAnsi="黑体" w:eastAsia="黑体" w:cs="黑体"/>
          <w:color w:val="auto"/>
          <w:spacing w:val="0"/>
          <w:kern w:val="2"/>
          <w:sz w:val="32"/>
          <w:szCs w:val="32"/>
          <w:highlight w:val="none"/>
          <w:lang w:val="en-US" w:eastAsia="zh-CN" w:bidi="ar-SA"/>
        </w:rPr>
      </w:pPr>
      <w:r>
        <w:rPr>
          <w:rFonts w:hint="eastAsia" w:ascii="黑体" w:hAnsi="黑体" w:eastAsia="黑体" w:cs="黑体"/>
          <w:color w:val="auto"/>
          <w:spacing w:val="0"/>
          <w:kern w:val="2"/>
          <w:sz w:val="32"/>
          <w:szCs w:val="32"/>
          <w:highlight w:val="none"/>
          <w:lang w:val="en-US" w:eastAsia="zh-CN" w:bidi="ar-SA"/>
        </w:rPr>
        <w:t>附件</w:t>
      </w:r>
    </w:p>
    <w:p w14:paraId="11F117B5">
      <w:pPr>
        <w:keepNext w:val="0"/>
        <w:keepLines w:val="0"/>
        <w:pageBreakBefore w:val="0"/>
        <w:widowControl w:val="0"/>
        <w:kinsoku/>
        <w:wordWrap/>
        <w:overflowPunct/>
        <w:topLinePunct w:val="0"/>
        <w:autoSpaceDN/>
        <w:bidi w:val="0"/>
        <w:spacing w:line="570" w:lineRule="exact"/>
        <w:textAlignment w:val="auto"/>
        <w:rPr>
          <w:rFonts w:hint="eastAsia" w:ascii="仿宋_GB2312" w:hAnsi="仿宋_GB2312" w:eastAsia="仿宋_GB2312" w:cs="仿宋_GB2312"/>
          <w:color w:val="auto"/>
          <w:spacing w:val="0"/>
          <w:lang w:val="en-US" w:eastAsia="zh-CN"/>
        </w:rPr>
      </w:pPr>
    </w:p>
    <w:p w14:paraId="4231572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val="en-US" w:eastAsia="zh-CN"/>
        </w:rPr>
        <w:t>广州市增城区创建全国义务教育优质均衡</w:t>
      </w:r>
    </w:p>
    <w:p w14:paraId="36716B5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val="en-US" w:eastAsia="zh-CN"/>
        </w:rPr>
        <w:t>发展区自评报告</w:t>
      </w:r>
    </w:p>
    <w:p w14:paraId="75D579B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highlight w:val="none"/>
          <w:shd w:val="clear" w:color="auto" w:fill="FFFFFF"/>
          <w:lang w:val="en-US" w:eastAsia="zh-CN"/>
        </w:rPr>
      </w:pPr>
    </w:p>
    <w:p w14:paraId="6DC2FC7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color w:val="auto"/>
          <w:spacing w:val="0"/>
          <w:kern w:val="2"/>
          <w:sz w:val="32"/>
          <w:szCs w:val="32"/>
          <w:highlight w:val="none"/>
          <w:shd w:val="clear" w:color="auto" w:fill="FFFFFF"/>
          <w:lang w:val="en-US" w:eastAsia="zh-CN"/>
        </w:rPr>
      </w:pPr>
      <w:r>
        <w:rPr>
          <w:rFonts w:hint="eastAsia" w:ascii="仿宋_GB2312" w:hAnsi="仿宋_GB2312" w:eastAsia="仿宋_GB2312" w:cs="仿宋_GB2312"/>
          <w:color w:val="auto"/>
          <w:spacing w:val="0"/>
          <w:kern w:val="2"/>
          <w:sz w:val="32"/>
          <w:szCs w:val="32"/>
          <w:highlight w:val="none"/>
          <w:shd w:val="clear" w:color="auto" w:fill="FFFFFF"/>
          <w:lang w:val="en-US" w:eastAsia="zh-CN"/>
        </w:rPr>
        <w:t>增城区是广州市市辖区，位于广东省中东部、广州市东部，面积</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1616</w:t>
      </w:r>
      <w:r>
        <w:rPr>
          <w:rFonts w:hint="eastAsia" w:ascii="仿宋_GB2312" w:hAnsi="仿宋_GB2312" w:eastAsia="仿宋_GB2312" w:cs="仿宋_GB2312"/>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47</w:t>
      </w:r>
      <w:r>
        <w:rPr>
          <w:rFonts w:hint="eastAsia" w:ascii="仿宋_GB2312" w:hAnsi="仿宋_GB2312" w:eastAsia="仿宋_GB2312" w:cs="仿宋_GB2312"/>
          <w:color w:val="auto"/>
          <w:spacing w:val="0"/>
          <w:kern w:val="2"/>
          <w:sz w:val="32"/>
          <w:szCs w:val="32"/>
          <w:highlight w:val="none"/>
          <w:shd w:val="clear" w:color="auto" w:fill="FFFFFF"/>
          <w:lang w:val="en-US" w:eastAsia="zh-CN"/>
        </w:rPr>
        <w:t>平方公里，下辖</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color w:val="auto"/>
          <w:spacing w:val="0"/>
          <w:kern w:val="2"/>
          <w:sz w:val="32"/>
          <w:szCs w:val="32"/>
          <w:highlight w:val="none"/>
          <w:shd w:val="clear" w:color="auto" w:fill="FFFFFF"/>
          <w:lang w:val="en-US" w:eastAsia="zh-CN"/>
        </w:rPr>
        <w:t>个镇</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color w:val="auto"/>
          <w:spacing w:val="0"/>
          <w:kern w:val="2"/>
          <w:sz w:val="32"/>
          <w:szCs w:val="32"/>
          <w:highlight w:val="none"/>
          <w:shd w:val="clear" w:color="auto" w:fill="FFFFFF"/>
          <w:lang w:val="en-US" w:eastAsia="zh-CN"/>
        </w:rPr>
        <w:t>个街道，</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285</w:t>
      </w:r>
      <w:r>
        <w:rPr>
          <w:rFonts w:hint="eastAsia" w:ascii="仿宋_GB2312" w:hAnsi="仿宋_GB2312" w:eastAsia="仿宋_GB2312" w:cs="仿宋_GB2312"/>
          <w:color w:val="auto"/>
          <w:spacing w:val="0"/>
          <w:kern w:val="2"/>
          <w:sz w:val="32"/>
          <w:szCs w:val="32"/>
          <w:highlight w:val="none"/>
          <w:shd w:val="clear" w:color="auto" w:fill="FFFFFF"/>
          <w:lang w:val="en-US" w:eastAsia="zh-CN"/>
        </w:rPr>
        <w:t>个行政村和</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85</w:t>
      </w:r>
      <w:r>
        <w:rPr>
          <w:rFonts w:hint="eastAsia" w:ascii="仿宋_GB2312" w:hAnsi="仿宋_GB2312" w:eastAsia="仿宋_GB2312" w:cs="仿宋_GB2312"/>
          <w:color w:val="auto"/>
          <w:spacing w:val="0"/>
          <w:kern w:val="2"/>
          <w:sz w:val="32"/>
          <w:szCs w:val="32"/>
          <w:highlight w:val="none"/>
          <w:shd w:val="clear" w:color="auto" w:fill="FFFFFF"/>
          <w:lang w:val="en-US" w:eastAsia="zh-CN"/>
        </w:rPr>
        <w:t>个居委会，全区户籍人口</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114</w:t>
      </w:r>
      <w:r>
        <w:rPr>
          <w:rFonts w:hint="eastAsia" w:ascii="仿宋_GB2312" w:hAnsi="仿宋_GB2312" w:eastAsia="仿宋_GB2312" w:cs="仿宋_GB2312"/>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46</w:t>
      </w:r>
      <w:r>
        <w:rPr>
          <w:rFonts w:hint="eastAsia" w:ascii="仿宋_GB2312" w:hAnsi="仿宋_GB2312" w:eastAsia="仿宋_GB2312" w:cs="仿宋_GB2312"/>
          <w:color w:val="auto"/>
          <w:spacing w:val="0"/>
          <w:kern w:val="2"/>
          <w:sz w:val="32"/>
          <w:szCs w:val="32"/>
          <w:highlight w:val="none"/>
          <w:shd w:val="clear" w:color="auto" w:fill="FFFFFF"/>
          <w:lang w:val="en-US" w:eastAsia="zh-CN"/>
        </w:rPr>
        <w:t>万人，常住人口</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159</w:t>
      </w:r>
      <w:r>
        <w:rPr>
          <w:rFonts w:hint="eastAsia" w:ascii="仿宋_GB2312" w:hAnsi="仿宋_GB2312" w:eastAsia="仿宋_GB2312" w:cs="仿宋_GB2312"/>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97</w:t>
      </w:r>
      <w:r>
        <w:rPr>
          <w:rFonts w:hint="eastAsia" w:ascii="仿宋_GB2312" w:hAnsi="仿宋_GB2312" w:eastAsia="仿宋_GB2312" w:cs="仿宋_GB2312"/>
          <w:color w:val="auto"/>
          <w:spacing w:val="0"/>
          <w:kern w:val="2"/>
          <w:sz w:val="32"/>
          <w:szCs w:val="32"/>
          <w:highlight w:val="none"/>
          <w:shd w:val="clear" w:color="auto" w:fill="FFFFFF"/>
          <w:lang w:val="en-US" w:eastAsia="zh-CN"/>
        </w:rPr>
        <w:t>万人。拥有一个国家级经济技术开发区以及全国第五个国家级侨商产业聚集区“侨梦苑”，是全国城乡融合发展试验区，全国著名的荔枝之乡、丝苗米之乡、牛仔服装名城、新兴的汽车产业基地和生态旅游示范区。</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color w:val="auto"/>
          <w:spacing w:val="0"/>
          <w:kern w:val="2"/>
          <w:sz w:val="32"/>
          <w:szCs w:val="32"/>
          <w:highlight w:val="none"/>
          <w:shd w:val="clear" w:color="auto" w:fill="FFFFFF"/>
          <w:lang w:val="en-US" w:eastAsia="zh-CN"/>
        </w:rPr>
        <w:t>年，增城区全年实现地区生产总值</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1412</w:t>
      </w:r>
      <w:r>
        <w:rPr>
          <w:rFonts w:hint="eastAsia" w:ascii="仿宋_GB2312" w:hAnsi="仿宋_GB2312" w:eastAsia="仿宋_GB2312" w:cs="仿宋_GB2312"/>
          <w:color w:val="auto"/>
          <w:spacing w:val="0"/>
          <w:kern w:val="2"/>
          <w:sz w:val="32"/>
          <w:szCs w:val="32"/>
          <w:highlight w:val="none"/>
          <w:shd w:val="clear" w:color="auto" w:fill="FFFFFF"/>
          <w:lang w:val="en-US" w:eastAsia="zh-CN"/>
        </w:rPr>
        <w:t>亿元、增长</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color w:val="auto"/>
          <w:spacing w:val="0"/>
          <w:kern w:val="2"/>
          <w:sz w:val="32"/>
          <w:szCs w:val="32"/>
          <w:highlight w:val="none"/>
          <w:shd w:val="clear" w:color="auto" w:fill="FFFFFF"/>
          <w:lang w:val="en-US" w:eastAsia="zh-CN"/>
        </w:rPr>
        <w:t>，首次上榜“全国创新百强区”。</w:t>
      </w:r>
    </w:p>
    <w:p w14:paraId="0FDFB568">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color w:val="auto"/>
          <w:spacing w:val="0"/>
          <w:kern w:val="2"/>
          <w:sz w:val="32"/>
          <w:szCs w:val="32"/>
          <w:highlight w:val="none"/>
          <w:shd w:val="clear" w:color="auto" w:fill="FFFFFF"/>
          <w:lang w:val="en-US" w:eastAsia="zh-CN"/>
        </w:rPr>
        <w:t>增城区</w:t>
      </w:r>
      <w:r>
        <w:rPr>
          <w:rFonts w:hint="eastAsia" w:ascii="仿宋_GB2312" w:hAnsi="仿宋_GB2312" w:eastAsia="仿宋_GB2312" w:cs="仿宋_GB2312"/>
          <w:b w:val="0"/>
          <w:bCs w:val="0"/>
          <w:color w:val="auto"/>
          <w:spacing w:val="0"/>
          <w:kern w:val="2"/>
          <w:sz w:val="32"/>
          <w:szCs w:val="32"/>
        </w:rPr>
        <w:t>坚持以习近平新时代中国特色社会主义思想为指导</w:t>
      </w:r>
      <w:r>
        <w:rPr>
          <w:rFonts w:hint="eastAsia" w:ascii="仿宋_GB2312" w:hAnsi="仿宋_GB2312" w:eastAsia="仿宋_GB2312" w:cs="仿宋_GB2312"/>
          <w:b w:val="0"/>
          <w:bCs w:val="0"/>
          <w:color w:val="auto"/>
          <w:spacing w:val="0"/>
          <w:kern w:val="2"/>
          <w:sz w:val="32"/>
          <w:szCs w:val="32"/>
          <w:lang w:eastAsia="zh-CN"/>
        </w:rPr>
        <w:t>，</w:t>
      </w:r>
      <w:r>
        <w:rPr>
          <w:rFonts w:hint="eastAsia" w:ascii="仿宋_GB2312" w:hAnsi="仿宋_GB2312" w:eastAsia="仿宋_GB2312" w:cs="仿宋_GB2312"/>
          <w:color w:val="auto"/>
          <w:spacing w:val="0"/>
          <w:kern w:val="2"/>
          <w:sz w:val="32"/>
          <w:szCs w:val="32"/>
          <w:highlight w:val="none"/>
          <w:shd w:val="clear" w:color="auto" w:fill="FFFFFF"/>
          <w:lang w:val="en-US" w:eastAsia="zh-CN"/>
        </w:rPr>
        <w:t>深入贯彻党的二十大和二十届二中、三中全会精神，全面落实党的教育方针，坚决执行党中央、国务院关于深化教育教学改革、全面提高义务教育质量的战略部署，始终将推进义务教育优质均衡发展作为提升区域公共服务水平、促进教育公平的重要民生工程，摆在全区发展全局的突出位置，高位推动、聚力攻坚，努力办好人民满意的教育。</w:t>
      </w:r>
    </w:p>
    <w:p w14:paraId="0EE7F1C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left"/>
        <w:textAlignment w:val="auto"/>
        <w:rPr>
          <w:rFonts w:hint="eastAsia" w:ascii="黑体" w:hAnsi="黑体" w:eastAsia="黑体" w:cs="黑体"/>
          <w:b w:val="0"/>
          <w:bCs w:val="0"/>
          <w:color w:val="auto"/>
          <w:spacing w:val="0"/>
          <w:kern w:val="2"/>
          <w:sz w:val="32"/>
          <w:szCs w:val="32"/>
          <w:lang w:val="en-US" w:eastAsia="zh-CN"/>
        </w:rPr>
      </w:pPr>
      <w:r>
        <w:rPr>
          <w:rFonts w:hint="eastAsia" w:ascii="黑体" w:hAnsi="黑体" w:eastAsia="黑体" w:cs="黑体"/>
          <w:b w:val="0"/>
          <w:bCs w:val="0"/>
          <w:color w:val="auto"/>
          <w:spacing w:val="0"/>
          <w:kern w:val="2"/>
          <w:sz w:val="32"/>
          <w:szCs w:val="32"/>
          <w:lang w:val="en-US" w:eastAsia="zh-CN"/>
        </w:rPr>
        <w:t>一、义务教育基本概况</w:t>
      </w:r>
    </w:p>
    <w:p w14:paraId="010BAD79">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left"/>
        <w:textAlignment w:val="auto"/>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（一）学校概况。</w:t>
      </w:r>
      <w:r>
        <w:rPr>
          <w:rFonts w:hint="eastAsia" w:ascii="仿宋_GB2312" w:hAnsi="仿宋_GB2312" w:eastAsia="仿宋_GB2312" w:cs="仿宋_GB2312"/>
          <w:color w:val="auto"/>
          <w:spacing w:val="0"/>
          <w:kern w:val="2"/>
          <w:sz w:val="32"/>
          <w:szCs w:val="32"/>
          <w:highlight w:val="none"/>
          <w:shd w:val="clear" w:color="auto" w:fill="FFFFFF"/>
          <w:lang w:val="en-US" w:eastAsia="zh-CN" w:bidi="ar-SA"/>
        </w:rPr>
        <w:t>全区现有义务教育阶段学校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193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所，其中：小学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128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20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所，九年一贯制学校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33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所，十二年一贯制学校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所，完全中学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所，区属特殊教育学校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所。</w:t>
      </w:r>
      <w:r>
        <w:rPr>
          <w:rFonts w:hint="eastAsia" w:ascii="仿宋_GB2312" w:hAnsi="仿宋_GB2312" w:eastAsia="仿宋_GB2312" w:cs="仿宋_GB2312"/>
          <w:color w:val="auto"/>
          <w:spacing w:val="0"/>
          <w:kern w:val="2"/>
          <w:sz w:val="32"/>
          <w:szCs w:val="32"/>
          <w:highlight w:val="none"/>
          <w:shd w:val="clear" w:color="auto" w:fill="FFFFFF"/>
          <w:lang w:val="en-US" w:eastAsia="zh-CN" w:bidi="ar-SA"/>
        </w:rPr>
        <w:t>按义务教育优质均衡数据分独立校区统计，全区共</w:t>
      </w:r>
      <w:r>
        <w:rPr>
          <w:rFonts w:hint="eastAsia" w:ascii="Times New Roman" w:hAnsi="Times New Roman" w:eastAsia="仿宋_GB2312" w:cs="仿宋_GB2312"/>
          <w:color w:val="auto"/>
          <w:spacing w:val="0"/>
          <w:kern w:val="2"/>
          <w:sz w:val="32"/>
          <w:szCs w:val="32"/>
          <w:highlight w:val="none"/>
          <w:shd w:val="clear" w:color="auto" w:fill="FFFFFF"/>
          <w:lang w:val="en-US" w:eastAsia="zh-CN" w:bidi="ar-SA"/>
        </w:rPr>
        <w:t>255</w:t>
      </w:r>
      <w:r>
        <w:rPr>
          <w:rFonts w:hint="eastAsia" w:ascii="仿宋_GB2312" w:hAnsi="仿宋_GB2312" w:eastAsia="仿宋_GB2312" w:cs="仿宋_GB2312"/>
          <w:color w:val="auto"/>
          <w:spacing w:val="0"/>
          <w:kern w:val="2"/>
          <w:sz w:val="32"/>
          <w:szCs w:val="32"/>
          <w:highlight w:val="none"/>
          <w:shd w:val="clear" w:color="auto" w:fill="FFFFFF"/>
          <w:lang w:val="en-US" w:eastAsia="zh-CN" w:bidi="ar-SA"/>
        </w:rPr>
        <w:t>所义务教育阶段学校，</w:t>
      </w:r>
      <w:r>
        <w:rPr>
          <w:rFonts w:hint="eastAsia" w:ascii="仿宋_GB2312" w:hAnsi="仿宋_GB2312" w:eastAsia="仿宋_GB2312" w:cs="仿宋_GB2312"/>
          <w:color w:val="auto"/>
          <w:spacing w:val="0"/>
          <w:kern w:val="2"/>
          <w:sz w:val="32"/>
          <w:szCs w:val="32"/>
          <w:highlight w:val="none"/>
          <w:shd w:val="clear" w:color="auto" w:fill="FFFFFF"/>
          <w:lang w:eastAsia="zh-CN" w:bidi="ar-SA"/>
        </w:rPr>
        <w:t>其中:</w:t>
      </w:r>
      <w:r>
        <w:rPr>
          <w:rFonts w:hint="eastAsia" w:ascii="仿宋_GB2312" w:hAnsi="仿宋_GB2312" w:eastAsia="仿宋_GB2312" w:cs="仿宋_GB2312"/>
          <w:color w:val="auto"/>
          <w:spacing w:val="0"/>
          <w:kern w:val="2"/>
          <w:sz w:val="32"/>
          <w:szCs w:val="32"/>
          <w:highlight w:val="none"/>
          <w:shd w:val="clear" w:color="auto" w:fill="FFFFFF"/>
          <w:lang w:val="en-US" w:eastAsia="zh-CN" w:bidi="ar-SA"/>
        </w:rPr>
        <w:t>小学</w:t>
      </w:r>
      <w:r>
        <w:rPr>
          <w:rFonts w:hint="eastAsia" w:ascii="Times New Roman" w:hAnsi="Times New Roman" w:eastAsia="仿宋_GB2312" w:cs="仿宋_GB2312"/>
          <w:color w:val="auto"/>
          <w:spacing w:val="0"/>
          <w:kern w:val="2"/>
          <w:sz w:val="32"/>
          <w:szCs w:val="32"/>
          <w:highlight w:val="none"/>
          <w:shd w:val="clear" w:color="auto" w:fill="FFFFFF"/>
          <w:lang w:val="en-US" w:eastAsia="zh-CN" w:bidi="ar-SA"/>
        </w:rPr>
        <w:t>188</w:t>
      </w:r>
      <w:r>
        <w:rPr>
          <w:rFonts w:hint="eastAsia" w:ascii="仿宋_GB2312" w:hAnsi="仿宋_GB2312" w:eastAsia="仿宋_GB2312" w:cs="仿宋_GB2312"/>
          <w:color w:val="auto"/>
          <w:spacing w:val="0"/>
          <w:kern w:val="2"/>
          <w:sz w:val="32"/>
          <w:szCs w:val="32"/>
          <w:highlight w:val="none"/>
          <w:shd w:val="clear" w:color="auto" w:fill="FFFFFF"/>
          <w:lang w:val="en-US" w:eastAsia="zh-CN" w:bidi="ar-SA"/>
        </w:rPr>
        <w:t>所、初中</w:t>
      </w:r>
      <w:r>
        <w:rPr>
          <w:rFonts w:hint="eastAsia" w:ascii="Times New Roman" w:hAnsi="Times New Roman" w:eastAsia="仿宋_GB2312" w:cs="仿宋_GB2312"/>
          <w:color w:val="auto"/>
          <w:spacing w:val="0"/>
          <w:kern w:val="2"/>
          <w:sz w:val="32"/>
          <w:szCs w:val="32"/>
          <w:highlight w:val="none"/>
          <w:shd w:val="clear" w:color="auto" w:fill="FFFFFF"/>
          <w:lang w:val="en-US" w:eastAsia="zh-CN" w:bidi="ar-SA"/>
        </w:rPr>
        <w:t>67</w:t>
      </w:r>
      <w:r>
        <w:rPr>
          <w:rFonts w:hint="eastAsia" w:ascii="仿宋_GB2312" w:hAnsi="仿宋_GB2312" w:eastAsia="仿宋_GB2312" w:cs="仿宋_GB2312"/>
          <w:color w:val="auto"/>
          <w:spacing w:val="0"/>
          <w:kern w:val="2"/>
          <w:sz w:val="32"/>
          <w:szCs w:val="32"/>
          <w:highlight w:val="none"/>
          <w:shd w:val="clear" w:color="auto" w:fill="FFFFFF"/>
          <w:lang w:val="en-US" w:eastAsia="zh-CN" w:bidi="ar-SA"/>
        </w:rPr>
        <w:t>所。</w:t>
      </w:r>
      <w:r>
        <w:rPr>
          <w:rFonts w:hint="eastAsia" w:ascii="仿宋_GB2312" w:hAnsi="仿宋_GB2312" w:eastAsia="仿宋_GB2312" w:cs="仿宋_GB2312"/>
          <w:i w:val="0"/>
          <w:iCs w:val="0"/>
          <w:caps w:val="0"/>
          <w:color w:val="auto"/>
          <w:spacing w:val="0"/>
          <w:kern w:val="2"/>
          <w:sz w:val="32"/>
          <w:szCs w:val="32"/>
          <w:shd w:val="clear" w:fill="FFFFFF"/>
          <w:lang w:val="en-US" w:eastAsia="zh-CN"/>
        </w:rPr>
        <w:t>标准化学校覆盖率</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100%</w:t>
      </w:r>
      <w:r>
        <w:rPr>
          <w:rFonts w:hint="eastAsia" w:ascii="仿宋_GB2312" w:hAnsi="仿宋_GB2312" w:eastAsia="仿宋_GB2312" w:cs="仿宋_GB2312"/>
          <w:i w:val="0"/>
          <w:iCs w:val="0"/>
          <w:caps w:val="0"/>
          <w:color w:val="auto"/>
          <w:spacing w:val="0"/>
          <w:kern w:val="2"/>
          <w:sz w:val="32"/>
          <w:szCs w:val="32"/>
          <w:shd w:val="clear" w:fill="FFFFFF"/>
          <w:lang w:val="en-US" w:eastAsia="zh-CN"/>
        </w:rPr>
        <w:t>（新开办校除外）。</w:t>
      </w:r>
    </w:p>
    <w:p w14:paraId="6165A797">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color w:val="auto"/>
          <w:spacing w:val="0"/>
          <w:kern w:val="2"/>
          <w:sz w:val="32"/>
          <w:szCs w:val="32"/>
          <w:lang w:val="en-US" w:eastAsia="zh-CN" w:bidi="ar-SA"/>
        </w:rPr>
        <w:t>（二）学生人数。</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全区义务教育阶段中小学在校学生</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223931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人，其中小学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4093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个教学班，学生</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163049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1400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个教学班，学生</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60882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人。其中，特殊教育学生</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196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人；随迁子女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50184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人，占学生总数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22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41%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w:t>
      </w:r>
    </w:p>
    <w:p w14:paraId="5A5A5908">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left"/>
        <w:textAlignment w:val="auto"/>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color w:val="auto"/>
          <w:spacing w:val="0"/>
          <w:kern w:val="2"/>
          <w:sz w:val="32"/>
          <w:szCs w:val="32"/>
          <w:lang w:val="en-US" w:eastAsia="zh-CN" w:bidi="ar-SA"/>
        </w:rPr>
        <w:t>（三）教师情况。</w:t>
      </w:r>
      <w:bookmarkStart w:id="0" w:name="OLE_LINK2"/>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“十四五”以来，增城区师资力量稳步增强，结构不断优化，全区义务教育阶段中小学共有专任教师</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14054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人。其中小学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93</w:t>
      </w:r>
      <w:r>
        <w:rPr>
          <w:rFonts w:hint="eastAsia" w:ascii="Times New Roman" w:hAnsi="Times New Roman" w:eastAsia="仿宋_GB2312" w:cs="仿宋_GB2312"/>
          <w:b w:val="0"/>
          <w:bCs w:val="0"/>
          <w:color w:val="auto"/>
          <w:spacing w:val="0"/>
          <w:kern w:val="2"/>
          <w:sz w:val="32"/>
          <w:szCs w:val="32"/>
          <w:highlight w:val="none"/>
          <w:shd w:val="clear" w:color="auto" w:fill="FFFFFF"/>
          <w:lang w:eastAsia="zh-CN" w:bidi="ar-SA"/>
        </w:rPr>
        <w:t>2</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4730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人。小学、初中教师本科及以上学历占比分别为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93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88%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99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11%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w:t>
      </w:r>
    </w:p>
    <w:bookmarkEnd w:id="0"/>
    <w:p w14:paraId="14F39DC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left"/>
        <w:textAlignment w:val="auto"/>
        <w:rPr>
          <w:rFonts w:hint="eastAsia" w:ascii="黑体" w:hAnsi="黑体" w:eastAsia="黑体" w:cs="黑体"/>
          <w:b w:val="0"/>
          <w:bCs w:val="0"/>
          <w:color w:val="auto"/>
          <w:spacing w:val="0"/>
          <w:kern w:val="2"/>
          <w:sz w:val="32"/>
          <w:szCs w:val="32"/>
          <w:lang w:val="en-US" w:eastAsia="zh-CN"/>
        </w:rPr>
      </w:pPr>
      <w:r>
        <w:rPr>
          <w:rFonts w:hint="eastAsia" w:ascii="黑体" w:hAnsi="黑体" w:eastAsia="黑体" w:cs="黑体"/>
          <w:b w:val="0"/>
          <w:bCs w:val="0"/>
          <w:color w:val="auto"/>
          <w:spacing w:val="0"/>
          <w:kern w:val="2"/>
          <w:sz w:val="32"/>
          <w:szCs w:val="32"/>
          <w:lang w:val="en-US" w:eastAsia="zh-CN"/>
        </w:rPr>
        <w:t>二、指标达成情况说明</w:t>
      </w:r>
    </w:p>
    <w:p w14:paraId="071A8C5D">
      <w:pPr>
        <w:keepNext w:val="0"/>
        <w:keepLines w:val="0"/>
        <w:pageBreakBefore w:val="0"/>
        <w:widowControl w:val="0"/>
        <w:kinsoku/>
        <w:wordWrap/>
        <w:overflowPunct/>
        <w:topLinePunct w:val="0"/>
        <w:autoSpaceDE/>
        <w:autoSpaceDN/>
        <w:bidi w:val="0"/>
        <w:adjustRightInd/>
        <w:snapToGrid/>
        <w:spacing w:line="570" w:lineRule="exact"/>
        <w:ind w:left="0" w:firstLine="632"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按照《教育部关于印发〈县域义务教育优质均衡发展督导评估办法〉的通知》要求，增城区对照各项指标进行自查自评，情况如下：</w:t>
      </w:r>
    </w:p>
    <w:p w14:paraId="3521C3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楷体_GB2312" w:hAnsi="楷体_GB2312" w:eastAsia="楷体_GB2312" w:cs="楷体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（一）资源配置</w:t>
      </w:r>
      <w:r>
        <w:rPr>
          <w:rFonts w:hint="eastAsia" w:ascii="Times New Roman" w:hAnsi="Times New Roman" w:eastAsia="楷体_GB2312" w:cs="楷体_GB2312"/>
          <w:color w:val="auto"/>
          <w:spacing w:val="0"/>
          <w:kern w:val="2"/>
          <w:sz w:val="32"/>
          <w:szCs w:val="32"/>
          <w:lang w:val="en-US" w:eastAsia="zh-CN"/>
        </w:rPr>
        <w:t>7</w:t>
      </w:r>
      <w:r>
        <w:rPr>
          <w:rFonts w:hint="eastAsia" w:ascii="楷体_GB2312" w:hAnsi="楷体_GB2312" w:eastAsia="楷体_GB2312" w:cs="楷体_GB2312"/>
          <w:color w:val="auto"/>
          <w:spacing w:val="0"/>
          <w:kern w:val="2"/>
          <w:sz w:val="32"/>
          <w:szCs w:val="32"/>
          <w:lang w:val="en-US" w:eastAsia="zh-CN"/>
        </w:rPr>
        <w:t>项指标达标情况</w:t>
      </w:r>
    </w:p>
    <w:p w14:paraId="3E6F880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.增城区小学拥有高于规定学历教师数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9316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人，每百名学生拥有高于规定学历教师数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人，校际差异系数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199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；初中拥有高于规定学历教师数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4591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人，每百名学生拥有高于规定学历教师数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人，校际差异系数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6ABE165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.增城区小学拥有县级以上骨干教师数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2297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人，每百名学生拥有县级以上骨干教师数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372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；初中拥有县级以上骨干教师数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978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人，每百名学生拥有县级以上骨干教师数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334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 xml:space="preserve">。  </w:t>
      </w:r>
    </w:p>
    <w:p w14:paraId="7EBEA53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.增城区小学拥有体育、艺术（美术、音乐）专任教师数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1868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人，每百名学生拥有体育、艺术（美术、音乐）专任教师数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366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；初中拥有体育、艺术（美术、音乐）专任教师数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641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人，每百名学生拥有体育、艺术（美术、音乐）专任教师数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292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1D9E3C5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pacing w:val="0"/>
          <w:kern w:val="2"/>
          <w:sz w:val="32"/>
          <w:szCs w:val="32"/>
          <w:highlight w:val="none"/>
          <w:shd w:val="clear" w:color="auto" w:fill="FFFFFF"/>
          <w:lang w:val="en-US" w:eastAsia="zh-CN"/>
        </w:rPr>
      </w:pPr>
      <w:bookmarkStart w:id="1" w:name="OLE_LINK8"/>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.增城区小学教学及辅助用房面积约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万平方米，生均教学及辅助用房</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平方米，差异系数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475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；初中教学及辅助用房面积约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万平方米，生均教学及辅助用房</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平方米，差异系数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446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全区各中小学校均能有效使用教辅用房，开足开齐开好课程。</w:t>
      </w:r>
    </w:p>
    <w:p w14:paraId="4662C2A7">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left"/>
        <w:textAlignment w:val="auto"/>
        <w:outlineLvl w:val="9"/>
        <w:rPr>
          <w:rFonts w:hint="eastAsia" w:ascii="仿宋_GB2312" w:hAnsi="仿宋_GB2312" w:eastAsia="仿宋_GB2312" w:cs="仿宋_GB2312"/>
          <w:b/>
          <w:bCs/>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.增城区小学体育运动场馆面积约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162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万平方米，生均体育运动场馆面积</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平方米，差异系数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315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；初中体育运动场馆面积约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万平方米，生均体育运动场馆面积</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平方米，差异系数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340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均达标准以上。全区各中小学校均能有效使用运动场馆，保证体育活动高质量开展。</w:t>
      </w:r>
    </w:p>
    <w:p w14:paraId="166174A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left"/>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.增城区小学教学仪器设备值</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3624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亿元，生均教学仪器设备值</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2675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元，校际差异系数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310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；初中教学仪器设备值</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0903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亿元，生均教学仪器设备值</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3433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元，校际差异系数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370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5E99671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.增城区小学网络多媒体教室数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4918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间，每百名学生拥有网络多媒体教室数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间，校际差异系数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230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；初中网络多媒体教室数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1994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间，每百名学生拥有网络多媒体教室数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间，校际差异系数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340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均达标准以上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bookmarkEnd w:id="1"/>
    <w:p w14:paraId="7CD131F9">
      <w:pPr>
        <w:pStyle w:val="2"/>
        <w:keepNext w:val="0"/>
        <w:keepLines w:val="0"/>
        <w:pageBreakBefore w:val="0"/>
        <w:widowControl w:val="0"/>
        <w:kinsoku/>
        <w:wordWrap/>
        <w:overflowPunct/>
        <w:topLinePunct w:val="0"/>
        <w:autoSpaceDE/>
        <w:autoSpaceDN/>
        <w:bidi w:val="0"/>
        <w:adjustRightInd/>
        <w:snapToGrid/>
        <w:spacing w:line="570" w:lineRule="exact"/>
        <w:ind w:firstLine="632" w:firstLineChars="200"/>
        <w:jc w:val="left"/>
        <w:textAlignment w:val="auto"/>
        <w:rPr>
          <w:rFonts w:hint="eastAsia" w:ascii="仿宋_GB2312" w:hAnsi="仿宋_GB2312" w:eastAsia="仿宋_GB2312" w:cs="仿宋_GB2312"/>
          <w:color w:val="auto"/>
          <w:spacing w:val="0"/>
          <w:lang w:val="en-US" w:eastAsia="zh-CN"/>
        </w:rPr>
      </w:pP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综上所述，</w:t>
      </w:r>
      <w:r>
        <w:rPr>
          <w:rFonts w:hint="eastAsia" w:ascii="Times New Roman" w:hAnsi="Times New Roman" w:eastAsia="仿宋_GB2312" w:cs="仿宋_GB2312"/>
          <w:b/>
          <w:bCs/>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项资源配置指标均达到国家规定标准以上</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3A4EDB1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楷体_GB2312" w:hAnsi="楷体_GB2312" w:eastAsia="楷体_GB2312" w:cs="楷体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（二）政府保障</w:t>
      </w:r>
      <w:r>
        <w:rPr>
          <w:rFonts w:hint="eastAsia" w:ascii="Times New Roman" w:hAnsi="Times New Roman" w:eastAsia="楷体_GB2312" w:cs="楷体_GB2312"/>
          <w:color w:val="auto"/>
          <w:spacing w:val="0"/>
          <w:kern w:val="2"/>
          <w:sz w:val="32"/>
          <w:szCs w:val="32"/>
          <w:lang w:val="en-US" w:eastAsia="zh-CN"/>
        </w:rPr>
        <w:t>15</w:t>
      </w:r>
      <w:r>
        <w:rPr>
          <w:rFonts w:hint="eastAsia" w:ascii="楷体_GB2312" w:hAnsi="楷体_GB2312" w:eastAsia="楷体_GB2312" w:cs="楷体_GB2312"/>
          <w:color w:val="auto"/>
          <w:spacing w:val="0"/>
          <w:kern w:val="2"/>
          <w:sz w:val="32"/>
          <w:szCs w:val="32"/>
          <w:lang w:val="en-US" w:eastAsia="zh-CN"/>
        </w:rPr>
        <w:t>项指标达标情况</w:t>
      </w:r>
    </w:p>
    <w:p w14:paraId="404EB6D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增城区</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内义务教育学校规划布局合理，建立与常住人口规模相适应的学校布局和学位供给机制，合理规划并保障足够的学校建设用地，严格落实新建住宅小区配建学校规定；加强户籍人口、常住人口、学龄人口动态变化的监测，提前研判学位需求变化，通过三年建设规划、学位计划、年度开办方案等，完善学校规划和建设，科学布局区域学校结构、规模、学位。</w:t>
      </w:r>
    </w:p>
    <w:p w14:paraId="02890DE7">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严格按照相关政策文件规定，全面统一义务教育阶段学校建设标准、教师配备、生均公用经费和基本装备：在学校建设上，既严格落实《广州市普通中小学校建设标准指引》，从建设规模、校园规划设计、用房配置标准等方面规范建设并确保标准统一，又为适配区域教育教学发展需求印发《广州市增城区中小学校装修设计指引》，进一步提升建设水平；在教师配备上，严格依据《广州市中小学教职工编制标准实施办法》，按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 xml:space="preserve"> 的员生比统一核定编制；我区严格执行国家和省、市关于义务教育学校生均公用经费基准定额的统一要求，确保城乡义务教育学校生均公用经费标准完全一致，全区义务教育公办学校按小学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2350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元/人/年落实学校生均公用经费；在基本装备上，依据《广州市中小学教育装备配置指南》要求，督促各学校对照标准配备设施设备，且实现互联网接入校校通、班级网络多媒体教室</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全覆盖、教师办公电脑</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配置，保障基本装备配置标准统一。</w:t>
      </w:r>
    </w:p>
    <w:p w14:paraId="17951FF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bookmarkStart w:id="2" w:name="OLE_LINK6"/>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.增城区通过场室优化调整、集约共用、一室多用等方式，进一步优化音乐、美术教室空间和用途，所有小学、初中每</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个班级配备音乐、美术专用教室</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间以上；其中，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2016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年及以后建设学校每间音乐专用教室面积不小于</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平方米，每间美术专用教室面积不小于</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平方米。全区各中小学校均能有效使用音乐、美术等专用场室，开足开齐开好相关课程。</w:t>
      </w:r>
    </w:p>
    <w:bookmarkEnd w:id="2"/>
    <w:p w14:paraId="526F201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.增城区现有义务教育中小学校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255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所（含独立校区），共</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所学校超规模（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所民办学校、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所公办学校），分别为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所九年一贯制学校、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所十二年一贯制学校。对于超规模学校，区委、区政府积极谋划，主动作为，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所超规模民办学校目前开始压减招生规模，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所公办学校通过优化场室、增加师资等措施，确保开齐开足课程，分批、分类、分阶段逐步减少招生计划、严控插班生，积极推进新改扩建公办学校建设，计划</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年内解决超规模问题。</w:t>
      </w:r>
    </w:p>
    <w:p w14:paraId="1C4BFF3E">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left"/>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.增城区内小学、初中目前所有班级学生数分别不超过</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w:t>
      </w:r>
    </w:p>
    <w:p w14:paraId="3119FF0D">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.增城区严格落实不足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名学生村小学和教学点按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名学生核定公用经费政策。我区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学年不足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名学生村小学和教学点共</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学年不足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名学生村小学和教学点共</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学年不足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人的学校和教学点有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所共</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331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人。每所学校均按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人，每人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元标准核定公用经费。落实对乡镇寄宿制公办学校按寄宿生每生每年</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元标准增加公用经费补助政策。</w:t>
      </w:r>
    </w:p>
    <w:p w14:paraId="357A50F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.增城区高度重视特殊教育工作，落实上级文件精神和“十四五”特殊教育发展提升行动计划，</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年特殊教育学校公用经费划拨特殊教育学校智障、孤独症、脑瘫及多重残疾小学生按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10545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元/人/年、初中生按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17438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元/人/年，特殊教育学校盲聋哑小学生按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9200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元/人/年、初中生按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15600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元/人/年，普通学校随班就读、附设特教班、送教上门小学生按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6650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元/人/年、初中生按</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9750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元/人/年拨付生均公用经费，实现特殊教育学校生均公用经费不低于</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6000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w:t>
      </w:r>
    </w:p>
    <w:p w14:paraId="022F8290">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严格执行省、市教师工资发放标准，建立健全义务教育教师待遇保障长效机制和工资收入随当地公务员待遇调整的联动机制，保障教师工资待遇落实。义务教育学校教师年平均工资收入不低于当地公务员年平均工资收入，按规定足额核定教师绩效工资总量。</w:t>
      </w:r>
    </w:p>
    <w:p w14:paraId="1222FE4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年增城区义务教育阶段学校专任教师</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12926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人，完成</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360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学时培训的教师</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12660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人，完成率</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。目前，全区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学时达标率</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07%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（除部分新入职或退休人员，已实现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达标）。经核实，待今年第二期继续教育结束后可确保</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 xml:space="preserve">达标。 </w:t>
      </w:r>
    </w:p>
    <w:p w14:paraId="79E3404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严格执行省、市、区主管部门对教职工编制管理的要求，不断完善中小学教职工编制动态管理机制，根据教育发展和学校布局结构调整、不同学段学生规模变化等情况，动态调整编制和岗位，探索教职工编制管理与人事管理相结合，提高编制使用效益。</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年，增城区共计核增周转编制</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1352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个，促进县域内的教师交流轮岗和均衡优化配置。</w:t>
      </w:r>
    </w:p>
    <w:p w14:paraId="7CFAE96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.增城区符合轮岗交流人数为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1878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人，上一年度参与轮岗交流教师</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491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人，交流轮岗教师占符合交流轮岗条件教师总数的比例</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；交流轮岗的骨干教师</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人，占交流轮岗教师总数的比例</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5139EB4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.增城区义务教育阶段在岗专任教师</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14054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人，所有专任教师均持有教师资格证，持证上岗教师人数比例</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103F0B6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.增城区严格执行上级主管部门关于招生工作的相关政策，公办小学和初中学校（均不含寄宿制学校）就近划片入学比例均达到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032E9CE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0"/>
          <w:szCs w:val="30"/>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.增城区执行广州市</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优质高中学位名额分配政策，增城区优质高中学校共</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所，招生计划总数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3978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人，其中名额分配计划招生</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1989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人，占比</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。辖区农村初中学校共</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所，</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w:t>
      </w: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分配名额合计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1164</w:t>
      </w: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个</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，实际</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1102</w:t>
      </w: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人</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入读</w:t>
      </w: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了增城区</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优质高中，占</w:t>
      </w: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名额分配计划</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的</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40</w:t>
      </w:r>
      <w:r>
        <w:rPr>
          <w:rFonts w:hint="eastAsia" w:ascii="Times New Roman" w:hAnsi="Times New Roman" w:eastAsia="仿宋_GB2312" w:cs="仿宋_GB2312"/>
          <w:b w:val="0"/>
          <w:bCs w:val="0"/>
          <w:color w:val="auto"/>
          <w:spacing w:val="0"/>
          <w:kern w:val="2"/>
          <w:sz w:val="32"/>
          <w:szCs w:val="32"/>
          <w:lang w:val="en-US" w:eastAsia="zh-CN" w:bidi="ar-SA"/>
        </w:rPr>
        <w:t>%</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 xml:space="preserve">。 </w:t>
      </w:r>
    </w:p>
    <w:p w14:paraId="6EA699D5">
      <w:pPr>
        <w:keepNext w:val="0"/>
        <w:keepLines w:val="0"/>
        <w:pageBreakBefore w:val="0"/>
        <w:widowControl w:val="0"/>
        <w:suppressLineNumbers w:val="0"/>
        <w:kinsoku/>
        <w:wordWrap/>
        <w:overflowPunct/>
        <w:topLinePunct w:val="0"/>
        <w:autoSpaceDN/>
        <w:bidi w:val="0"/>
        <w:spacing w:before="0" w:beforeAutospacing="0" w:after="0" w:afterAutospacing="0" w:line="570" w:lineRule="exact"/>
        <w:ind w:left="0" w:right="0" w:firstLine="632" w:firstLineChars="200"/>
        <w:jc w:val="left"/>
        <w:textAlignment w:val="auto"/>
        <w:rPr>
          <w:rFonts w:hint="eastAsia" w:ascii="仿宋_GB2312" w:hAnsi="仿宋_GB2312" w:eastAsia="仿宋_GB2312" w:cs="仿宋_GB2312"/>
          <w:b w:val="0"/>
          <w:bCs w:val="0"/>
          <w:color w:val="auto"/>
          <w:spacing w:val="0"/>
          <w:kern w:val="2"/>
          <w:sz w:val="32"/>
          <w:szCs w:val="32"/>
          <w:highlight w:val="yellow"/>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留守儿童关爱体系健全，落实农村留守儿童和特殊女童关爱保护工作，建立留守儿童和困境儿童档案，定期开展关爱活动，进一步提高留守和困境未成年人关爱保护服务质量，切实维护留守和困境未成年人合法权益。严格贯彻落实“两为主、两纳入、以居住证为主要依据”的随迁子女义务教育入学政策，对经审核符合保障性条件和积分制入学条件的来穗人员随迁子女，原则上安排入读公办学校，对入读民办学校的来穗人员随迁子女按照小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5000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元/生/学年、初中</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6000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元/生/学年的标准予以购买学位，随迁子女</w:t>
      </w:r>
      <w:r>
        <w:rPr>
          <w:rFonts w:hint="eastAsia" w:ascii="仿宋_GB2312" w:hAnsi="仿宋_GB2312" w:eastAsia="仿宋_GB2312" w:cs="仿宋_GB2312"/>
          <w:b w:val="0"/>
          <w:bCs w:val="0"/>
          <w:color w:val="auto"/>
          <w:spacing w:val="0"/>
          <w:kern w:val="2"/>
          <w:sz w:val="32"/>
          <w:szCs w:val="32"/>
          <w:shd w:val="clear" w:fill="FFFFFF"/>
          <w:lang w:val="en-US" w:eastAsia="zh-CN" w:bidi="ar"/>
        </w:rPr>
        <w:t>就读公办学校</w:t>
      </w:r>
      <w:r>
        <w:rPr>
          <w:rFonts w:hint="eastAsia" w:ascii="仿宋_GB2312" w:hAnsi="仿宋_GB2312" w:eastAsia="仿宋_GB2312" w:cs="仿宋_GB2312"/>
          <w:b w:val="0"/>
          <w:bCs w:val="0"/>
          <w:color w:val="auto"/>
          <w:spacing w:val="0"/>
          <w:kern w:val="2"/>
          <w:sz w:val="32"/>
          <w:szCs w:val="32"/>
          <w:highlight w:val="none"/>
          <w:shd w:val="clear" w:fill="FFFFFF"/>
          <w:lang w:val="en-US" w:eastAsia="zh-CN" w:bidi="ar"/>
        </w:rPr>
        <w:t>（含政府购买民办学校学位）</w:t>
      </w:r>
      <w:r>
        <w:rPr>
          <w:rFonts w:hint="eastAsia" w:ascii="仿宋_GB2312" w:hAnsi="仿宋_GB2312" w:eastAsia="仿宋_GB2312" w:cs="仿宋_GB2312"/>
          <w:b w:val="0"/>
          <w:bCs w:val="0"/>
          <w:color w:val="auto"/>
          <w:spacing w:val="0"/>
          <w:kern w:val="2"/>
          <w:sz w:val="32"/>
          <w:szCs w:val="32"/>
          <w:shd w:val="clear" w:fill="FFFFFF"/>
          <w:lang w:val="en-US" w:eastAsia="zh-CN" w:bidi="ar"/>
        </w:rPr>
        <w:t>比例</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达</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 xml:space="preserve">。  </w:t>
      </w:r>
    </w:p>
    <w:p w14:paraId="64CEFBA0">
      <w:pPr>
        <w:keepNext w:val="0"/>
        <w:keepLines w:val="0"/>
        <w:pageBreakBefore w:val="0"/>
        <w:widowControl w:val="0"/>
        <w:kinsoku/>
        <w:wordWrap/>
        <w:overflowPunct/>
        <w:topLinePunct w:val="0"/>
        <w:autoSpaceDE/>
        <w:autoSpaceDN/>
        <w:bidi w:val="0"/>
        <w:adjustRightInd w:val="0"/>
        <w:snapToGrid w:val="0"/>
        <w:spacing w:line="570" w:lineRule="exact"/>
        <w:ind w:firstLine="632" w:firstLineChars="200"/>
        <w:jc w:val="left"/>
        <w:textAlignment w:val="auto"/>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综上所述，</w:t>
      </w:r>
      <w:r>
        <w:rPr>
          <w:rFonts w:hint="eastAsia" w:ascii="Times New Roman" w:hAnsi="Times New Roman" w:eastAsia="仿宋_GB2312" w:cs="仿宋_GB2312"/>
          <w:b/>
          <w:bCs/>
          <w:color w:val="auto"/>
          <w:spacing w:val="0"/>
          <w:kern w:val="2"/>
          <w:sz w:val="32"/>
          <w:szCs w:val="32"/>
          <w:highlight w:val="none"/>
          <w:shd w:val="clear" w:color="auto" w:fill="FFFFFF"/>
          <w:lang w:val="en-US" w:eastAsia="zh-CN"/>
        </w:rPr>
        <w:t>15</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项政府保障指标均达到国家规定标准</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5D91085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楷体_GB2312" w:hAnsi="楷体_GB2312" w:eastAsia="楷体_GB2312" w:cs="楷体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（三）教育质量</w:t>
      </w:r>
      <w:r>
        <w:rPr>
          <w:rFonts w:hint="eastAsia" w:ascii="Times New Roman" w:hAnsi="Times New Roman" w:eastAsia="楷体_GB2312" w:cs="楷体_GB2312"/>
          <w:color w:val="auto"/>
          <w:spacing w:val="0"/>
          <w:kern w:val="2"/>
          <w:sz w:val="32"/>
          <w:szCs w:val="32"/>
          <w:lang w:val="en-US" w:eastAsia="zh-CN"/>
        </w:rPr>
        <w:t>9</w:t>
      </w:r>
      <w:r>
        <w:rPr>
          <w:rFonts w:hint="eastAsia" w:ascii="楷体_GB2312" w:hAnsi="楷体_GB2312" w:eastAsia="楷体_GB2312" w:cs="楷体_GB2312"/>
          <w:color w:val="auto"/>
          <w:spacing w:val="0"/>
          <w:kern w:val="2"/>
          <w:sz w:val="32"/>
          <w:szCs w:val="32"/>
          <w:lang w:val="en-US" w:eastAsia="zh-CN"/>
        </w:rPr>
        <w:t>项指标达标情况</w:t>
      </w:r>
    </w:p>
    <w:p w14:paraId="62D3C753">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年初中毕业生数为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16748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人，三年前初中在校生数为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17065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人，三年内转入</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2427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人，复学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194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人，转出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3042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人，休学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307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人，死亡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人，全区初中三年巩固率为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p>
    <w:p w14:paraId="0F7DA9D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学年我区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岁适龄残疾儿童少年总数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857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人，其中延缓入学</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人、已毕业</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人、已故</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人，待安置</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805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人。截至</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月，已安置</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791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人，随班就读</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473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人、特殊学校就读</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227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人、送教上门</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人、康复医院机构或学前机构</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人。其余未建立学籍</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人。适龄残疾儿童少年入学率</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。全区残疾儿童少年在特殊教育学校（含县域外）就读人数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227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人，占比</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 xml:space="preserve">。  </w:t>
      </w:r>
    </w:p>
    <w:p w14:paraId="30CE0C5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.增城区义务教育阶段所有学校均能建立章程，实现学校管理与教学信息化。一是组织学校修订章程，按照</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区事业单位登记管理的相关规定与标准，指导辖区内学校开展办学章程</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制定和修订</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工作，并推动完成章程备案，</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发挥章程对学校发展改革的引领与保障作用</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二是</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推动教育数字化改革，</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我区中小学教室多媒体教学平台覆盖率</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Hans"/>
        </w:rPr>
        <w:t>100</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CN"/>
        </w:rPr>
        <w:t>%</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，教室接入宽带率</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Hans"/>
        </w:rPr>
        <w:t>100</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CN"/>
        </w:rPr>
        <w:t>%</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，优质资源“班班通”</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Hans"/>
        </w:rPr>
        <w:t>100</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CN"/>
        </w:rPr>
        <w:t>%</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普及。全区中小学均已千兆接入广州教科网，全区教科网出口带宽已达两万兆</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CN"/>
        </w:rPr>
        <w:t>。</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在全区全域推广应用国家中小学智慧教育平台、粤教翔云、广州共享课堂等教育资源平台，为全区中小学提供优质教育资源服务，各学校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Hans"/>
        </w:rPr>
        <w:t>100</w:t>
      </w:r>
      <w:r>
        <w:rPr>
          <w:rFonts w:hint="eastAsia" w:ascii="Times New Roman" w:hAnsi="Times New Roman" w:eastAsia="仿宋_GB2312" w:cs="仿宋_GB2312"/>
          <w:b w:val="0"/>
          <w:bCs w:val="0"/>
          <w:color w:val="auto"/>
          <w:spacing w:val="0"/>
          <w:kern w:val="2"/>
          <w:sz w:val="32"/>
          <w:szCs w:val="32"/>
          <w:highlight w:val="none"/>
          <w:shd w:val="clear" w:color="auto" w:fill="FFFFFF"/>
          <w:lang w:val="en" w:eastAsia="zh-CN"/>
        </w:rPr>
        <w:t>%</w:t>
      </w:r>
      <w:r>
        <w:rPr>
          <w:rFonts w:hint="eastAsia" w:ascii="仿宋_GB2312" w:hAnsi="仿宋_GB2312" w:eastAsia="仿宋_GB2312" w:cs="仿宋_GB2312"/>
          <w:b w:val="0"/>
          <w:bCs w:val="0"/>
          <w:color w:val="auto"/>
          <w:spacing w:val="0"/>
          <w:kern w:val="2"/>
          <w:sz w:val="32"/>
          <w:szCs w:val="32"/>
          <w:highlight w:val="none"/>
          <w:shd w:val="clear" w:color="auto" w:fill="FFFFFF"/>
          <w:lang w:val="en" w:eastAsia="zh-Hans"/>
        </w:rPr>
        <w:t>完成国家中小学智慧教育平台的注册。</w:t>
      </w:r>
    </w:p>
    <w:p w14:paraId="70B4C6B3">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bookmarkStart w:id="3" w:name="OLE_LINK7"/>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年义务教育阶段所有学校教师培训经费预算安排总额</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3945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万元，占公用经费比例</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，达到占比</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以上的标准。</w:t>
      </w:r>
    </w:p>
    <w:bookmarkEnd w:id="3"/>
    <w:p w14:paraId="36FE83B7">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实现信息技术在教育教学中常态化应用，作为广东省中小学校人工智能试点应用实验区，先行探索人工智能在教学方式变革、教师数字素养培育、学生全面发展等方面的应用。积极推进教育数字化赋能基础教育教学工作，研发并启用全国首例“适切性数智研训室”，通过整合“调研—教研—科研—培训—评价”全链条，推动教育数字化在区域教育均衡发展方面的深入实施，教师能熟练运用信息手段开展教学，区域教学信息化水平达到较高标准。</w:t>
      </w:r>
    </w:p>
    <w:p w14:paraId="0D21B88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.增城区加强党对教育工作的全面领导，认真贯彻落实“立德树人”的育人根本任务，推进思政课一体化实施。印发《增城区中小学高质量德育体系建设三年行动计划（</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）》，引领落实课程育人、活动育人、文化育人、实践育人、管理育人和协同育人。组建“</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N</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”校地宣传思政联盟，结合文明校园、书香校园、特色学校、魅力班级等创建活动，促进校园文化品质提升，让校园处处成为育人场所，打造出具有本校特色的校园文化。</w:t>
      </w:r>
    </w:p>
    <w:p w14:paraId="06DC724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坚持“五育并举”，严格落实国家义务教育课程方案，统筹规划、科学规范义务教育阶段学校教育教学工作，构建德智体美劳全面发展的课程体系，充分挖掘本土优秀传统文化资源和红色资源，推进地方课程与校本课程特色化建设，推进心理健康教育课程化，落实课后服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X</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”模式（基础托管+兴趣拓展），持续探索实践育人、综合育人的新路径，提升学生的综合素养，特色明显。</w:t>
      </w:r>
    </w:p>
    <w:p w14:paraId="63A15DB7">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成立了区级“双减”工作领导小组、建立区和学校作业管理工作小组，制定出台一系列作业管理措施，开展义务教育阶段教师作业设计比赛，将睡眠时间、体育运动时间纳入核心指标，引导学校科学管理教学节奏，推动校内减负和课堂、作业“双优化”，校内减负实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个</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”。开展文艺、体育、科普等活动和课程，多维课程体系构建以及数学、物理、阅读和健康“四大工程”，将减负与提质有机结合，学生体质健康水平和学习自信心显著增强，</w:t>
      </w:r>
      <w:r>
        <w:rPr>
          <w:rFonts w:hint="eastAsia" w:ascii="仿宋_GB2312" w:hAnsi="仿宋_GB2312" w:eastAsia="仿宋_GB2312" w:cs="仿宋_GB2312"/>
          <w:snapToGrid/>
          <w:color w:val="auto"/>
          <w:spacing w:val="0"/>
          <w:kern w:val="2"/>
          <w:sz w:val="32"/>
          <w:szCs w:val="32"/>
          <w:lang w:val="en-US" w:eastAsia="zh-CN" w:bidi="ar-SA"/>
        </w:rPr>
        <w:t>新塘镇探索课后服务做法经验获人民日报媒体平台报道。</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通过课后服务“两个全覆盖”（学校、学生)，采取“平台+服务”一站式解决方案，打破传统课后服务信息孤岛，利用家长会、开放周等活动宣传减负政策，实现教育局、学校、家长、教师与课外培训机构的高效协作。</w:t>
      </w:r>
    </w:p>
    <w:p w14:paraId="706A85F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left"/>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.增城区在</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年广东省义务教育质量监测中，小学、初中语文、数学、英语、科学等学科学业成绩基本均达到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Ш</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级以上，四、八年级艺术（音乐、美术）学生学业水平达到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Ш</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级以上，但校际差异系数部分学科还有一定差距。我们将持续用好“百千万工程”、市基础教育强基提质“</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帮扶机制、“集团”和“联盟”建校等载体，抓好监测结果应用、课题研究和下校指导，重点提升农村学校的教育教学水平，开展重点帮扶、公民办结对等提升质量的专项行动，多管齐下提升教育教学质量，力争在教育部评估监测中学生学业水平达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Ш</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级以上，校际差异系数达标。</w:t>
      </w:r>
    </w:p>
    <w:p w14:paraId="489671A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left"/>
        <w:textAlignment w:val="auto"/>
        <w:outlineLvl w:val="9"/>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综上，前</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8</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项教育质量指标均达到国家规定标准，第</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9</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项“义务教育质量情况”待教育部监测分析。</w:t>
      </w:r>
    </w:p>
    <w:p w14:paraId="6739FC2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left"/>
        <w:textAlignment w:val="auto"/>
        <w:rPr>
          <w:rFonts w:hint="eastAsia" w:ascii="黑体" w:hAnsi="黑体" w:eastAsia="黑体" w:cs="黑体"/>
          <w:b w:val="0"/>
          <w:bCs w:val="0"/>
          <w:color w:val="auto"/>
          <w:spacing w:val="0"/>
          <w:kern w:val="2"/>
          <w:sz w:val="32"/>
          <w:szCs w:val="32"/>
          <w:lang w:val="en-US" w:eastAsia="zh-CN"/>
        </w:rPr>
      </w:pPr>
      <w:r>
        <w:rPr>
          <w:rFonts w:hint="eastAsia" w:ascii="黑体" w:hAnsi="黑体" w:eastAsia="黑体" w:cs="黑体"/>
          <w:b w:val="0"/>
          <w:bCs w:val="0"/>
          <w:color w:val="auto"/>
          <w:spacing w:val="0"/>
          <w:kern w:val="2"/>
          <w:sz w:val="32"/>
          <w:szCs w:val="32"/>
          <w:lang w:val="en-US" w:eastAsia="zh-CN"/>
        </w:rPr>
        <w:t>三、主要工作措施及成效</w:t>
      </w:r>
    </w:p>
    <w:p w14:paraId="4C9AB6A2">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pPr>
      <w:r>
        <w:rPr>
          <w:rFonts w:hint="eastAsia" w:ascii="仿宋_GB2312" w:hAnsi="仿宋_GB2312" w:eastAsia="仿宋_GB2312" w:cs="仿宋_GB2312"/>
          <w:b w:val="0"/>
          <w:bCs w:val="0"/>
          <w:color w:val="auto"/>
          <w:spacing w:val="0"/>
          <w:kern w:val="2"/>
          <w:sz w:val="32"/>
          <w:szCs w:val="32"/>
          <w:highlight w:val="none"/>
          <w:shd w:val="clear" w:color="auto" w:fill="FFFFFF"/>
          <w:lang w:eastAsia="zh-CN"/>
        </w:rPr>
        <w:t>增城</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区委、区政府高度重视，将义务教育优质均衡发展纳入增城区“十四五”规划和</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2035</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年远景目标纲要，系统优化教育资源布局，强化师资队伍建设。</w:t>
      </w:r>
    </w:p>
    <w:p w14:paraId="4487A0A0">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left"/>
        <w:textAlignment w:val="auto"/>
        <w:rPr>
          <w:rFonts w:hint="eastAsia" w:ascii="楷体_GB2312" w:hAnsi="楷体_GB2312" w:eastAsia="楷体_GB2312" w:cs="楷体_GB2312"/>
          <w:b w:val="0"/>
          <w:bCs w:val="0"/>
          <w:color w:val="auto"/>
          <w:spacing w:val="0"/>
          <w:kern w:val="2"/>
          <w:sz w:val="32"/>
          <w:szCs w:val="32"/>
          <w:lang w:val="en-US" w:eastAsia="zh-CN" w:bidi="ar-SA"/>
        </w:rPr>
      </w:pPr>
      <w:r>
        <w:rPr>
          <w:rFonts w:hint="eastAsia" w:ascii="楷体_GB2312" w:hAnsi="楷体_GB2312" w:eastAsia="楷体_GB2312" w:cs="楷体_GB2312"/>
          <w:b w:val="0"/>
          <w:bCs w:val="0"/>
          <w:color w:val="auto"/>
          <w:spacing w:val="0"/>
          <w:kern w:val="2"/>
          <w:sz w:val="32"/>
          <w:szCs w:val="32"/>
          <w:lang w:val="en-US" w:eastAsia="zh-CN" w:bidi="ar-SA"/>
        </w:rPr>
        <w:t xml:space="preserve">（一）强化高位统筹，凝聚教育优质均衡发展动能 </w:t>
      </w:r>
    </w:p>
    <w:p w14:paraId="7802BBD3">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left"/>
        <w:textAlignment w:val="auto"/>
        <w:rPr>
          <w:rFonts w:hint="eastAsia" w:ascii="仿宋_GB2312" w:hAnsi="仿宋_GB2312" w:eastAsia="仿宋_GB2312" w:cs="仿宋_GB2312"/>
          <w:b w:val="0"/>
          <w:bCs w:val="0"/>
          <w:color w:val="auto"/>
          <w:spacing w:val="0"/>
          <w:kern w:val="2"/>
          <w:sz w:val="32"/>
          <w:szCs w:val="32"/>
          <w:lang w:val="en-US" w:eastAsia="zh-CN"/>
        </w:rPr>
      </w:pPr>
      <w:r>
        <w:rPr>
          <w:rFonts w:hint="eastAsia" w:ascii="Times New Roman" w:hAnsi="Times New Roman" w:eastAsia="仿宋_GB2312" w:cs="仿宋_GB2312"/>
          <w:b/>
          <w:bCs/>
          <w:color w:val="auto"/>
          <w:spacing w:val="0"/>
          <w:kern w:val="2"/>
          <w:sz w:val="32"/>
          <w:szCs w:val="32"/>
          <w:highlight w:val="none"/>
          <w:shd w:val="clear" w:color="auto" w:fill="FFFFFF"/>
          <w:lang w:val="en-US" w:eastAsia="zh-CN"/>
        </w:rPr>
        <w:t>1</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.顶层设计，高位</w:t>
      </w:r>
      <w:r>
        <w:rPr>
          <w:rFonts w:hint="eastAsia" w:ascii="仿宋_GB2312" w:hAnsi="仿宋_GB2312" w:eastAsia="仿宋_GB2312" w:cs="仿宋_GB2312"/>
          <w:b/>
          <w:bCs/>
          <w:color w:val="auto"/>
          <w:spacing w:val="0"/>
          <w:kern w:val="2"/>
          <w:sz w:val="32"/>
          <w:szCs w:val="32"/>
          <w:highlight w:val="none"/>
          <w:shd w:val="clear" w:color="auto" w:fill="FFFFFF"/>
          <w:lang w:eastAsia="zh-CN"/>
        </w:rPr>
        <w:t>统筹创建</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工作。</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自</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bidi="ar-SA"/>
        </w:rPr>
        <w:t>2023</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年起将教育综合改革列入重点任务，区委书记牵头召开专题会议协调学位、师资；区政府</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将教育纳</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入</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2021</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2024</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年民生实事，推动“</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1</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25</w:t>
      </w:r>
      <w:r>
        <w:rPr>
          <w:rStyle w:val="11"/>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footnoteReference w:id="0"/>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”政策落地；</w:t>
      </w:r>
      <w:r>
        <w:rPr>
          <w:rFonts w:hint="eastAsia" w:ascii="仿宋_GB2312" w:hAnsi="仿宋_GB2312" w:eastAsia="仿宋_GB2312" w:cs="仿宋_GB2312"/>
          <w:b w:val="0"/>
          <w:bCs w:val="0"/>
          <w:color w:val="auto"/>
          <w:spacing w:val="0"/>
          <w:kern w:val="2"/>
          <w:sz w:val="32"/>
          <w:szCs w:val="32"/>
          <w:lang w:val="en-US" w:eastAsia="zh-CN"/>
        </w:rPr>
        <w:t>区人大以</w:t>
      </w:r>
      <w:r>
        <w:rPr>
          <w:rFonts w:hint="eastAsia" w:ascii="Times New Roman" w:hAnsi="Times New Roman" w:eastAsia="仿宋_GB2312" w:cs="仿宋_GB2312"/>
          <w:b w:val="0"/>
          <w:bCs w:val="0"/>
          <w:color w:val="auto"/>
          <w:spacing w:val="0"/>
          <w:kern w:val="2"/>
          <w:sz w:val="32"/>
          <w:szCs w:val="32"/>
          <w:lang w:val="en-US" w:eastAsia="zh-CN"/>
        </w:rPr>
        <w:t>001</w:t>
      </w:r>
      <w:r>
        <w:rPr>
          <w:rFonts w:hint="eastAsia" w:ascii="仿宋_GB2312" w:hAnsi="仿宋_GB2312" w:eastAsia="仿宋_GB2312" w:cs="仿宋_GB2312"/>
          <w:b w:val="0"/>
          <w:bCs w:val="0"/>
          <w:color w:val="auto"/>
          <w:spacing w:val="0"/>
          <w:kern w:val="2"/>
          <w:sz w:val="32"/>
          <w:szCs w:val="32"/>
          <w:lang w:val="en-US" w:eastAsia="zh-CN"/>
        </w:rPr>
        <w:t>号议案督办、区政协以重点提案推动义务教育优质均衡发展。</w:t>
      </w:r>
    </w:p>
    <w:p w14:paraId="76CB65B1">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left"/>
        <w:textAlignment w:val="auto"/>
        <w:rPr>
          <w:rFonts w:hint="eastAsia" w:ascii="仿宋_GB2312" w:hAnsi="仿宋_GB2312" w:eastAsia="仿宋_GB2312" w:cs="仿宋_GB2312"/>
          <w:color w:val="auto"/>
          <w:spacing w:val="0"/>
          <w:kern w:val="2"/>
          <w:lang w:val="en-US" w:eastAsia="zh-CN"/>
        </w:rPr>
      </w:pPr>
      <w:r>
        <w:rPr>
          <w:rFonts w:hint="eastAsia" w:ascii="Times New Roman" w:hAnsi="Times New Roman" w:eastAsia="仿宋_GB2312" w:cs="仿宋_GB2312"/>
          <w:b/>
          <w:bCs/>
          <w:color w:val="auto"/>
          <w:spacing w:val="0"/>
          <w:kern w:val="2"/>
          <w:sz w:val="32"/>
          <w:szCs w:val="32"/>
          <w:highlight w:val="none"/>
          <w:shd w:val="clear" w:color="auto" w:fill="FFFFFF"/>
          <w:lang w:val="en-US" w:eastAsia="zh-CN"/>
        </w:rPr>
        <w:t>2</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.党建引领，筑牢坚强战斗堡垒。</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全区公办学校</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完成党组织领导的校长负责制改革，进一步配齐配强学校领导班子，今年提拔、调整校级领导干部</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36</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名；义务教育阶段民办学校实现</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个</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100</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w:t>
      </w:r>
      <w:r>
        <w:rPr>
          <w:rStyle w:val="11"/>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footnoteReference w:id="1"/>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。通过公、民办教育领域党组织全面覆盖与规范运行，为推动教育优质均衡提供组织保障。</w:t>
      </w:r>
    </w:p>
    <w:p w14:paraId="5F3F8C3E">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left"/>
        <w:textAlignment w:val="auto"/>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pPr>
      <w:r>
        <w:rPr>
          <w:rFonts w:hint="eastAsia" w:ascii="Times New Roman" w:hAnsi="Times New Roman" w:eastAsia="仿宋_GB2312" w:cs="仿宋_GB2312"/>
          <w:b/>
          <w:bCs/>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w:t>
      </w:r>
      <w:r>
        <w:rPr>
          <w:rFonts w:hint="eastAsia" w:ascii="仿宋_GB2312" w:hAnsi="仿宋_GB2312" w:eastAsia="仿宋_GB2312" w:cs="仿宋_GB2312"/>
          <w:b/>
          <w:bCs/>
          <w:color w:val="auto"/>
          <w:spacing w:val="0"/>
          <w:kern w:val="2"/>
          <w:sz w:val="32"/>
          <w:szCs w:val="32"/>
          <w:highlight w:val="none"/>
          <w:shd w:val="clear" w:color="auto" w:fill="FFFFFF"/>
          <w:lang w:eastAsia="zh-CN"/>
        </w:rPr>
        <w:t>协同</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推进，</w:t>
      </w:r>
      <w:r>
        <w:rPr>
          <w:rFonts w:hint="eastAsia" w:ascii="仿宋_GB2312" w:hAnsi="仿宋_GB2312" w:eastAsia="仿宋_GB2312" w:cs="仿宋_GB2312"/>
          <w:b/>
          <w:bCs/>
          <w:color w:val="auto"/>
          <w:spacing w:val="0"/>
          <w:kern w:val="2"/>
          <w:sz w:val="32"/>
          <w:szCs w:val="32"/>
          <w:highlight w:val="none"/>
          <w:shd w:val="clear" w:color="auto" w:fill="FFFFFF"/>
          <w:lang w:eastAsia="zh-CN"/>
        </w:rPr>
        <w:t>凝心聚力</w:t>
      </w:r>
      <w:r>
        <w:rPr>
          <w:rFonts w:hint="eastAsia" w:ascii="仿宋_GB2312" w:hAnsi="仿宋_GB2312" w:eastAsia="仿宋_GB2312" w:cs="仿宋_GB2312"/>
          <w:b/>
          <w:bCs/>
          <w:color w:val="auto"/>
          <w:spacing w:val="0"/>
          <w:kern w:val="2"/>
          <w:sz w:val="32"/>
          <w:szCs w:val="32"/>
          <w:highlight w:val="none"/>
          <w:shd w:val="clear" w:color="auto" w:fill="FFFFFF"/>
          <w:lang w:val="en-US" w:eastAsia="zh-CN"/>
        </w:rPr>
        <w:t>要素保障。</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充分发挥区委教育工作领导小组作用，建立区领导挂点联系学校制度，为教育优质均衡发展定方向、解难题。区政府成立创建工作领导小组，教育部门相应成立创建工作专班，下设八个专项工作组，通过“学校自查—属地核查—局督导检查”三级督导，确保问题整改闭环。</w:t>
      </w:r>
    </w:p>
    <w:p w14:paraId="191297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楷体_GB2312" w:hAnsi="楷体_GB2312" w:eastAsia="楷体_GB2312" w:cs="楷体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（二）优化资源配置，夯实教育优质均衡供给基础</w:t>
      </w:r>
    </w:p>
    <w:p w14:paraId="0F4853E0">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lang w:val="en-US" w:eastAsia="zh-CN"/>
        </w:rPr>
      </w:pPr>
      <w:r>
        <w:rPr>
          <w:rFonts w:hint="eastAsia" w:ascii="仿宋_GB2312" w:hAnsi="仿宋_GB2312" w:eastAsia="仿宋_GB2312" w:cs="仿宋_GB2312"/>
          <w:color w:val="auto"/>
          <w:spacing w:val="0"/>
          <w:kern w:val="2"/>
          <w:sz w:val="32"/>
          <w:szCs w:val="32"/>
          <w:highlight w:val="none"/>
          <w:shd w:val="clear" w:color="auto" w:fill="FFFFFF"/>
          <w:lang w:val="en-US" w:eastAsia="zh-CN"/>
        </w:rPr>
        <w:t>聚焦各学段精准配置学位，同时保障常住人口子女平等入学，构建与人口增长、区域发展适配的教育资源布局体系。</w:t>
      </w:r>
    </w:p>
    <w:p w14:paraId="2A82EB99">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lang w:val="en-US" w:eastAsia="zh-CN"/>
        </w:rPr>
      </w:pPr>
      <w:r>
        <w:rPr>
          <w:rFonts w:hint="eastAsia" w:ascii="Times New Roman" w:hAnsi="Times New Roman" w:eastAsia="仿宋_GB2312" w:cs="仿宋_GB2312"/>
          <w:b/>
          <w:bCs/>
          <w:color w:val="auto"/>
          <w:spacing w:val="0"/>
          <w:kern w:val="2"/>
          <w:lang w:val="en-US" w:eastAsia="zh-CN"/>
        </w:rPr>
        <w:t>1</w:t>
      </w:r>
      <w:r>
        <w:rPr>
          <w:rFonts w:hint="eastAsia" w:ascii="仿宋_GB2312" w:hAnsi="仿宋_GB2312" w:eastAsia="仿宋_GB2312" w:cs="仿宋_GB2312"/>
          <w:b/>
          <w:bCs/>
          <w:color w:val="auto"/>
          <w:spacing w:val="0"/>
          <w:kern w:val="2"/>
          <w:lang w:val="en-US" w:eastAsia="zh-CN"/>
        </w:rPr>
        <w:t>.多措并举，扩容提质保障学位。</w:t>
      </w:r>
      <w:r>
        <w:rPr>
          <w:rFonts w:hint="eastAsia" w:ascii="仿宋_GB2312" w:hAnsi="仿宋_GB2312" w:eastAsia="仿宋_GB2312" w:cs="仿宋_GB2312"/>
          <w:b w:val="0"/>
          <w:bCs w:val="0"/>
          <w:color w:val="auto"/>
          <w:spacing w:val="0"/>
          <w:kern w:val="2"/>
          <w:lang w:val="en-US" w:eastAsia="zh-CN"/>
        </w:rPr>
        <w:t>通过新建、改扩建学校及创新办学模式等措施，全力扩大优质教育资源供给，“十四五”期间累计新增基础教育公办学位</w:t>
      </w:r>
      <w:r>
        <w:rPr>
          <w:rFonts w:hint="eastAsia" w:ascii="Times New Roman" w:hAnsi="Times New Roman" w:eastAsia="仿宋_GB2312" w:cs="仿宋_GB2312"/>
          <w:b w:val="0"/>
          <w:bCs w:val="0"/>
          <w:color w:val="auto"/>
          <w:spacing w:val="0"/>
          <w:kern w:val="2"/>
          <w:lang w:val="en-US" w:eastAsia="zh-CN"/>
        </w:rPr>
        <w:t>67780</w:t>
      </w:r>
      <w:r>
        <w:rPr>
          <w:rFonts w:hint="eastAsia" w:ascii="仿宋_GB2312" w:hAnsi="仿宋_GB2312" w:eastAsia="仿宋_GB2312" w:cs="仿宋_GB2312"/>
          <w:b w:val="0"/>
          <w:bCs w:val="0"/>
          <w:color w:val="auto"/>
          <w:spacing w:val="0"/>
          <w:kern w:val="2"/>
          <w:lang w:val="en-US" w:eastAsia="zh-CN"/>
        </w:rPr>
        <w:t>个。其中，</w:t>
      </w:r>
      <w:r>
        <w:rPr>
          <w:rFonts w:hint="eastAsia" w:ascii="Times New Roman" w:hAnsi="Times New Roman" w:eastAsia="仿宋_GB2312" w:cs="仿宋_GB2312"/>
          <w:b w:val="0"/>
          <w:bCs w:val="0"/>
          <w:color w:val="auto"/>
          <w:spacing w:val="0"/>
          <w:kern w:val="2"/>
          <w:lang w:val="en-US" w:eastAsia="zh-CN"/>
        </w:rPr>
        <w:t>2025</w:t>
      </w:r>
      <w:r>
        <w:rPr>
          <w:rFonts w:hint="eastAsia" w:ascii="仿宋_GB2312" w:hAnsi="仿宋_GB2312" w:eastAsia="仿宋_GB2312" w:cs="仿宋_GB2312"/>
          <w:b w:val="0"/>
          <w:bCs w:val="0"/>
          <w:color w:val="auto"/>
          <w:spacing w:val="0"/>
          <w:kern w:val="2"/>
          <w:lang w:val="en-US" w:eastAsia="zh-CN"/>
        </w:rPr>
        <w:t>年新增公办中小学学位</w:t>
      </w:r>
      <w:r>
        <w:rPr>
          <w:rFonts w:hint="eastAsia" w:ascii="Times New Roman" w:hAnsi="Times New Roman" w:eastAsia="仿宋_GB2312" w:cs="仿宋_GB2312"/>
          <w:b w:val="0"/>
          <w:bCs w:val="0"/>
          <w:color w:val="auto"/>
          <w:spacing w:val="0"/>
          <w:kern w:val="2"/>
          <w:lang w:val="en-US" w:eastAsia="zh-CN"/>
        </w:rPr>
        <w:t>2960</w:t>
      </w:r>
      <w:r>
        <w:rPr>
          <w:rFonts w:hint="eastAsia" w:ascii="仿宋_GB2312" w:hAnsi="仿宋_GB2312" w:eastAsia="仿宋_GB2312" w:cs="仿宋_GB2312"/>
          <w:b w:val="0"/>
          <w:bCs w:val="0"/>
          <w:color w:val="auto"/>
          <w:spacing w:val="0"/>
          <w:kern w:val="2"/>
          <w:lang w:val="en-US" w:eastAsia="zh-CN"/>
        </w:rPr>
        <w:t>个、公办幼儿园学位</w:t>
      </w:r>
      <w:r>
        <w:rPr>
          <w:rFonts w:hint="eastAsia" w:ascii="Times New Roman" w:hAnsi="Times New Roman" w:eastAsia="仿宋_GB2312" w:cs="仿宋_GB2312"/>
          <w:b w:val="0"/>
          <w:bCs w:val="0"/>
          <w:color w:val="auto"/>
          <w:spacing w:val="0"/>
          <w:kern w:val="2"/>
          <w:lang w:val="en-US" w:eastAsia="zh-CN"/>
        </w:rPr>
        <w:t>710</w:t>
      </w:r>
      <w:r>
        <w:rPr>
          <w:rFonts w:hint="eastAsia" w:ascii="仿宋_GB2312" w:hAnsi="仿宋_GB2312" w:eastAsia="仿宋_GB2312" w:cs="仿宋_GB2312"/>
          <w:b w:val="0"/>
          <w:bCs w:val="0"/>
          <w:color w:val="auto"/>
          <w:spacing w:val="0"/>
          <w:kern w:val="2"/>
          <w:lang w:val="en-US" w:eastAsia="zh-CN"/>
        </w:rPr>
        <w:t>个。为落实国家和省深入推动城乡教育一体化发展、促进教育资源优质均衡布局的部署要求，针对正果镇小学教育资源分散、设施薄弱、质量不均衡、学生上学远等问题，</w:t>
      </w:r>
      <w:r>
        <w:rPr>
          <w:rFonts w:hint="eastAsia" w:ascii="Times New Roman" w:hAnsi="Times New Roman" w:eastAsia="仿宋_GB2312" w:cs="仿宋_GB2312"/>
          <w:b w:val="0"/>
          <w:bCs w:val="0"/>
          <w:color w:val="auto"/>
          <w:spacing w:val="0"/>
          <w:kern w:val="2"/>
          <w:lang w:val="en-US" w:eastAsia="zh-CN"/>
        </w:rPr>
        <w:t>2022</w:t>
      </w:r>
      <w:r>
        <w:rPr>
          <w:rFonts w:hint="eastAsia" w:ascii="仿宋_GB2312" w:hAnsi="仿宋_GB2312" w:eastAsia="仿宋_GB2312" w:cs="仿宋_GB2312"/>
          <w:b w:val="0"/>
          <w:bCs w:val="0"/>
          <w:color w:val="auto"/>
          <w:spacing w:val="0"/>
          <w:kern w:val="2"/>
          <w:lang w:val="en-US" w:eastAsia="zh-CN"/>
        </w:rPr>
        <w:t>年，增城区委、区政府通过分期推进乡村小规模学校撤并整合，强化中心小学教育支撑功能，激活镇域发展内生动力，先行先试推进小规模农村薄弱学校整合改革，投资</w:t>
      </w:r>
      <w:r>
        <w:rPr>
          <w:rFonts w:hint="eastAsia" w:ascii="Times New Roman" w:hAnsi="Times New Roman" w:eastAsia="仿宋_GB2312" w:cs="仿宋_GB2312"/>
          <w:b w:val="0"/>
          <w:bCs w:val="0"/>
          <w:color w:val="auto"/>
          <w:spacing w:val="0"/>
          <w:kern w:val="2"/>
          <w:lang w:val="en-US" w:eastAsia="zh-CN"/>
        </w:rPr>
        <w:t>3</w:t>
      </w:r>
      <w:r>
        <w:rPr>
          <w:rFonts w:hint="eastAsia" w:ascii="仿宋_GB2312" w:hAnsi="仿宋_GB2312" w:eastAsia="仿宋_GB2312" w:cs="仿宋_GB2312"/>
          <w:b w:val="0"/>
          <w:bCs w:val="0"/>
          <w:color w:val="auto"/>
          <w:spacing w:val="0"/>
          <w:kern w:val="2"/>
          <w:lang w:val="en-US" w:eastAsia="zh-CN"/>
        </w:rPr>
        <w:t>.</w:t>
      </w:r>
      <w:r>
        <w:rPr>
          <w:rFonts w:hint="eastAsia" w:ascii="Times New Roman" w:hAnsi="Times New Roman" w:eastAsia="仿宋_GB2312" w:cs="仿宋_GB2312"/>
          <w:b w:val="0"/>
          <w:bCs w:val="0"/>
          <w:color w:val="auto"/>
          <w:spacing w:val="0"/>
          <w:kern w:val="2"/>
          <w:lang w:val="en-US" w:eastAsia="zh-CN"/>
        </w:rPr>
        <w:t>2</w:t>
      </w:r>
      <w:r>
        <w:rPr>
          <w:rFonts w:hint="eastAsia" w:ascii="仿宋_GB2312" w:hAnsi="仿宋_GB2312" w:eastAsia="仿宋_GB2312" w:cs="仿宋_GB2312"/>
          <w:b w:val="0"/>
          <w:bCs w:val="0"/>
          <w:color w:val="auto"/>
          <w:spacing w:val="0"/>
          <w:kern w:val="2"/>
          <w:lang w:val="en-US" w:eastAsia="zh-CN"/>
        </w:rPr>
        <w:t>亿元按照省标准化学校标准新建正果镇中心小学（新校区）。新校区的启用，成为了广州首家功能设施齐备、环境优美，提供</w:t>
      </w:r>
      <w:r>
        <w:rPr>
          <w:rFonts w:hint="eastAsia" w:ascii="Times New Roman" w:hAnsi="Times New Roman" w:eastAsia="仿宋_GB2312" w:cs="仿宋_GB2312"/>
          <w:b w:val="0"/>
          <w:bCs w:val="0"/>
          <w:color w:val="auto"/>
          <w:spacing w:val="0"/>
          <w:kern w:val="2"/>
          <w:lang w:val="en-US" w:eastAsia="zh-CN"/>
        </w:rPr>
        <w:t>2160</w:t>
      </w:r>
      <w:r>
        <w:rPr>
          <w:rFonts w:hint="eastAsia" w:ascii="仿宋_GB2312" w:hAnsi="仿宋_GB2312" w:eastAsia="仿宋_GB2312" w:cs="仿宋_GB2312"/>
          <w:b w:val="0"/>
          <w:bCs w:val="0"/>
          <w:color w:val="auto"/>
          <w:spacing w:val="0"/>
          <w:kern w:val="2"/>
          <w:lang w:val="en-US" w:eastAsia="zh-CN"/>
        </w:rPr>
        <w:t>个优质小学学位的现代化乡村公办寄宿制小学，促进了区域教育优质均衡发展，提升我区义务教育服务水平。</w:t>
      </w:r>
    </w:p>
    <w:p w14:paraId="758FBA86">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highlight w:val="yellow"/>
          <w:lang w:val="en-US" w:eastAsia="zh-CN"/>
        </w:rPr>
      </w:pPr>
      <w:r>
        <w:rPr>
          <w:rFonts w:hint="eastAsia" w:ascii="Times New Roman" w:hAnsi="Times New Roman" w:eastAsia="仿宋_GB2312" w:cs="仿宋_GB2312"/>
          <w:b/>
          <w:bCs/>
          <w:color w:val="auto"/>
          <w:spacing w:val="0"/>
          <w:kern w:val="2"/>
          <w:lang w:val="en-US" w:eastAsia="zh-CN"/>
        </w:rPr>
        <w:t>2</w:t>
      </w:r>
      <w:r>
        <w:rPr>
          <w:rFonts w:hint="eastAsia" w:ascii="仿宋_GB2312" w:hAnsi="仿宋_GB2312" w:eastAsia="仿宋_GB2312" w:cs="仿宋_GB2312"/>
          <w:b/>
          <w:bCs/>
          <w:color w:val="auto"/>
          <w:spacing w:val="0"/>
          <w:kern w:val="2"/>
          <w:lang w:val="en-US" w:eastAsia="zh-CN"/>
        </w:rPr>
        <w:t>.精准赋能，科学提升硬件设施。</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“十四五”期间，全区</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84</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所农村薄弱学校完成基建提升。累计在用教学终端</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48189</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台，拥有网络多媒体教室</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6912</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间，在库图书超</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850</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万册，基本配齐科学、物理化学实验室、音乐、美术、学生计算机室等场室及设备，全区中小学教室多媒体教学平台覆盖率、教室接入宽带率均达到</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100%</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，优质资源“班班通”基本普及，师机比为</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1</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1</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，生机比为</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8</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SA"/>
        </w:rPr>
        <w:t>1</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，达到广州市义务教育标准化学校要求，基本保障学校教育教学需要。</w:t>
      </w:r>
    </w:p>
    <w:p w14:paraId="18C9E55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color w:val="auto"/>
          <w:spacing w:val="0"/>
          <w:kern w:val="2"/>
          <w:sz w:val="32"/>
          <w:szCs w:val="32"/>
          <w:lang w:val="en-US" w:eastAsia="zh-CN" w:bidi="ar-SA"/>
        </w:rPr>
      </w:pPr>
      <w:r>
        <w:rPr>
          <w:rStyle w:val="9"/>
          <w:rFonts w:hint="eastAsia" w:ascii="Times New Roman" w:hAnsi="Times New Roman" w:eastAsia="仿宋_GB2312" w:cs="仿宋_GB2312"/>
          <w:b/>
          <w:bCs/>
          <w:i w:val="0"/>
          <w:iCs w:val="0"/>
          <w:caps w:val="0"/>
          <w:color w:val="auto"/>
          <w:spacing w:val="0"/>
          <w:kern w:val="2"/>
          <w:sz w:val="32"/>
          <w:szCs w:val="32"/>
          <w:shd w:val="clear" w:fill="FFFFFF"/>
          <w:lang w:val="en-US" w:eastAsia="zh-CN"/>
        </w:rPr>
        <w:t>3</w:t>
      </w:r>
      <w:r>
        <w:rPr>
          <w:rStyle w:val="9"/>
          <w:rFonts w:hint="eastAsia" w:ascii="仿宋_GB2312" w:hAnsi="仿宋_GB2312" w:eastAsia="仿宋_GB2312" w:cs="仿宋_GB2312"/>
          <w:b/>
          <w:bCs/>
          <w:i w:val="0"/>
          <w:iCs w:val="0"/>
          <w:caps w:val="0"/>
          <w:color w:val="auto"/>
          <w:spacing w:val="0"/>
          <w:kern w:val="2"/>
          <w:sz w:val="32"/>
          <w:szCs w:val="32"/>
          <w:shd w:val="clear" w:fill="FFFFFF"/>
          <w:lang w:val="en-US" w:eastAsia="zh-CN"/>
        </w:rPr>
        <w:t>.强师兴教，配足配强区域师资。一是</w:t>
      </w:r>
      <w:r>
        <w:rPr>
          <w:rStyle w:val="9"/>
          <w:rFonts w:hint="eastAsia" w:ascii="仿宋_GB2312" w:hAnsi="仿宋_GB2312" w:eastAsia="仿宋_GB2312" w:cs="仿宋_GB2312"/>
          <w:b w:val="0"/>
          <w:bCs w:val="0"/>
          <w:i w:val="0"/>
          <w:iCs w:val="0"/>
          <w:caps w:val="0"/>
          <w:color w:val="auto"/>
          <w:spacing w:val="0"/>
          <w:kern w:val="2"/>
          <w:sz w:val="32"/>
          <w:szCs w:val="32"/>
          <w:shd w:val="clear" w:fill="FFFFFF"/>
        </w:rPr>
        <w:t>优化规模结构</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十四五</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以来</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招聘新教师</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1677</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人，其中研究生</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1306</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人，占比</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77</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88</w:t>
      </w:r>
      <w:r>
        <w:rPr>
          <w:rFonts w:hint="eastAsia" w:ascii="Times New Roman" w:hAnsi="Times New Roman" w:eastAsia="仿宋_GB2312" w:cs="仿宋_GB2312"/>
          <w:b w:val="0"/>
          <w:bCs w:val="0"/>
          <w:color w:val="auto"/>
          <w:spacing w:val="0"/>
          <w:kern w:val="2"/>
          <w:sz w:val="32"/>
          <w:szCs w:val="32"/>
          <w:highlight w:val="none"/>
          <w:lang w:val="en-US" w:eastAsia="zh-CN" w:bidi="ar-SA"/>
        </w:rPr>
        <w:t>%</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，引进基础教育</w:t>
      </w:r>
      <w:r>
        <w:rPr>
          <w:rFonts w:hint="eastAsia" w:ascii="仿宋_GB2312" w:hAnsi="仿宋_GB2312" w:eastAsia="仿宋_GB2312" w:cs="仿宋_GB2312"/>
          <w:color w:val="auto"/>
          <w:spacing w:val="0"/>
          <w:kern w:val="2"/>
          <w:sz w:val="32"/>
          <w:szCs w:val="32"/>
          <w:lang w:val="en-US" w:eastAsia="zh-CN"/>
        </w:rPr>
        <w:t>高端</w:t>
      </w:r>
      <w:r>
        <w:rPr>
          <w:rFonts w:hint="eastAsia" w:ascii="仿宋_GB2312" w:hAnsi="仿宋_GB2312" w:eastAsia="仿宋_GB2312" w:cs="仿宋_GB2312"/>
          <w:color w:val="auto"/>
          <w:spacing w:val="0"/>
          <w:kern w:val="2"/>
          <w:sz w:val="32"/>
          <w:szCs w:val="32"/>
          <w:lang w:eastAsia="zh-CN"/>
        </w:rPr>
        <w:t>人</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才</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eastAsia="zh-CN"/>
        </w:rPr>
        <w:t>3</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名（杰出名校长</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eastAsia="zh-CN"/>
        </w:rPr>
        <w:t>1</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名、名教师</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eastAsia="zh-CN"/>
        </w:rPr>
        <w:t>2</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名）。</w:t>
      </w:r>
      <w:r>
        <w:rPr>
          <w:rFonts w:hint="eastAsia" w:ascii="仿宋_GB2312" w:hAnsi="仿宋_GB2312" w:eastAsia="仿宋_GB2312" w:cs="仿宋_GB2312"/>
          <w:color w:val="auto"/>
          <w:spacing w:val="0"/>
          <w:kern w:val="2"/>
          <w:sz w:val="32"/>
          <w:szCs w:val="32"/>
        </w:rPr>
        <w:t>按照“一招二调三提升四监管”</w:t>
      </w:r>
      <w:r>
        <w:rPr>
          <w:rStyle w:val="11"/>
          <w:rFonts w:hint="eastAsia" w:ascii="仿宋_GB2312" w:hAnsi="仿宋_GB2312" w:eastAsia="仿宋_GB2312" w:cs="仿宋_GB2312"/>
          <w:color w:val="auto"/>
          <w:spacing w:val="0"/>
          <w:kern w:val="2"/>
          <w:sz w:val="32"/>
          <w:szCs w:val="32"/>
        </w:rPr>
        <w:footnoteReference w:id="2"/>
      </w:r>
      <w:r>
        <w:rPr>
          <w:rFonts w:hint="eastAsia" w:ascii="仿宋_GB2312" w:hAnsi="仿宋_GB2312" w:eastAsia="仿宋_GB2312" w:cs="仿宋_GB2312"/>
          <w:color w:val="auto"/>
          <w:spacing w:val="0"/>
          <w:kern w:val="2"/>
          <w:sz w:val="32"/>
          <w:szCs w:val="32"/>
        </w:rPr>
        <w:t>的方式</w:t>
      </w:r>
      <w:r>
        <w:rPr>
          <w:rFonts w:hint="eastAsia" w:ascii="仿宋_GB2312" w:hAnsi="仿宋_GB2312" w:eastAsia="仿宋_GB2312" w:cs="仿宋_GB2312"/>
          <w:color w:val="auto"/>
          <w:spacing w:val="0"/>
          <w:kern w:val="2"/>
          <w:sz w:val="32"/>
          <w:szCs w:val="32"/>
          <w:lang w:val="en-US" w:eastAsia="zh-CN"/>
        </w:rPr>
        <w:t>提升教师学历层次，</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实现义务教育学校教师</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eastAsia="zh-CN"/>
        </w:rPr>
        <w:t>高一层次学历均超过广州市标准</w:t>
      </w:r>
      <w:r>
        <w:rPr>
          <w:rFonts w:hint="eastAsia" w:ascii="仿宋_GB2312" w:hAnsi="仿宋_GB2312" w:eastAsia="仿宋_GB2312" w:cs="仿宋_GB2312"/>
          <w:color w:val="auto"/>
          <w:spacing w:val="0"/>
          <w:kern w:val="2"/>
          <w:sz w:val="32"/>
          <w:szCs w:val="32"/>
          <w:lang w:eastAsia="zh-CN"/>
        </w:rPr>
        <w:t>。</w:t>
      </w:r>
      <w:r>
        <w:rPr>
          <w:rFonts w:hint="eastAsia" w:ascii="仿宋_GB2312" w:hAnsi="仿宋_GB2312" w:eastAsia="仿宋_GB2312" w:cs="仿宋_GB2312"/>
          <w:color w:val="auto"/>
          <w:spacing w:val="0"/>
          <w:kern w:val="2"/>
          <w:sz w:val="32"/>
          <w:szCs w:val="32"/>
        </w:rPr>
        <w:t>确保配足开齐开足体育美育课程的体艺老师，每校至少配备</w:t>
      </w:r>
      <w:r>
        <w:rPr>
          <w:rFonts w:hint="eastAsia" w:ascii="Times New Roman" w:hAnsi="Times New Roman" w:eastAsia="仿宋_GB2312" w:cs="仿宋_GB2312"/>
          <w:color w:val="auto"/>
          <w:spacing w:val="0"/>
          <w:kern w:val="2"/>
          <w:sz w:val="32"/>
          <w:szCs w:val="32"/>
        </w:rPr>
        <w:t>1</w:t>
      </w:r>
      <w:r>
        <w:rPr>
          <w:rFonts w:hint="eastAsia" w:ascii="仿宋_GB2312" w:hAnsi="仿宋_GB2312" w:eastAsia="仿宋_GB2312" w:cs="仿宋_GB2312"/>
          <w:color w:val="auto"/>
          <w:spacing w:val="0"/>
          <w:kern w:val="2"/>
          <w:sz w:val="32"/>
          <w:szCs w:val="32"/>
        </w:rPr>
        <w:t>名劳动专任教师和</w:t>
      </w:r>
      <w:r>
        <w:rPr>
          <w:rFonts w:hint="eastAsia" w:ascii="Times New Roman" w:hAnsi="Times New Roman" w:eastAsia="仿宋_GB2312" w:cs="仿宋_GB2312"/>
          <w:color w:val="auto"/>
          <w:spacing w:val="0"/>
          <w:kern w:val="2"/>
          <w:sz w:val="32"/>
          <w:szCs w:val="32"/>
        </w:rPr>
        <w:t>1</w:t>
      </w:r>
      <w:r>
        <w:rPr>
          <w:rFonts w:hint="eastAsia" w:ascii="仿宋_GB2312" w:hAnsi="仿宋_GB2312" w:eastAsia="仿宋_GB2312" w:cs="仿宋_GB2312"/>
          <w:color w:val="auto"/>
          <w:spacing w:val="0"/>
          <w:kern w:val="2"/>
          <w:sz w:val="32"/>
          <w:szCs w:val="32"/>
        </w:rPr>
        <w:t>名心理专职教师，思政教师配备达到国家要求</w:t>
      </w:r>
      <w:r>
        <w:rPr>
          <w:rFonts w:hint="eastAsia" w:ascii="仿宋_GB2312" w:hAnsi="仿宋_GB2312" w:eastAsia="仿宋_GB2312" w:cs="仿宋_GB2312"/>
          <w:color w:val="auto"/>
          <w:spacing w:val="0"/>
          <w:kern w:val="2"/>
          <w:sz w:val="32"/>
          <w:szCs w:val="32"/>
          <w:lang w:val="en-US" w:eastAsia="zh-CN"/>
        </w:rPr>
        <w:t>。与华商学院共建教师实习实践</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基地，接纳师范类本科生</w:t>
      </w:r>
      <w:r>
        <w:rPr>
          <w:rStyle w:val="9"/>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460</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余人到小学实习。</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rPr>
        <w:t>二是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引领专业发展，认定</w:t>
      </w:r>
      <w:r>
        <w:rPr>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1589</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名区级骨干教师、</w:t>
      </w:r>
      <w:r>
        <w:rPr>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rPr>
        <w:t>536</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名民办中小学骨干教师。</w:t>
      </w:r>
      <w:r>
        <w:rPr>
          <w:rFonts w:hint="eastAsia" w:ascii="仿宋_GB2312" w:hAnsi="仿宋_GB2312" w:eastAsia="仿宋_GB2312" w:cs="仿宋_GB2312"/>
          <w:color w:val="auto"/>
          <w:spacing w:val="0"/>
          <w:kern w:val="2"/>
          <w:sz w:val="32"/>
          <w:szCs w:val="32"/>
          <w:lang w:val="en-US" w:eastAsia="zh-CN"/>
        </w:rPr>
        <w:t>增加正高级教师</w:t>
      </w:r>
      <w:r>
        <w:rPr>
          <w:rFonts w:hint="eastAsia" w:ascii="Times New Roman" w:hAnsi="Times New Roman" w:eastAsia="仿宋_GB2312" w:cs="仿宋_GB2312"/>
          <w:color w:val="auto"/>
          <w:spacing w:val="0"/>
          <w:kern w:val="2"/>
          <w:sz w:val="32"/>
          <w:szCs w:val="32"/>
          <w:lang w:val="en-US" w:eastAsia="zh-CN"/>
        </w:rPr>
        <w:t>11</w:t>
      </w:r>
      <w:r>
        <w:rPr>
          <w:rFonts w:hint="eastAsia" w:ascii="仿宋_GB2312" w:hAnsi="仿宋_GB2312" w:eastAsia="仿宋_GB2312" w:cs="仿宋_GB2312"/>
          <w:color w:val="auto"/>
          <w:spacing w:val="0"/>
          <w:kern w:val="2"/>
          <w:sz w:val="32"/>
          <w:szCs w:val="32"/>
          <w:lang w:val="en-US" w:eastAsia="zh-CN"/>
        </w:rPr>
        <w:t>名、广州市名师工作室主持人</w:t>
      </w:r>
      <w:r>
        <w:rPr>
          <w:rFonts w:hint="eastAsia" w:ascii="Times New Roman" w:hAnsi="Times New Roman" w:eastAsia="仿宋_GB2312" w:cs="仿宋_GB2312"/>
          <w:color w:val="auto"/>
          <w:spacing w:val="0"/>
          <w:kern w:val="2"/>
          <w:sz w:val="32"/>
          <w:szCs w:val="32"/>
          <w:lang w:val="en-US" w:eastAsia="zh-CN"/>
        </w:rPr>
        <w:t>36</w:t>
      </w:r>
      <w:r>
        <w:rPr>
          <w:rFonts w:hint="eastAsia" w:ascii="仿宋_GB2312" w:hAnsi="仿宋_GB2312" w:eastAsia="仿宋_GB2312" w:cs="仿宋_GB2312"/>
          <w:color w:val="auto"/>
          <w:spacing w:val="0"/>
          <w:kern w:val="2"/>
          <w:sz w:val="32"/>
          <w:szCs w:val="32"/>
          <w:lang w:val="en-US" w:eastAsia="zh-CN"/>
        </w:rPr>
        <w:t>名、广州市骨干班主任</w:t>
      </w:r>
      <w:r>
        <w:rPr>
          <w:rFonts w:hint="eastAsia" w:ascii="Times New Roman" w:hAnsi="Times New Roman" w:eastAsia="仿宋_GB2312" w:cs="仿宋_GB2312"/>
          <w:color w:val="auto"/>
          <w:spacing w:val="0"/>
          <w:kern w:val="2"/>
          <w:sz w:val="32"/>
          <w:szCs w:val="32"/>
          <w:lang w:val="en-US" w:eastAsia="zh-CN"/>
        </w:rPr>
        <w:t>382</w:t>
      </w:r>
      <w:r>
        <w:rPr>
          <w:rFonts w:hint="eastAsia" w:ascii="仿宋_GB2312" w:hAnsi="仿宋_GB2312" w:eastAsia="仿宋_GB2312" w:cs="仿宋_GB2312"/>
          <w:color w:val="auto"/>
          <w:spacing w:val="0"/>
          <w:kern w:val="2"/>
          <w:sz w:val="32"/>
          <w:szCs w:val="32"/>
          <w:lang w:val="en-US" w:eastAsia="zh-CN"/>
        </w:rPr>
        <w:t>名、广州市骨干教师</w:t>
      </w:r>
      <w:r>
        <w:rPr>
          <w:rFonts w:hint="eastAsia" w:ascii="Times New Roman" w:hAnsi="Times New Roman" w:eastAsia="仿宋_GB2312" w:cs="仿宋_GB2312"/>
          <w:color w:val="auto"/>
          <w:spacing w:val="0"/>
          <w:kern w:val="2"/>
          <w:sz w:val="32"/>
          <w:szCs w:val="32"/>
          <w:lang w:val="en-US" w:eastAsia="zh-CN"/>
        </w:rPr>
        <w:t>33</w:t>
      </w:r>
      <w:r>
        <w:rPr>
          <w:rFonts w:hint="eastAsia" w:ascii="仿宋_GB2312" w:hAnsi="仿宋_GB2312" w:eastAsia="仿宋_GB2312" w:cs="仿宋_GB2312"/>
          <w:color w:val="auto"/>
          <w:spacing w:val="0"/>
          <w:kern w:val="2"/>
          <w:sz w:val="32"/>
          <w:szCs w:val="32"/>
          <w:lang w:val="en-US" w:eastAsia="zh-CN"/>
        </w:rPr>
        <w:t>名。</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与华中师大共建国家教师发展协同创新实验基地粤港澳大湾区实验中心，</w:t>
      </w:r>
      <w:r>
        <w:rPr>
          <w:rFonts w:hint="eastAsia" w:ascii="仿宋_GB2312" w:hAnsi="仿宋_GB2312" w:eastAsia="仿宋_GB2312" w:cs="仿宋_GB2312"/>
          <w:color w:val="auto"/>
          <w:spacing w:val="0"/>
          <w:kern w:val="2"/>
          <w:sz w:val="32"/>
          <w:szCs w:val="32"/>
          <w:highlight w:val="none"/>
          <w:shd w:val="clear" w:color="auto" w:fill="FFFFFF"/>
          <w:lang w:val="en-US" w:eastAsia="zh-CN"/>
        </w:rPr>
        <w:t>抓好中小学教师“三类四阶段”进阶式培训，</w:t>
      </w:r>
      <w:r>
        <w:rPr>
          <w:rFonts w:hint="eastAsia" w:ascii="仿宋_GB2312" w:hAnsi="仿宋_GB2312" w:eastAsia="仿宋_GB2312" w:cs="仿宋_GB2312"/>
          <w:b w:val="0"/>
          <w:bCs w:val="0"/>
          <w:color w:val="auto"/>
          <w:spacing w:val="0"/>
          <w:kern w:val="2"/>
          <w:sz w:val="32"/>
          <w:szCs w:val="32"/>
          <w:lang w:val="en-US" w:eastAsia="zh-CN"/>
        </w:rPr>
        <w:t>完成区级教师培训</w:t>
      </w:r>
      <w:r>
        <w:rPr>
          <w:rFonts w:hint="eastAsia" w:ascii="Times New Roman" w:hAnsi="Times New Roman" w:eastAsia="仿宋_GB2312" w:cs="仿宋_GB2312"/>
          <w:b w:val="0"/>
          <w:bCs w:val="0"/>
          <w:color w:val="auto"/>
          <w:spacing w:val="0"/>
          <w:kern w:val="2"/>
          <w:sz w:val="32"/>
          <w:szCs w:val="32"/>
          <w:lang w:val="en-US" w:eastAsia="zh-CN"/>
        </w:rPr>
        <w:t>142</w:t>
      </w:r>
      <w:r>
        <w:rPr>
          <w:rFonts w:hint="eastAsia" w:ascii="仿宋_GB2312" w:hAnsi="仿宋_GB2312" w:eastAsia="仿宋_GB2312" w:cs="仿宋_GB2312"/>
          <w:b w:val="0"/>
          <w:bCs w:val="0"/>
          <w:color w:val="auto"/>
          <w:spacing w:val="0"/>
          <w:kern w:val="2"/>
          <w:sz w:val="32"/>
          <w:szCs w:val="32"/>
          <w:lang w:val="en-US" w:eastAsia="zh-CN"/>
        </w:rPr>
        <w:t>项，培训区内学员</w:t>
      </w:r>
      <w:r>
        <w:rPr>
          <w:rFonts w:hint="eastAsia" w:ascii="Times New Roman" w:hAnsi="Times New Roman" w:eastAsia="仿宋_GB2312" w:cs="仿宋_GB2312"/>
          <w:b w:val="0"/>
          <w:bCs w:val="0"/>
          <w:color w:val="auto"/>
          <w:spacing w:val="0"/>
          <w:kern w:val="2"/>
          <w:sz w:val="32"/>
          <w:szCs w:val="32"/>
          <w:lang w:val="en-US" w:eastAsia="zh-CN"/>
        </w:rPr>
        <w:t>41265</w:t>
      </w:r>
      <w:r>
        <w:rPr>
          <w:rFonts w:hint="eastAsia" w:ascii="仿宋_GB2312" w:hAnsi="仿宋_GB2312" w:eastAsia="仿宋_GB2312" w:cs="仿宋_GB2312"/>
          <w:b w:val="0"/>
          <w:bCs w:val="0"/>
          <w:color w:val="auto"/>
          <w:spacing w:val="0"/>
          <w:kern w:val="2"/>
          <w:sz w:val="32"/>
          <w:szCs w:val="32"/>
          <w:lang w:val="en-US" w:eastAsia="zh-CN"/>
        </w:rPr>
        <w:t>人次，</w:t>
      </w:r>
      <w:r>
        <w:rPr>
          <w:rFonts w:hint="eastAsia" w:ascii="Times New Roman" w:hAnsi="Times New Roman" w:eastAsia="仿宋_GB2312" w:cs="仿宋_GB2312"/>
          <w:color w:val="auto"/>
          <w:spacing w:val="0"/>
          <w:kern w:val="2"/>
          <w:sz w:val="32"/>
          <w:szCs w:val="32"/>
          <w:lang w:val="en-US" w:eastAsia="zh-CN"/>
        </w:rPr>
        <w:t>3</w:t>
      </w:r>
      <w:r>
        <w:rPr>
          <w:rFonts w:hint="eastAsia" w:ascii="仿宋_GB2312" w:hAnsi="仿宋_GB2312" w:eastAsia="仿宋_GB2312" w:cs="仿宋_GB2312"/>
          <w:color w:val="auto"/>
          <w:spacing w:val="0"/>
          <w:kern w:val="2"/>
          <w:sz w:val="32"/>
          <w:szCs w:val="32"/>
          <w:lang w:val="en-US" w:eastAsia="zh-CN"/>
        </w:rPr>
        <w:t>人在</w:t>
      </w:r>
      <w:r>
        <w:rPr>
          <w:rFonts w:hint="eastAsia" w:ascii="Times New Roman" w:hAnsi="Times New Roman" w:eastAsia="仿宋_GB2312" w:cs="仿宋_GB2312"/>
          <w:color w:val="auto"/>
          <w:spacing w:val="0"/>
          <w:kern w:val="2"/>
          <w:sz w:val="32"/>
          <w:szCs w:val="32"/>
          <w:lang w:val="en-US" w:eastAsia="zh-CN"/>
        </w:rPr>
        <w:t>2024</w:t>
      </w:r>
      <w:r>
        <w:rPr>
          <w:rFonts w:hint="eastAsia" w:ascii="仿宋_GB2312" w:hAnsi="仿宋_GB2312" w:eastAsia="仿宋_GB2312" w:cs="仿宋_GB2312"/>
          <w:color w:val="auto"/>
          <w:spacing w:val="0"/>
          <w:kern w:val="2"/>
          <w:sz w:val="32"/>
          <w:szCs w:val="32"/>
          <w:lang w:val="en-US" w:eastAsia="zh-CN"/>
        </w:rPr>
        <w:t>年广东省教师教学能力大赛中荣获一等奖，</w:t>
      </w:r>
      <w:r>
        <w:rPr>
          <w:rFonts w:hint="eastAsia" w:ascii="Times New Roman" w:hAnsi="Times New Roman" w:eastAsia="仿宋_GB2312" w:cs="仿宋_GB2312"/>
          <w:color w:val="auto"/>
          <w:spacing w:val="0"/>
          <w:kern w:val="2"/>
          <w:sz w:val="32"/>
          <w:szCs w:val="32"/>
          <w:lang w:val="en-US" w:eastAsia="zh-CN"/>
        </w:rPr>
        <w:t>1</w:t>
      </w:r>
      <w:r>
        <w:rPr>
          <w:rFonts w:hint="eastAsia" w:ascii="仿宋_GB2312" w:hAnsi="仿宋_GB2312" w:eastAsia="仿宋_GB2312" w:cs="仿宋_GB2312"/>
          <w:color w:val="auto"/>
          <w:spacing w:val="0"/>
          <w:kern w:val="2"/>
          <w:sz w:val="32"/>
          <w:szCs w:val="32"/>
          <w:lang w:val="en-US" w:eastAsia="zh-CN"/>
        </w:rPr>
        <w:t>人被授予</w:t>
      </w:r>
      <w:r>
        <w:rPr>
          <w:rFonts w:hint="eastAsia" w:ascii="Times New Roman" w:hAnsi="Times New Roman" w:eastAsia="仿宋_GB2312" w:cs="仿宋_GB2312"/>
          <w:color w:val="auto"/>
          <w:spacing w:val="0"/>
          <w:kern w:val="2"/>
          <w:sz w:val="32"/>
          <w:szCs w:val="32"/>
          <w:lang w:val="en-US" w:eastAsia="zh-CN"/>
        </w:rPr>
        <w:t>2024</w:t>
      </w:r>
      <w:r>
        <w:rPr>
          <w:rFonts w:hint="eastAsia" w:ascii="仿宋_GB2312" w:hAnsi="仿宋_GB2312" w:eastAsia="仿宋_GB2312" w:cs="仿宋_GB2312"/>
          <w:color w:val="auto"/>
          <w:spacing w:val="0"/>
          <w:kern w:val="2"/>
          <w:sz w:val="32"/>
          <w:szCs w:val="32"/>
          <w:lang w:val="en-US" w:eastAsia="zh-CN"/>
        </w:rPr>
        <w:t>年广东省五一劳动奖章。</w:t>
      </w:r>
      <w:r>
        <w:rPr>
          <w:rStyle w:val="9"/>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三是</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涵养师德师风，</w:t>
      </w:r>
      <w:r>
        <w:rPr>
          <w:rFonts w:hint="eastAsia" w:ascii="仿宋_GB2312" w:hAnsi="仿宋_GB2312" w:eastAsia="仿宋_GB2312" w:cs="仿宋_GB2312"/>
          <w:color w:val="auto"/>
          <w:spacing w:val="0"/>
          <w:kern w:val="2"/>
          <w:sz w:val="32"/>
          <w:szCs w:val="32"/>
          <w:highlight w:val="none"/>
          <w:shd w:val="clear" w:color="auto" w:fill="FFFFFF"/>
          <w:lang w:val="en-US" w:eastAsia="zh-CN"/>
        </w:rPr>
        <w:t>落实全员师德专题教育和师德师风专题学习，严格执行师德师风建设</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4</w:t>
      </w:r>
      <w:r>
        <w:rPr>
          <w:rFonts w:hint="eastAsia" w:ascii="仿宋_GB2312" w:hAnsi="仿宋_GB2312" w:eastAsia="仿宋_GB2312" w:cs="仿宋_GB2312"/>
          <w:color w:val="auto"/>
          <w:spacing w:val="0"/>
          <w:kern w:val="2"/>
          <w:sz w:val="32"/>
          <w:szCs w:val="32"/>
          <w:highlight w:val="none"/>
          <w:shd w:val="clear" w:color="auto" w:fill="FFFFFF"/>
          <w:lang w:val="en-US" w:eastAsia="zh-CN"/>
        </w:rPr>
        <w:t>大类</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18</w:t>
      </w:r>
      <w:r>
        <w:rPr>
          <w:rFonts w:hint="eastAsia" w:ascii="仿宋_GB2312" w:hAnsi="仿宋_GB2312" w:eastAsia="仿宋_GB2312" w:cs="仿宋_GB2312"/>
          <w:color w:val="auto"/>
          <w:spacing w:val="0"/>
          <w:kern w:val="2"/>
          <w:sz w:val="32"/>
          <w:szCs w:val="32"/>
          <w:highlight w:val="none"/>
          <w:shd w:val="clear" w:color="auto" w:fill="FFFFFF"/>
          <w:lang w:val="en-US" w:eastAsia="zh-CN"/>
        </w:rPr>
        <w:t>条措施，</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出台</w:t>
      </w:r>
      <w:r>
        <w:rPr>
          <w:rStyle w:val="9"/>
          <w:rFonts w:hint="eastAsia" w:ascii="Times New Roman" w:hAnsi="Times New Roman" w:eastAsia="仿宋_GB2312" w:cs="仿宋_GB2312"/>
          <w:b w:val="0"/>
          <w:bCs w:val="0"/>
          <w:i w:val="0"/>
          <w:iCs w:val="0"/>
          <w:caps w:val="0"/>
          <w:color w:val="auto"/>
          <w:spacing w:val="0"/>
          <w:kern w:val="2"/>
          <w:sz w:val="32"/>
          <w:szCs w:val="32"/>
          <w:shd w:val="clear" w:fill="FFFFFF"/>
          <w:lang w:val="en-US" w:eastAsia="zh-CN" w:bidi="ar"/>
        </w:rPr>
        <w:t>15</w:t>
      </w:r>
      <w:r>
        <w:rPr>
          <w:rStyle w:val="9"/>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项教师日常管理制度，</w:t>
      </w:r>
      <w:r>
        <w:rPr>
          <w:rFonts w:hint="eastAsia" w:ascii="仿宋_GB2312" w:hAnsi="仿宋_GB2312" w:eastAsia="仿宋_GB2312" w:cs="仿宋_GB2312"/>
          <w:b w:val="0"/>
          <w:bCs w:val="0"/>
          <w:i w:val="0"/>
          <w:iCs w:val="0"/>
          <w:caps w:val="0"/>
          <w:color w:val="auto"/>
          <w:spacing w:val="0"/>
          <w:kern w:val="2"/>
          <w:sz w:val="32"/>
          <w:szCs w:val="32"/>
          <w:shd w:val="clear" w:fill="FFFFFF"/>
        </w:rPr>
        <w:t>区</w:t>
      </w:r>
      <w:r>
        <w:rPr>
          <w:rFonts w:hint="eastAsia" w:ascii="仿宋_GB2312" w:hAnsi="仿宋_GB2312" w:eastAsia="仿宋_GB2312" w:cs="仿宋_GB2312"/>
          <w:i w:val="0"/>
          <w:iCs w:val="0"/>
          <w:caps w:val="0"/>
          <w:color w:val="auto"/>
          <w:spacing w:val="0"/>
          <w:kern w:val="2"/>
          <w:sz w:val="32"/>
          <w:szCs w:val="32"/>
          <w:shd w:val="clear" w:fill="FFFFFF"/>
        </w:rPr>
        <w:t>级</w:t>
      </w:r>
      <w:r>
        <w:rPr>
          <w:rFonts w:hint="eastAsia" w:ascii="仿宋_GB2312" w:hAnsi="仿宋_GB2312" w:eastAsia="仿宋_GB2312" w:cs="仿宋_GB2312"/>
          <w:i w:val="0"/>
          <w:iCs w:val="0"/>
          <w:caps w:val="0"/>
          <w:color w:val="auto"/>
          <w:spacing w:val="0"/>
          <w:kern w:val="2"/>
          <w:sz w:val="32"/>
          <w:szCs w:val="32"/>
          <w:shd w:val="clear" w:fill="FFFFFF"/>
          <w:lang w:val="en-US" w:eastAsia="zh-CN"/>
        </w:rPr>
        <w:t>表扬优秀个人</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1019</w:t>
      </w:r>
      <w:r>
        <w:rPr>
          <w:rFonts w:hint="eastAsia" w:ascii="仿宋_GB2312" w:hAnsi="仿宋_GB2312" w:eastAsia="仿宋_GB2312" w:cs="仿宋_GB2312"/>
          <w:i w:val="0"/>
          <w:iCs w:val="0"/>
          <w:caps w:val="0"/>
          <w:color w:val="auto"/>
          <w:spacing w:val="0"/>
          <w:kern w:val="2"/>
          <w:sz w:val="32"/>
          <w:szCs w:val="32"/>
          <w:shd w:val="clear" w:fill="FFFFFF"/>
          <w:lang w:val="en-US" w:eastAsia="zh-CN"/>
        </w:rPr>
        <w:t>人</w:t>
      </w:r>
      <w:r>
        <w:rPr>
          <w:rFonts w:hint="eastAsia" w:ascii="仿宋_GB2312" w:hAnsi="仿宋_GB2312" w:eastAsia="仿宋_GB2312" w:cs="仿宋_GB2312"/>
          <w:i w:val="0"/>
          <w:iCs w:val="0"/>
          <w:caps w:val="0"/>
          <w:color w:val="auto"/>
          <w:spacing w:val="0"/>
          <w:kern w:val="2"/>
          <w:sz w:val="32"/>
          <w:szCs w:val="32"/>
          <w:shd w:val="clear" w:fill="FFFFFF"/>
          <w:lang w:eastAsia="zh-CN"/>
        </w:rPr>
        <w:t>，</w:t>
      </w:r>
      <w:r>
        <w:rPr>
          <w:rFonts w:hint="eastAsia" w:ascii="仿宋_GB2312" w:hAnsi="仿宋_GB2312" w:eastAsia="仿宋_GB2312" w:cs="仿宋_GB2312"/>
          <w:i w:val="0"/>
          <w:iCs w:val="0"/>
          <w:caps w:val="0"/>
          <w:color w:val="auto"/>
          <w:spacing w:val="0"/>
          <w:kern w:val="2"/>
          <w:sz w:val="32"/>
          <w:szCs w:val="32"/>
          <w:shd w:val="clear" w:fill="FFFFFF"/>
          <w:lang w:val="en-US" w:eastAsia="zh-CN"/>
        </w:rPr>
        <w:t>集体</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84</w:t>
      </w:r>
      <w:r>
        <w:rPr>
          <w:rFonts w:hint="eastAsia" w:ascii="仿宋_GB2312" w:hAnsi="仿宋_GB2312" w:eastAsia="仿宋_GB2312" w:cs="仿宋_GB2312"/>
          <w:i w:val="0"/>
          <w:iCs w:val="0"/>
          <w:caps w:val="0"/>
          <w:color w:val="auto"/>
          <w:spacing w:val="0"/>
          <w:kern w:val="2"/>
          <w:sz w:val="32"/>
          <w:szCs w:val="32"/>
          <w:shd w:val="clear" w:fill="FFFFFF"/>
          <w:lang w:val="en-US" w:eastAsia="zh-CN"/>
        </w:rPr>
        <w:t>个，</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29</w:t>
      </w:r>
      <w:r>
        <w:rPr>
          <w:rFonts w:hint="eastAsia" w:ascii="仿宋_GB2312" w:hAnsi="仿宋_GB2312" w:eastAsia="仿宋_GB2312" w:cs="仿宋_GB2312"/>
          <w:i w:val="0"/>
          <w:iCs w:val="0"/>
          <w:caps w:val="0"/>
          <w:color w:val="auto"/>
          <w:spacing w:val="0"/>
          <w:kern w:val="2"/>
          <w:sz w:val="32"/>
          <w:szCs w:val="32"/>
          <w:shd w:val="clear" w:fill="FFFFFF"/>
          <w:lang w:val="en-US" w:eastAsia="zh-CN"/>
        </w:rPr>
        <w:t>人获评南粤优秀教师，</w:t>
      </w:r>
      <w:r>
        <w:rPr>
          <w:rFonts w:hint="eastAsia" w:ascii="Times New Roman" w:hAnsi="Times New Roman" w:eastAsia="仿宋_GB2312" w:cs="仿宋_GB2312"/>
          <w:color w:val="auto"/>
          <w:spacing w:val="0"/>
          <w:kern w:val="2"/>
          <w:sz w:val="32"/>
          <w:szCs w:val="32"/>
        </w:rPr>
        <w:t>1</w:t>
      </w:r>
      <w:r>
        <w:rPr>
          <w:rFonts w:hint="eastAsia" w:ascii="仿宋_GB2312" w:hAnsi="仿宋_GB2312" w:eastAsia="仿宋_GB2312" w:cs="仿宋_GB2312"/>
          <w:color w:val="auto"/>
          <w:spacing w:val="0"/>
          <w:kern w:val="2"/>
          <w:sz w:val="32"/>
          <w:szCs w:val="32"/>
          <w:lang w:val="en-US" w:eastAsia="zh-CN"/>
        </w:rPr>
        <w:t>人获评</w:t>
      </w:r>
      <w:r>
        <w:rPr>
          <w:rFonts w:hint="eastAsia" w:ascii="仿宋_GB2312" w:hAnsi="仿宋_GB2312" w:eastAsia="仿宋_GB2312" w:cs="仿宋_GB2312"/>
          <w:color w:val="auto"/>
          <w:spacing w:val="0"/>
          <w:kern w:val="2"/>
          <w:sz w:val="32"/>
          <w:szCs w:val="32"/>
        </w:rPr>
        <w:t>特级教师</w:t>
      </w:r>
      <w:r>
        <w:rPr>
          <w:rFonts w:hint="eastAsia" w:ascii="仿宋_GB2312" w:hAnsi="仿宋_GB2312" w:eastAsia="仿宋_GB2312" w:cs="仿宋_GB2312"/>
          <w:color w:val="auto"/>
          <w:spacing w:val="0"/>
          <w:kern w:val="2"/>
          <w:sz w:val="32"/>
          <w:szCs w:val="32"/>
          <w:lang w:eastAsia="zh-CN"/>
        </w:rPr>
        <w:t>。</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四是</w:t>
      </w:r>
      <w:r>
        <w:rPr>
          <w:rFonts w:hint="eastAsia" w:ascii="仿宋_GB2312" w:hAnsi="仿宋_GB2312" w:eastAsia="仿宋_GB2312" w:cs="仿宋_GB2312"/>
          <w:b w:val="0"/>
          <w:bCs w:val="0"/>
          <w:color w:val="auto"/>
          <w:spacing w:val="0"/>
          <w:kern w:val="2"/>
          <w:sz w:val="32"/>
          <w:szCs w:val="32"/>
          <w:lang w:val="en-US" w:eastAsia="zh-CN"/>
        </w:rPr>
        <w:t>深化</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人事改革</w:t>
      </w:r>
      <w:r>
        <w:rPr>
          <w:rFonts w:hint="eastAsia" w:ascii="仿宋_GB2312" w:hAnsi="仿宋_GB2312" w:eastAsia="仿宋_GB2312" w:cs="仿宋_GB2312"/>
          <w:i w:val="0"/>
          <w:iCs w:val="0"/>
          <w:caps w:val="0"/>
          <w:color w:val="auto"/>
          <w:spacing w:val="0"/>
          <w:kern w:val="2"/>
          <w:sz w:val="32"/>
          <w:szCs w:val="32"/>
          <w:shd w:val="clear" w:fill="FFFFFF"/>
          <w:lang w:val="en-US" w:eastAsia="zh-CN"/>
        </w:rPr>
        <w:t>，持续推进</w:t>
      </w:r>
      <w:r>
        <w:rPr>
          <w:rFonts w:hint="eastAsia" w:ascii="仿宋_GB2312" w:hAnsi="仿宋_GB2312" w:eastAsia="仿宋_GB2312" w:cs="仿宋_GB2312"/>
          <w:i w:val="0"/>
          <w:iCs w:val="0"/>
          <w:caps w:val="0"/>
          <w:color w:val="auto"/>
          <w:spacing w:val="0"/>
          <w:kern w:val="2"/>
          <w:sz w:val="32"/>
          <w:szCs w:val="32"/>
          <w:shd w:val="clear" w:fill="FFFFFF"/>
        </w:rPr>
        <w:t>“区管校聘”改革</w:t>
      </w:r>
      <w:r>
        <w:rPr>
          <w:rFonts w:hint="eastAsia" w:ascii="仿宋_GB2312" w:hAnsi="仿宋_GB2312" w:eastAsia="仿宋_GB2312" w:cs="仿宋_GB2312"/>
          <w:i w:val="0"/>
          <w:iCs w:val="0"/>
          <w:caps w:val="0"/>
          <w:color w:val="auto"/>
          <w:spacing w:val="0"/>
          <w:kern w:val="2"/>
          <w:sz w:val="32"/>
          <w:szCs w:val="32"/>
          <w:shd w:val="clear" w:fill="FFFFFF"/>
          <w:lang w:val="en-US" w:eastAsia="zh-CN"/>
        </w:rPr>
        <w:t>及常态化教师交流轮岗，近两年</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1109</w:t>
      </w:r>
      <w:r>
        <w:rPr>
          <w:rFonts w:hint="eastAsia" w:ascii="仿宋_GB2312" w:hAnsi="仿宋_GB2312" w:eastAsia="仿宋_GB2312" w:cs="仿宋_GB2312"/>
          <w:i w:val="0"/>
          <w:iCs w:val="0"/>
          <w:caps w:val="0"/>
          <w:color w:val="auto"/>
          <w:spacing w:val="0"/>
          <w:kern w:val="2"/>
          <w:sz w:val="32"/>
          <w:szCs w:val="32"/>
          <w:shd w:val="clear" w:fill="FFFFFF"/>
          <w:lang w:val="en-US" w:eastAsia="zh-CN"/>
        </w:rPr>
        <w:t>名教师参与，占比</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40</w:t>
      </w:r>
      <w:r>
        <w:rPr>
          <w:rFonts w:hint="eastAsia" w:ascii="仿宋_GB2312" w:hAnsi="仿宋_GB2312" w:eastAsia="仿宋_GB2312" w:cs="仿宋_GB2312"/>
          <w:i w:val="0"/>
          <w:iCs w:val="0"/>
          <w:caps w:val="0"/>
          <w:color w:val="auto"/>
          <w:spacing w:val="0"/>
          <w:kern w:val="2"/>
          <w:sz w:val="32"/>
          <w:szCs w:val="32"/>
          <w:shd w:val="clear" w:fill="FFFFFF"/>
          <w:lang w:val="en-US" w:eastAsia="zh-CN"/>
        </w:rPr>
        <w:t>.</w:t>
      </w:r>
      <w:r>
        <w:rPr>
          <w:rFonts w:hint="eastAsia" w:ascii="Times New Roman" w:hAnsi="Times New Roman" w:eastAsia="仿宋_GB2312" w:cs="仿宋_GB2312"/>
          <w:i w:val="0"/>
          <w:iCs w:val="0"/>
          <w:caps w:val="0"/>
          <w:color w:val="auto"/>
          <w:spacing w:val="0"/>
          <w:kern w:val="2"/>
          <w:sz w:val="32"/>
          <w:szCs w:val="32"/>
          <w:shd w:val="clear" w:fill="FFFFFF"/>
          <w:lang w:val="en-US" w:eastAsia="zh-CN"/>
        </w:rPr>
        <w:t>3</w:t>
      </w:r>
      <w:r>
        <w:rPr>
          <w:rFonts w:hint="eastAsia" w:ascii="Times New Roman" w:hAnsi="Times New Roman" w:eastAsia="仿宋_GB2312"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i w:val="0"/>
          <w:iCs w:val="0"/>
          <w:caps w:val="0"/>
          <w:color w:val="auto"/>
          <w:spacing w:val="0"/>
          <w:kern w:val="2"/>
          <w:sz w:val="32"/>
          <w:szCs w:val="32"/>
          <w:shd w:val="clear" w:fill="FFFFFF"/>
          <w:lang w:val="en-US" w:eastAsia="zh-CN"/>
        </w:rPr>
        <w:t>，全区师资配备更加均衡有力，</w:t>
      </w:r>
      <w:r>
        <w:rPr>
          <w:rFonts w:hint="eastAsia" w:ascii="仿宋_GB2312" w:hAnsi="仿宋_GB2312" w:eastAsia="仿宋_GB2312" w:cs="仿宋_GB2312"/>
          <w:color w:val="auto"/>
          <w:spacing w:val="0"/>
          <w:kern w:val="2"/>
          <w:sz w:val="32"/>
          <w:szCs w:val="32"/>
        </w:rPr>
        <w:t>探索中小学教师高、中级职称申报竞争推荐新机制</w:t>
      </w:r>
      <w:r>
        <w:rPr>
          <w:rFonts w:hint="eastAsia" w:ascii="仿宋_GB2312" w:hAnsi="仿宋_GB2312" w:eastAsia="仿宋_GB2312" w:cs="仿宋_GB2312"/>
          <w:color w:val="auto"/>
          <w:spacing w:val="0"/>
          <w:kern w:val="2"/>
          <w:sz w:val="32"/>
          <w:szCs w:val="32"/>
          <w:lang w:eastAsia="zh-CN"/>
        </w:rPr>
        <w:t>，</w:t>
      </w:r>
      <w:r>
        <w:rPr>
          <w:rFonts w:hint="eastAsia" w:ascii="仿宋_GB2312" w:hAnsi="仿宋_GB2312" w:eastAsia="仿宋_GB2312" w:cs="仿宋_GB2312"/>
          <w:color w:val="auto"/>
          <w:spacing w:val="0"/>
          <w:kern w:val="2"/>
          <w:sz w:val="32"/>
          <w:szCs w:val="32"/>
          <w:lang w:val="en-US" w:eastAsia="zh-CN"/>
        </w:rPr>
        <w:t>在</w:t>
      </w:r>
      <w:r>
        <w:rPr>
          <w:rFonts w:hint="eastAsia" w:ascii="仿宋_GB2312" w:hAnsi="仿宋_GB2312" w:eastAsia="仿宋_GB2312" w:cs="仿宋_GB2312"/>
          <w:color w:val="auto"/>
          <w:spacing w:val="0"/>
          <w:kern w:val="2"/>
          <w:sz w:val="32"/>
          <w:szCs w:val="32"/>
          <w:lang w:val="en-US" w:eastAsia="zh-CN" w:bidi="ar-SA"/>
        </w:rPr>
        <w:t>全市率先启动绩效工资分配改革，充分调动教师队伍积极性。</w:t>
      </w:r>
    </w:p>
    <w:p w14:paraId="224B616B">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left"/>
        <w:textAlignment w:val="auto"/>
        <w:rPr>
          <w:rFonts w:hint="eastAsia" w:ascii="楷体_GB2312" w:hAnsi="楷体_GB2312" w:eastAsia="楷体_GB2312" w:cs="楷体_GB2312"/>
          <w:b w:val="0"/>
          <w:bCs w:val="0"/>
          <w:color w:val="auto"/>
          <w:spacing w:val="0"/>
          <w:kern w:val="2"/>
          <w:sz w:val="32"/>
          <w:szCs w:val="32"/>
          <w:lang w:val="en-US" w:eastAsia="zh-CN" w:bidi="ar-SA"/>
        </w:rPr>
      </w:pPr>
      <w:r>
        <w:rPr>
          <w:rFonts w:hint="eastAsia" w:ascii="楷体_GB2312" w:hAnsi="楷体_GB2312" w:eastAsia="楷体_GB2312" w:cs="楷体_GB2312"/>
          <w:b w:val="0"/>
          <w:bCs w:val="0"/>
          <w:color w:val="auto"/>
          <w:spacing w:val="0"/>
          <w:kern w:val="2"/>
          <w:sz w:val="32"/>
          <w:szCs w:val="32"/>
          <w:lang w:val="en-US" w:eastAsia="zh-CN" w:bidi="ar-SA"/>
        </w:rPr>
        <w:t>（三）强化政府保障，推动教育优质均衡协调发展</w:t>
      </w:r>
    </w:p>
    <w:p w14:paraId="425971F5">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highlight w:val="none"/>
          <w:lang w:val="en-US" w:eastAsia="zh-CN"/>
        </w:rPr>
      </w:pPr>
      <w:r>
        <w:rPr>
          <w:rFonts w:hint="eastAsia" w:ascii="Times New Roman" w:hAnsi="Times New Roman" w:eastAsia="仿宋_GB2312" w:cs="仿宋_GB2312"/>
          <w:b/>
          <w:bCs/>
          <w:color w:val="auto"/>
          <w:spacing w:val="0"/>
          <w:kern w:val="2"/>
          <w:lang w:val="en-US" w:eastAsia="zh-CN"/>
        </w:rPr>
        <w:t>1</w:t>
      </w:r>
      <w:r>
        <w:rPr>
          <w:rFonts w:hint="eastAsia" w:ascii="仿宋_GB2312" w:hAnsi="仿宋_GB2312" w:eastAsia="仿宋_GB2312" w:cs="仿宋_GB2312"/>
          <w:b/>
          <w:bCs/>
          <w:color w:val="auto"/>
          <w:spacing w:val="0"/>
          <w:kern w:val="2"/>
          <w:lang w:val="en-US" w:eastAsia="zh-CN"/>
        </w:rPr>
        <w:t>.财政保障，持续加大教育投入。</w:t>
      </w:r>
      <w:r>
        <w:rPr>
          <w:rFonts w:hint="eastAsia" w:ascii="仿宋_GB2312" w:hAnsi="仿宋_GB2312" w:eastAsia="仿宋_GB2312" w:cs="仿宋_GB2312"/>
          <w:b w:val="0"/>
          <w:bCs w:val="0"/>
          <w:color w:val="auto"/>
          <w:spacing w:val="0"/>
          <w:kern w:val="2"/>
          <w:lang w:val="en-US" w:eastAsia="zh-CN"/>
        </w:rPr>
        <w:t>在近几年区级财政紧平衡的情况下，</w:t>
      </w:r>
      <w:r>
        <w:rPr>
          <w:rFonts w:hint="eastAsia" w:ascii="Times New Roman" w:hAnsi="Times New Roman" w:eastAsia="仿宋_GB2312" w:cs="仿宋_GB2312"/>
          <w:b w:val="0"/>
          <w:bCs w:val="0"/>
          <w:color w:val="auto"/>
          <w:spacing w:val="0"/>
          <w:kern w:val="2"/>
          <w:highlight w:val="none"/>
          <w:lang w:val="en-US" w:eastAsia="zh-CN"/>
        </w:rPr>
        <w:t>2022</w:t>
      </w:r>
      <w:r>
        <w:rPr>
          <w:rFonts w:hint="eastAsia" w:ascii="仿宋_GB2312" w:hAnsi="仿宋_GB2312" w:eastAsia="仿宋_GB2312" w:cs="仿宋_GB2312"/>
          <w:b w:val="0"/>
          <w:bCs w:val="0"/>
          <w:color w:val="auto"/>
          <w:spacing w:val="0"/>
          <w:kern w:val="2"/>
          <w:highlight w:val="none"/>
          <w:lang w:val="en-US" w:eastAsia="zh-CN"/>
        </w:rPr>
        <w:t>至</w:t>
      </w:r>
      <w:r>
        <w:rPr>
          <w:rFonts w:hint="eastAsia" w:ascii="Times New Roman" w:hAnsi="Times New Roman" w:eastAsia="仿宋_GB2312" w:cs="仿宋_GB2312"/>
          <w:b w:val="0"/>
          <w:bCs w:val="0"/>
          <w:color w:val="auto"/>
          <w:spacing w:val="0"/>
          <w:kern w:val="2"/>
          <w:highlight w:val="none"/>
          <w:lang w:val="en-US" w:eastAsia="zh-CN"/>
        </w:rPr>
        <w:t>2024</w:t>
      </w:r>
      <w:r>
        <w:rPr>
          <w:rFonts w:hint="eastAsia" w:ascii="仿宋_GB2312" w:hAnsi="仿宋_GB2312" w:eastAsia="仿宋_GB2312" w:cs="仿宋_GB2312"/>
          <w:b w:val="0"/>
          <w:bCs w:val="0"/>
          <w:color w:val="auto"/>
          <w:spacing w:val="0"/>
          <w:kern w:val="2"/>
          <w:highlight w:val="none"/>
          <w:lang w:val="en-US" w:eastAsia="zh-CN"/>
        </w:rPr>
        <w:t>年我区一般公共预算教育支出共计</w:t>
      </w:r>
      <w:r>
        <w:rPr>
          <w:rFonts w:hint="eastAsia" w:ascii="Times New Roman" w:hAnsi="Times New Roman" w:eastAsia="仿宋_GB2312" w:cs="仿宋_GB2312"/>
          <w:b w:val="0"/>
          <w:bCs w:val="0"/>
          <w:color w:val="auto"/>
          <w:spacing w:val="0"/>
          <w:kern w:val="2"/>
          <w:highlight w:val="none"/>
          <w:lang w:val="en-US" w:eastAsia="zh-CN"/>
        </w:rPr>
        <w:t>142</w:t>
      </w:r>
      <w:r>
        <w:rPr>
          <w:rFonts w:hint="eastAsia" w:ascii="仿宋_GB2312" w:hAnsi="仿宋_GB2312" w:eastAsia="仿宋_GB2312" w:cs="仿宋_GB2312"/>
          <w:b w:val="0"/>
          <w:bCs w:val="0"/>
          <w:color w:val="auto"/>
          <w:spacing w:val="0"/>
          <w:kern w:val="2"/>
          <w:highlight w:val="none"/>
          <w:lang w:val="en-US" w:eastAsia="zh-CN"/>
        </w:rPr>
        <w:t>.</w:t>
      </w:r>
      <w:r>
        <w:rPr>
          <w:rFonts w:hint="eastAsia" w:ascii="Times New Roman" w:hAnsi="Times New Roman" w:eastAsia="仿宋_GB2312" w:cs="仿宋_GB2312"/>
          <w:b w:val="0"/>
          <w:bCs w:val="0"/>
          <w:color w:val="auto"/>
          <w:spacing w:val="0"/>
          <w:kern w:val="2"/>
          <w:highlight w:val="none"/>
          <w:lang w:val="en-US" w:eastAsia="zh-CN"/>
        </w:rPr>
        <w:t>80</w:t>
      </w:r>
      <w:r>
        <w:rPr>
          <w:rFonts w:hint="eastAsia" w:ascii="仿宋_GB2312" w:hAnsi="仿宋_GB2312" w:eastAsia="仿宋_GB2312" w:cs="仿宋_GB2312"/>
          <w:b w:val="0"/>
          <w:bCs w:val="0"/>
          <w:color w:val="auto"/>
          <w:spacing w:val="0"/>
          <w:kern w:val="2"/>
          <w:highlight w:val="none"/>
          <w:lang w:val="en-US" w:eastAsia="zh-CN"/>
        </w:rPr>
        <w:t>亿元，占全区一般公共预算支出超</w:t>
      </w:r>
      <w:r>
        <w:rPr>
          <w:rFonts w:hint="eastAsia" w:ascii="Times New Roman" w:hAnsi="Times New Roman" w:eastAsia="仿宋_GB2312" w:cs="仿宋_GB2312"/>
          <w:b w:val="0"/>
          <w:bCs w:val="0"/>
          <w:color w:val="auto"/>
          <w:spacing w:val="0"/>
          <w:kern w:val="2"/>
          <w:highlight w:val="none"/>
          <w:lang w:val="en-US" w:eastAsia="zh-CN"/>
        </w:rPr>
        <w:t>25%</w:t>
      </w:r>
      <w:r>
        <w:rPr>
          <w:rFonts w:hint="eastAsia" w:ascii="仿宋_GB2312" w:hAnsi="仿宋_GB2312" w:eastAsia="仿宋_GB2312" w:cs="仿宋_GB2312"/>
          <w:b w:val="0"/>
          <w:bCs w:val="0"/>
          <w:color w:val="auto"/>
          <w:spacing w:val="0"/>
          <w:kern w:val="2"/>
          <w:highlight w:val="none"/>
          <w:lang w:val="en-US" w:eastAsia="zh-CN"/>
        </w:rPr>
        <w:t>，且实现逐年增长，位于广州市前列。健全教育经费保障机制，配足配齐城乡义务教育经费，优先足额保障“三保”项目支出，</w:t>
      </w:r>
      <w:r>
        <w:rPr>
          <w:rFonts w:hint="eastAsia" w:ascii="Times New Roman" w:hAnsi="Times New Roman" w:eastAsia="仿宋_GB2312" w:cs="仿宋_GB2312"/>
          <w:b w:val="0"/>
          <w:bCs w:val="0"/>
          <w:color w:val="auto"/>
          <w:spacing w:val="0"/>
          <w:kern w:val="2"/>
          <w:highlight w:val="none"/>
          <w:lang w:val="en-US" w:eastAsia="zh-CN"/>
        </w:rPr>
        <w:t>2023</w:t>
      </w:r>
      <w:r>
        <w:rPr>
          <w:rFonts w:hint="eastAsia" w:ascii="仿宋_GB2312" w:hAnsi="仿宋_GB2312" w:eastAsia="仿宋_GB2312" w:cs="仿宋_GB2312"/>
          <w:b w:val="0"/>
          <w:bCs w:val="0"/>
          <w:color w:val="auto"/>
          <w:spacing w:val="0"/>
          <w:kern w:val="2"/>
          <w:highlight w:val="none"/>
          <w:lang w:val="en-US" w:eastAsia="zh-CN"/>
        </w:rPr>
        <w:t>年、</w:t>
      </w:r>
      <w:r>
        <w:rPr>
          <w:rFonts w:hint="eastAsia" w:ascii="Times New Roman" w:hAnsi="Times New Roman" w:eastAsia="仿宋_GB2312" w:cs="仿宋_GB2312"/>
          <w:b w:val="0"/>
          <w:bCs w:val="0"/>
          <w:color w:val="auto"/>
          <w:spacing w:val="0"/>
          <w:kern w:val="2"/>
          <w:highlight w:val="none"/>
          <w:lang w:val="en-US" w:eastAsia="zh-CN"/>
        </w:rPr>
        <w:t>2024</w:t>
      </w:r>
      <w:r>
        <w:rPr>
          <w:rFonts w:hint="eastAsia" w:ascii="仿宋_GB2312" w:hAnsi="仿宋_GB2312" w:eastAsia="仿宋_GB2312" w:cs="仿宋_GB2312"/>
          <w:b w:val="0"/>
          <w:bCs w:val="0"/>
          <w:color w:val="auto"/>
          <w:spacing w:val="0"/>
          <w:kern w:val="2"/>
          <w:highlight w:val="none"/>
          <w:lang w:val="en-US" w:eastAsia="zh-CN"/>
        </w:rPr>
        <w:t>年上级转移支付资金支出率均超过</w:t>
      </w:r>
      <w:r>
        <w:rPr>
          <w:rFonts w:hint="eastAsia" w:ascii="Times New Roman" w:hAnsi="Times New Roman" w:eastAsia="仿宋_GB2312" w:cs="仿宋_GB2312"/>
          <w:b w:val="0"/>
          <w:bCs w:val="0"/>
          <w:color w:val="auto"/>
          <w:spacing w:val="0"/>
          <w:kern w:val="2"/>
          <w:highlight w:val="none"/>
          <w:lang w:val="en-US" w:eastAsia="zh-CN"/>
        </w:rPr>
        <w:t>98%</w:t>
      </w:r>
      <w:r>
        <w:rPr>
          <w:rFonts w:hint="eastAsia" w:ascii="仿宋_GB2312" w:hAnsi="仿宋_GB2312" w:eastAsia="仿宋_GB2312" w:cs="仿宋_GB2312"/>
          <w:b w:val="0"/>
          <w:bCs w:val="0"/>
          <w:color w:val="auto"/>
          <w:spacing w:val="0"/>
          <w:kern w:val="2"/>
          <w:highlight w:val="none"/>
          <w:lang w:val="en-US" w:eastAsia="zh-CN"/>
        </w:rPr>
        <w:t>（达到市县政府履职评价不低于</w:t>
      </w:r>
      <w:r>
        <w:rPr>
          <w:rFonts w:hint="eastAsia" w:ascii="Times New Roman" w:hAnsi="Times New Roman" w:eastAsia="仿宋_GB2312" w:cs="仿宋_GB2312"/>
          <w:b w:val="0"/>
          <w:bCs w:val="0"/>
          <w:color w:val="auto"/>
          <w:spacing w:val="0"/>
          <w:kern w:val="2"/>
          <w:highlight w:val="none"/>
          <w:lang w:val="en-US" w:eastAsia="zh-CN"/>
        </w:rPr>
        <w:t>95%</w:t>
      </w:r>
      <w:r>
        <w:rPr>
          <w:rFonts w:hint="eastAsia" w:ascii="仿宋_GB2312" w:hAnsi="仿宋_GB2312" w:eastAsia="仿宋_GB2312" w:cs="仿宋_GB2312"/>
          <w:b w:val="0"/>
          <w:bCs w:val="0"/>
          <w:color w:val="auto"/>
          <w:spacing w:val="0"/>
          <w:kern w:val="2"/>
          <w:highlight w:val="none"/>
          <w:lang w:val="en-US" w:eastAsia="zh-CN"/>
        </w:rPr>
        <w:t>要求）。公办中小学教师工资达到“两相当”要求（即教师工资收入与当地公务员相当、县域内教师工资收入大体相当）。</w:t>
      </w:r>
    </w:p>
    <w:p w14:paraId="5B40CB53">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highlight w:val="none"/>
          <w:lang w:val="en-US" w:eastAsia="zh-CN"/>
        </w:rPr>
      </w:pPr>
      <w:r>
        <w:rPr>
          <w:rFonts w:hint="eastAsia" w:ascii="Times New Roman" w:hAnsi="Times New Roman" w:eastAsia="仿宋_GB2312" w:cs="仿宋_GB2312"/>
          <w:b/>
          <w:bCs/>
          <w:color w:val="auto"/>
          <w:spacing w:val="0"/>
          <w:kern w:val="2"/>
          <w:lang w:val="en-US" w:eastAsia="zh-CN"/>
        </w:rPr>
        <w:t>2</w:t>
      </w:r>
      <w:r>
        <w:rPr>
          <w:rFonts w:hint="eastAsia" w:ascii="仿宋_GB2312" w:hAnsi="仿宋_GB2312" w:eastAsia="仿宋_GB2312" w:cs="仿宋_GB2312"/>
          <w:b/>
          <w:bCs/>
          <w:color w:val="auto"/>
          <w:spacing w:val="0"/>
          <w:kern w:val="2"/>
          <w:lang w:val="en-US" w:eastAsia="zh-CN"/>
        </w:rPr>
        <w:t>.协同发展，促进优质资源共享。一是</w:t>
      </w:r>
      <w:r>
        <w:rPr>
          <w:rFonts w:hint="eastAsia" w:ascii="仿宋_GB2312" w:hAnsi="仿宋_GB2312" w:eastAsia="仿宋_GB2312" w:cs="仿宋_GB2312"/>
          <w:b w:val="0"/>
          <w:bCs w:val="0"/>
          <w:color w:val="auto"/>
          <w:spacing w:val="0"/>
          <w:kern w:val="2"/>
          <w:lang w:val="en-US" w:eastAsia="zh-CN"/>
        </w:rPr>
        <w:t>深化合作办学，引进广州大学附属中学、广州市第二中学、华南师范大学附属中学、华南师范大学、执信中学、广州外国语学校等</w:t>
      </w:r>
      <w:r>
        <w:rPr>
          <w:rFonts w:hint="eastAsia" w:ascii="Times New Roman" w:hAnsi="Times New Roman" w:eastAsia="仿宋_GB2312" w:cs="仿宋_GB2312"/>
          <w:b w:val="0"/>
          <w:bCs w:val="0"/>
          <w:color w:val="auto"/>
          <w:spacing w:val="0"/>
          <w:kern w:val="2"/>
          <w:lang w:val="en-US" w:eastAsia="zh-CN"/>
        </w:rPr>
        <w:t>14</w:t>
      </w:r>
      <w:r>
        <w:rPr>
          <w:rFonts w:hint="eastAsia" w:ascii="仿宋_GB2312" w:hAnsi="仿宋_GB2312" w:eastAsia="仿宋_GB2312" w:cs="仿宋_GB2312"/>
          <w:b w:val="0"/>
          <w:bCs w:val="0"/>
          <w:color w:val="auto"/>
          <w:spacing w:val="0"/>
          <w:kern w:val="2"/>
          <w:lang w:val="en-US" w:eastAsia="zh-CN"/>
        </w:rPr>
        <w:t>个省市名校品牌合作举办学校</w:t>
      </w:r>
      <w:r>
        <w:rPr>
          <w:rFonts w:hint="eastAsia" w:ascii="Times New Roman" w:hAnsi="Times New Roman" w:eastAsia="仿宋_GB2312" w:cs="仿宋_GB2312"/>
          <w:b w:val="0"/>
          <w:bCs w:val="0"/>
          <w:color w:val="auto"/>
          <w:spacing w:val="0"/>
          <w:kern w:val="2"/>
          <w:lang w:val="en-US" w:eastAsia="zh-CN"/>
        </w:rPr>
        <w:t>20</w:t>
      </w:r>
      <w:r>
        <w:rPr>
          <w:rFonts w:hint="eastAsia" w:ascii="仿宋_GB2312" w:hAnsi="仿宋_GB2312" w:eastAsia="仿宋_GB2312" w:cs="仿宋_GB2312"/>
          <w:b w:val="0"/>
          <w:bCs w:val="0"/>
          <w:color w:val="auto"/>
          <w:spacing w:val="0"/>
          <w:kern w:val="2"/>
          <w:lang w:val="en-US" w:eastAsia="zh-CN"/>
        </w:rPr>
        <w:t>所，累计新增优质公办学位超</w:t>
      </w:r>
      <w:r>
        <w:rPr>
          <w:rFonts w:hint="eastAsia" w:ascii="Times New Roman" w:hAnsi="Times New Roman" w:eastAsia="仿宋_GB2312" w:cs="仿宋_GB2312"/>
          <w:b w:val="0"/>
          <w:bCs w:val="0"/>
          <w:color w:val="auto"/>
          <w:spacing w:val="0"/>
          <w:kern w:val="2"/>
          <w:lang w:val="en-US" w:eastAsia="zh-CN"/>
        </w:rPr>
        <w:t>4</w:t>
      </w:r>
      <w:r>
        <w:rPr>
          <w:rFonts w:hint="eastAsia" w:ascii="仿宋_GB2312" w:hAnsi="仿宋_GB2312" w:eastAsia="仿宋_GB2312" w:cs="仿宋_GB2312"/>
          <w:b w:val="0"/>
          <w:bCs w:val="0"/>
          <w:color w:val="auto"/>
          <w:spacing w:val="0"/>
          <w:kern w:val="2"/>
          <w:lang w:val="en-US" w:eastAsia="zh-CN"/>
        </w:rPr>
        <w:t>万个。</w:t>
      </w:r>
      <w:r>
        <w:rPr>
          <w:rFonts w:hint="eastAsia" w:ascii="仿宋_GB2312" w:hAnsi="仿宋_GB2312" w:eastAsia="仿宋_GB2312" w:cs="仿宋_GB2312"/>
          <w:b/>
          <w:bCs/>
          <w:color w:val="auto"/>
          <w:spacing w:val="0"/>
          <w:kern w:val="2"/>
          <w:lang w:val="en-US" w:eastAsia="zh-CN"/>
        </w:rPr>
        <w:t>二是</w:t>
      </w:r>
      <w:r>
        <w:rPr>
          <w:rFonts w:hint="eastAsia" w:ascii="仿宋_GB2312" w:hAnsi="仿宋_GB2312" w:eastAsia="仿宋_GB2312" w:cs="仿宋_GB2312"/>
          <w:b w:val="0"/>
          <w:bCs w:val="0"/>
          <w:color w:val="auto"/>
          <w:spacing w:val="0"/>
          <w:kern w:val="2"/>
          <w:lang w:val="en-US" w:eastAsia="zh-CN"/>
        </w:rPr>
        <w:t>深化集团办学，“十四五”期间培育</w:t>
      </w:r>
      <w:r>
        <w:rPr>
          <w:rFonts w:hint="eastAsia" w:ascii="Times New Roman" w:hAnsi="Times New Roman" w:eastAsia="仿宋_GB2312" w:cs="仿宋_GB2312"/>
          <w:b w:val="0"/>
          <w:bCs w:val="0"/>
          <w:color w:val="auto"/>
          <w:spacing w:val="0"/>
          <w:kern w:val="2"/>
          <w:lang w:val="en-US" w:eastAsia="zh-CN"/>
        </w:rPr>
        <w:t>17</w:t>
      </w:r>
      <w:r>
        <w:rPr>
          <w:rFonts w:hint="eastAsia" w:ascii="仿宋_GB2312" w:hAnsi="仿宋_GB2312" w:eastAsia="仿宋_GB2312" w:cs="仿宋_GB2312"/>
          <w:b w:val="0"/>
          <w:bCs w:val="0"/>
          <w:color w:val="auto"/>
          <w:spacing w:val="0"/>
          <w:kern w:val="2"/>
          <w:lang w:val="en-US" w:eastAsia="zh-CN"/>
        </w:rPr>
        <w:t>个区属教育集团，累计培育</w:t>
      </w:r>
      <w:r>
        <w:rPr>
          <w:rFonts w:hint="eastAsia" w:ascii="Times New Roman" w:hAnsi="Times New Roman" w:eastAsia="仿宋_GB2312" w:cs="仿宋_GB2312"/>
          <w:b w:val="0"/>
          <w:bCs w:val="0"/>
          <w:color w:val="auto"/>
          <w:spacing w:val="0"/>
          <w:kern w:val="2"/>
          <w:lang w:val="en-US" w:eastAsia="zh-CN"/>
        </w:rPr>
        <w:t>30</w:t>
      </w:r>
      <w:r>
        <w:rPr>
          <w:rFonts w:hint="eastAsia" w:ascii="仿宋_GB2312" w:hAnsi="仿宋_GB2312" w:eastAsia="仿宋_GB2312" w:cs="仿宋_GB2312"/>
          <w:b w:val="0"/>
          <w:bCs w:val="0"/>
          <w:color w:val="auto"/>
          <w:spacing w:val="0"/>
          <w:kern w:val="2"/>
          <w:lang w:val="en-US" w:eastAsia="zh-CN"/>
        </w:rPr>
        <w:t>个区属教育集团、辐射</w:t>
      </w:r>
      <w:r>
        <w:rPr>
          <w:rFonts w:hint="eastAsia" w:ascii="Times New Roman" w:hAnsi="Times New Roman" w:eastAsia="仿宋_GB2312" w:cs="仿宋_GB2312"/>
          <w:b w:val="0"/>
          <w:bCs w:val="0"/>
          <w:color w:val="auto"/>
          <w:spacing w:val="0"/>
          <w:kern w:val="2"/>
          <w:lang w:val="en-US" w:eastAsia="zh-CN"/>
        </w:rPr>
        <w:t>187</w:t>
      </w:r>
      <w:r>
        <w:rPr>
          <w:rFonts w:hint="eastAsia" w:ascii="仿宋_GB2312" w:hAnsi="仿宋_GB2312" w:eastAsia="仿宋_GB2312" w:cs="仿宋_GB2312"/>
          <w:b w:val="0"/>
          <w:bCs w:val="0"/>
          <w:color w:val="auto"/>
          <w:spacing w:val="0"/>
          <w:kern w:val="2"/>
          <w:lang w:val="en-US" w:eastAsia="zh-CN"/>
        </w:rPr>
        <w:t>所学校（园），提前实现义务教育公办“三类学校”集团化办学全覆盖。探索教育集团核心校与成员校教师挂职跟岗机制，强化教育集团内部教师交流。组建增城中钧城乡教育共同体，对小楼中学、正果中学两所农村初中实施深度帮扶，构建起“高中引领初中、强校带动弱校”的双向赋能机制。</w:t>
      </w:r>
      <w:r>
        <w:rPr>
          <w:rFonts w:hint="eastAsia" w:ascii="仿宋_GB2312" w:hAnsi="仿宋_GB2312" w:eastAsia="仿宋_GB2312" w:cs="仿宋_GB2312"/>
          <w:b/>
          <w:bCs/>
          <w:color w:val="auto"/>
          <w:spacing w:val="0"/>
          <w:kern w:val="2"/>
          <w:lang w:val="en-US" w:eastAsia="zh-CN"/>
        </w:rPr>
        <w:t>三是</w:t>
      </w:r>
      <w:r>
        <w:rPr>
          <w:rFonts w:hint="eastAsia" w:ascii="仿宋_GB2312" w:hAnsi="仿宋_GB2312" w:eastAsia="仿宋_GB2312" w:cs="仿宋_GB2312"/>
          <w:b w:val="0"/>
          <w:bCs w:val="0"/>
          <w:color w:val="auto"/>
          <w:spacing w:val="0"/>
          <w:kern w:val="2"/>
          <w:lang w:val="en-US" w:eastAsia="zh-CN"/>
        </w:rPr>
        <w:t>深化结对帮扶，借助“</w:t>
      </w:r>
      <w:r>
        <w:rPr>
          <w:rFonts w:hint="eastAsia" w:ascii="Times New Roman" w:hAnsi="Times New Roman" w:eastAsia="仿宋_GB2312" w:cs="仿宋_GB2312"/>
          <w:b w:val="0"/>
          <w:bCs w:val="0"/>
          <w:color w:val="auto"/>
          <w:spacing w:val="0"/>
          <w:kern w:val="2"/>
          <w:lang w:val="en-US" w:eastAsia="zh-CN"/>
        </w:rPr>
        <w:t>2</w:t>
      </w:r>
      <w:r>
        <w:rPr>
          <w:rFonts w:hint="eastAsia" w:ascii="仿宋_GB2312" w:hAnsi="仿宋_GB2312" w:eastAsia="仿宋_GB2312" w:cs="仿宋_GB2312"/>
          <w:b w:val="0"/>
          <w:bCs w:val="0"/>
          <w:color w:val="auto"/>
          <w:spacing w:val="0"/>
          <w:kern w:val="2"/>
          <w:lang w:val="en-US" w:eastAsia="zh-CN"/>
        </w:rPr>
        <w:t>+</w:t>
      </w:r>
      <w:r>
        <w:rPr>
          <w:rFonts w:hint="eastAsia" w:ascii="Times New Roman" w:hAnsi="Times New Roman" w:eastAsia="仿宋_GB2312" w:cs="仿宋_GB2312"/>
          <w:b w:val="0"/>
          <w:bCs w:val="0"/>
          <w:color w:val="auto"/>
          <w:spacing w:val="0"/>
          <w:kern w:val="2"/>
          <w:lang w:val="en-US" w:eastAsia="zh-CN"/>
        </w:rPr>
        <w:t>2</w:t>
      </w:r>
      <w:r>
        <w:rPr>
          <w:rFonts w:hint="eastAsia" w:ascii="仿宋_GB2312" w:hAnsi="仿宋_GB2312" w:eastAsia="仿宋_GB2312" w:cs="仿宋_GB2312"/>
          <w:b w:val="0"/>
          <w:bCs w:val="0"/>
          <w:color w:val="auto"/>
          <w:spacing w:val="0"/>
          <w:kern w:val="2"/>
          <w:lang w:val="en-US" w:eastAsia="zh-CN"/>
        </w:rPr>
        <w:t>+</w:t>
      </w:r>
      <w:r>
        <w:rPr>
          <w:rFonts w:hint="eastAsia" w:ascii="Times New Roman" w:hAnsi="Times New Roman" w:eastAsia="仿宋_GB2312" w:cs="仿宋_GB2312"/>
          <w:b w:val="0"/>
          <w:bCs w:val="0"/>
          <w:color w:val="auto"/>
          <w:spacing w:val="0"/>
          <w:kern w:val="2"/>
          <w:lang w:val="en-US" w:eastAsia="zh-CN"/>
        </w:rPr>
        <w:t>1</w:t>
      </w:r>
      <w:r>
        <w:rPr>
          <w:rFonts w:hint="eastAsia" w:ascii="仿宋_GB2312" w:hAnsi="仿宋_GB2312" w:eastAsia="仿宋_GB2312" w:cs="仿宋_GB2312"/>
          <w:b w:val="0"/>
          <w:bCs w:val="0"/>
          <w:color w:val="auto"/>
          <w:spacing w:val="0"/>
          <w:kern w:val="2"/>
          <w:lang w:val="en-US" w:eastAsia="zh-CN"/>
        </w:rPr>
        <w:t>”帮扶行动，越秀区结对帮扶我区</w:t>
      </w:r>
      <w:r>
        <w:rPr>
          <w:rFonts w:hint="eastAsia" w:ascii="Times New Roman" w:hAnsi="Times New Roman" w:eastAsia="仿宋_GB2312" w:cs="仿宋_GB2312"/>
          <w:b w:val="0"/>
          <w:bCs w:val="0"/>
          <w:color w:val="auto"/>
          <w:spacing w:val="0"/>
          <w:kern w:val="2"/>
          <w:lang w:val="en-US" w:eastAsia="zh-CN"/>
        </w:rPr>
        <w:t>5</w:t>
      </w:r>
      <w:r>
        <w:rPr>
          <w:rFonts w:hint="eastAsia" w:ascii="仿宋_GB2312" w:hAnsi="仿宋_GB2312" w:eastAsia="仿宋_GB2312" w:cs="仿宋_GB2312"/>
          <w:b w:val="0"/>
          <w:bCs w:val="0"/>
          <w:color w:val="auto"/>
          <w:spacing w:val="0"/>
          <w:kern w:val="2"/>
          <w:lang w:val="en-US" w:eastAsia="zh-CN"/>
        </w:rPr>
        <w:t>所学校，</w:t>
      </w:r>
      <w:r>
        <w:rPr>
          <w:rFonts w:hint="eastAsia" w:ascii="Times New Roman" w:hAnsi="Times New Roman" w:eastAsia="仿宋_GB2312" w:cs="仿宋_GB2312"/>
          <w:b w:val="0"/>
          <w:bCs w:val="0"/>
          <w:color w:val="auto"/>
          <w:spacing w:val="0"/>
          <w:kern w:val="2"/>
          <w:lang w:val="en-US" w:eastAsia="zh-CN"/>
        </w:rPr>
        <w:t>6</w:t>
      </w:r>
      <w:r>
        <w:rPr>
          <w:rFonts w:hint="eastAsia" w:ascii="仿宋_GB2312" w:hAnsi="仿宋_GB2312" w:eastAsia="仿宋_GB2312" w:cs="仿宋_GB2312"/>
          <w:b w:val="0"/>
          <w:bCs w:val="0"/>
          <w:color w:val="auto"/>
          <w:spacing w:val="0"/>
          <w:kern w:val="2"/>
          <w:lang w:val="en-US" w:eastAsia="zh-CN"/>
        </w:rPr>
        <w:t>所中小学纳入越秀区省级教育集团成员校，两区开展协作教研</w:t>
      </w:r>
      <w:r>
        <w:rPr>
          <w:rFonts w:hint="eastAsia" w:ascii="Times New Roman" w:hAnsi="Times New Roman" w:eastAsia="仿宋_GB2312" w:cs="仿宋_GB2312"/>
          <w:b w:val="0"/>
          <w:bCs w:val="0"/>
          <w:color w:val="auto"/>
          <w:spacing w:val="0"/>
          <w:kern w:val="2"/>
          <w:lang w:val="en-US" w:eastAsia="zh-CN"/>
        </w:rPr>
        <w:t>66</w:t>
      </w:r>
      <w:r>
        <w:rPr>
          <w:rFonts w:hint="eastAsia" w:ascii="仿宋_GB2312" w:hAnsi="仿宋_GB2312" w:eastAsia="仿宋_GB2312" w:cs="仿宋_GB2312"/>
          <w:b w:val="0"/>
          <w:bCs w:val="0"/>
          <w:color w:val="auto"/>
          <w:spacing w:val="0"/>
          <w:kern w:val="2"/>
          <w:lang w:val="en-US" w:eastAsia="zh-CN"/>
        </w:rPr>
        <w:t>次，“名优教师送教下乡”活动</w:t>
      </w:r>
      <w:r>
        <w:rPr>
          <w:rFonts w:hint="eastAsia" w:ascii="Times New Roman" w:hAnsi="Times New Roman" w:eastAsia="仿宋_GB2312" w:cs="仿宋_GB2312"/>
          <w:b w:val="0"/>
          <w:bCs w:val="0"/>
          <w:color w:val="auto"/>
          <w:spacing w:val="0"/>
          <w:kern w:val="2"/>
          <w:lang w:val="en-US" w:eastAsia="zh-CN"/>
        </w:rPr>
        <w:t>710</w:t>
      </w:r>
      <w:r>
        <w:rPr>
          <w:rFonts w:hint="eastAsia" w:ascii="仿宋_GB2312" w:hAnsi="仿宋_GB2312" w:eastAsia="仿宋_GB2312" w:cs="仿宋_GB2312"/>
          <w:b w:val="0"/>
          <w:bCs w:val="0"/>
          <w:color w:val="auto"/>
          <w:spacing w:val="0"/>
          <w:kern w:val="2"/>
          <w:lang w:val="en-US" w:eastAsia="zh-CN"/>
        </w:rPr>
        <w:t>人次，以“强带弱”“研促教”缩小城乡、校际差距。</w:t>
      </w:r>
      <w:r>
        <w:rPr>
          <w:rFonts w:hint="eastAsia" w:ascii="仿宋_GB2312" w:hAnsi="仿宋_GB2312" w:eastAsia="仿宋_GB2312" w:cs="仿宋_GB2312"/>
          <w:b/>
          <w:bCs/>
          <w:color w:val="auto"/>
          <w:spacing w:val="0"/>
          <w:kern w:val="2"/>
          <w:highlight w:val="none"/>
          <w:lang w:val="en-US" w:eastAsia="zh-CN"/>
        </w:rPr>
        <w:t>四是</w:t>
      </w:r>
      <w:r>
        <w:rPr>
          <w:rFonts w:hint="eastAsia" w:ascii="仿宋_GB2312" w:hAnsi="仿宋_GB2312" w:eastAsia="仿宋_GB2312" w:cs="仿宋_GB2312"/>
          <w:b w:val="0"/>
          <w:bCs w:val="0"/>
          <w:color w:val="auto"/>
          <w:spacing w:val="0"/>
          <w:kern w:val="2"/>
          <w:highlight w:val="none"/>
          <w:lang w:val="en-US" w:eastAsia="zh-CN"/>
        </w:rPr>
        <w:t>深化教研共享，协同研发“适切性数智研训室”，集成课堂大数据分析、</w:t>
      </w:r>
      <w:r>
        <w:rPr>
          <w:rFonts w:hint="eastAsia" w:ascii="Times New Roman" w:hAnsi="Times New Roman" w:eastAsia="仿宋_GB2312" w:cs="仿宋_GB2312"/>
          <w:b w:val="0"/>
          <w:bCs w:val="0"/>
          <w:color w:val="auto"/>
          <w:spacing w:val="0"/>
          <w:kern w:val="2"/>
          <w:highlight w:val="none"/>
          <w:lang w:val="en-US" w:eastAsia="zh-CN"/>
        </w:rPr>
        <w:t>AI</w:t>
      </w:r>
      <w:r>
        <w:rPr>
          <w:rFonts w:hint="eastAsia" w:ascii="仿宋_GB2312" w:hAnsi="仿宋_GB2312" w:eastAsia="仿宋_GB2312" w:cs="仿宋_GB2312"/>
          <w:b w:val="0"/>
          <w:bCs w:val="0"/>
          <w:color w:val="auto"/>
          <w:spacing w:val="0"/>
          <w:kern w:val="2"/>
          <w:highlight w:val="none"/>
          <w:lang w:val="en-US" w:eastAsia="zh-CN"/>
        </w:rPr>
        <w:t xml:space="preserve"> 问课成长系统等功能，构建覆盖“调研—教研—科研—培训—评价”全链条智慧教研生态，推动优质教研资源实时共享，为城乡教师提供均等的专业成长资源。</w:t>
      </w:r>
    </w:p>
    <w:p w14:paraId="4D9BE3A5">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sz w:val="32"/>
          <w:szCs w:val="32"/>
          <w:lang w:val="en-US" w:eastAsia="zh-CN" w:bidi="ar-SA"/>
        </w:rPr>
      </w:pPr>
      <w:r>
        <w:rPr>
          <w:rFonts w:hint="eastAsia" w:ascii="Times New Roman" w:hAnsi="Times New Roman" w:eastAsia="仿宋_GB2312" w:cs="仿宋_GB2312"/>
          <w:b/>
          <w:bCs/>
          <w:color w:val="auto"/>
          <w:spacing w:val="0"/>
          <w:kern w:val="2"/>
          <w:sz w:val="32"/>
          <w:szCs w:val="32"/>
          <w:lang w:val="en-US" w:eastAsia="zh-CN" w:bidi="ar-SA"/>
        </w:rPr>
        <w:t>3</w:t>
      </w:r>
      <w:r>
        <w:rPr>
          <w:rFonts w:hint="eastAsia" w:ascii="仿宋_GB2312" w:hAnsi="仿宋_GB2312" w:eastAsia="仿宋_GB2312" w:cs="仿宋_GB2312"/>
          <w:b/>
          <w:bCs/>
          <w:color w:val="auto"/>
          <w:spacing w:val="0"/>
          <w:kern w:val="2"/>
          <w:sz w:val="32"/>
          <w:szCs w:val="32"/>
          <w:lang w:val="en-US" w:eastAsia="zh-CN" w:bidi="ar-SA"/>
        </w:rPr>
        <w:t>.保障公平，保护受教育权利。一是</w:t>
      </w:r>
      <w:r>
        <w:rPr>
          <w:rFonts w:hint="eastAsia" w:ascii="仿宋_GB2312" w:hAnsi="仿宋_GB2312" w:eastAsia="仿宋_GB2312" w:cs="仿宋_GB2312"/>
          <w:b w:val="0"/>
          <w:bCs w:val="0"/>
          <w:color w:val="auto"/>
          <w:spacing w:val="0"/>
          <w:kern w:val="2"/>
          <w:sz w:val="32"/>
          <w:szCs w:val="32"/>
          <w:lang w:val="en-US" w:eastAsia="zh-CN" w:bidi="ar-SA"/>
        </w:rPr>
        <w:t>保障随迁子女入读，</w:t>
      </w:r>
      <w:r>
        <w:rPr>
          <w:rFonts w:hint="eastAsia" w:ascii="Times New Roman" w:hAnsi="Times New Roman" w:eastAsia="仿宋_GB2312" w:cs="仿宋_GB2312"/>
          <w:b w:val="0"/>
          <w:bCs w:val="0"/>
          <w:color w:val="auto"/>
          <w:spacing w:val="0"/>
          <w:kern w:val="2"/>
          <w:sz w:val="32"/>
          <w:szCs w:val="32"/>
          <w:highlight w:val="none"/>
          <w:lang w:eastAsia="zh-CN" w:bidi="ar-SA"/>
        </w:rPr>
        <w:t>2023</w:t>
      </w:r>
      <w:r>
        <w:rPr>
          <w:rFonts w:hint="eastAsia" w:ascii="仿宋_GB2312" w:hAnsi="仿宋_GB2312" w:eastAsia="仿宋_GB2312" w:cs="仿宋_GB2312"/>
          <w:b w:val="0"/>
          <w:bCs w:val="0"/>
          <w:color w:val="auto"/>
          <w:spacing w:val="0"/>
          <w:kern w:val="2"/>
          <w:sz w:val="32"/>
          <w:szCs w:val="32"/>
          <w:highlight w:val="none"/>
          <w:lang w:val="en-US" w:eastAsia="zh-CN" w:bidi="ar-SA"/>
        </w:rPr>
        <w:t>年—</w:t>
      </w:r>
      <w:r>
        <w:rPr>
          <w:rFonts w:hint="eastAsia" w:ascii="Times New Roman" w:hAnsi="Times New Roman" w:eastAsia="仿宋_GB2312" w:cs="仿宋_GB2312"/>
          <w:b w:val="0"/>
          <w:bCs w:val="0"/>
          <w:color w:val="auto"/>
          <w:spacing w:val="0"/>
          <w:kern w:val="2"/>
          <w:sz w:val="32"/>
          <w:szCs w:val="32"/>
          <w:highlight w:val="none"/>
          <w:lang w:val="en-US" w:eastAsia="zh-CN" w:bidi="ar-SA"/>
        </w:rPr>
        <w:t>2025</w:t>
      </w:r>
      <w:r>
        <w:rPr>
          <w:rFonts w:hint="eastAsia" w:ascii="仿宋_GB2312" w:hAnsi="仿宋_GB2312" w:eastAsia="仿宋_GB2312" w:cs="仿宋_GB2312"/>
          <w:b w:val="0"/>
          <w:bCs w:val="0"/>
          <w:color w:val="auto"/>
          <w:spacing w:val="0"/>
          <w:kern w:val="2"/>
          <w:sz w:val="32"/>
          <w:szCs w:val="32"/>
          <w:highlight w:val="none"/>
          <w:lang w:val="en-US" w:eastAsia="zh-CN" w:bidi="ar-SA"/>
        </w:rPr>
        <w:t>年，分别有</w:t>
      </w:r>
      <w:r>
        <w:rPr>
          <w:rFonts w:hint="eastAsia" w:ascii="Times New Roman" w:hAnsi="Times New Roman" w:eastAsia="仿宋_GB2312" w:cs="仿宋_GB2312"/>
          <w:b w:val="0"/>
          <w:bCs w:val="0"/>
          <w:color w:val="auto"/>
          <w:spacing w:val="0"/>
          <w:kern w:val="2"/>
          <w:sz w:val="32"/>
          <w:szCs w:val="32"/>
          <w:highlight w:val="none"/>
          <w:lang w:val="en-US" w:eastAsia="zh-CN" w:bidi="ar-SA"/>
        </w:rPr>
        <w:t>5443</w:t>
      </w:r>
      <w:r>
        <w:rPr>
          <w:rFonts w:hint="eastAsia" w:ascii="仿宋_GB2312" w:hAnsi="仿宋_GB2312" w:eastAsia="仿宋_GB2312" w:cs="仿宋_GB2312"/>
          <w:b w:val="0"/>
          <w:bCs w:val="0"/>
          <w:color w:val="auto"/>
          <w:spacing w:val="0"/>
          <w:kern w:val="2"/>
          <w:sz w:val="32"/>
          <w:szCs w:val="32"/>
          <w:highlight w:val="none"/>
          <w:lang w:val="en-US" w:eastAsia="zh-CN" w:bidi="ar-SA"/>
        </w:rPr>
        <w:t>名、</w:t>
      </w:r>
      <w:r>
        <w:rPr>
          <w:rFonts w:hint="eastAsia" w:ascii="Times New Roman" w:hAnsi="Times New Roman" w:eastAsia="仿宋_GB2312" w:cs="仿宋_GB2312"/>
          <w:b w:val="0"/>
          <w:bCs w:val="0"/>
          <w:color w:val="auto"/>
          <w:spacing w:val="0"/>
          <w:kern w:val="2"/>
          <w:sz w:val="32"/>
          <w:szCs w:val="32"/>
          <w:highlight w:val="none"/>
          <w:lang w:val="en-US" w:eastAsia="zh-CN" w:bidi="ar-SA"/>
        </w:rPr>
        <w:t>5206</w:t>
      </w:r>
      <w:r>
        <w:rPr>
          <w:rFonts w:hint="eastAsia" w:ascii="仿宋_GB2312" w:hAnsi="仿宋_GB2312" w:eastAsia="仿宋_GB2312" w:cs="仿宋_GB2312"/>
          <w:b w:val="0"/>
          <w:bCs w:val="0"/>
          <w:color w:val="auto"/>
          <w:spacing w:val="0"/>
          <w:kern w:val="2"/>
          <w:sz w:val="32"/>
          <w:szCs w:val="32"/>
          <w:highlight w:val="none"/>
          <w:lang w:val="en-US" w:eastAsia="zh-CN" w:bidi="ar-SA"/>
        </w:rPr>
        <w:t>名、</w:t>
      </w:r>
      <w:r>
        <w:rPr>
          <w:rFonts w:hint="eastAsia" w:ascii="Times New Roman" w:hAnsi="Times New Roman" w:eastAsia="仿宋_GB2312" w:cs="仿宋_GB2312"/>
          <w:b w:val="0"/>
          <w:bCs w:val="0"/>
          <w:color w:val="auto"/>
          <w:spacing w:val="0"/>
          <w:kern w:val="2"/>
          <w:sz w:val="32"/>
          <w:szCs w:val="32"/>
          <w:highlight w:val="none"/>
          <w:lang w:val="en-US" w:eastAsia="zh-CN" w:bidi="ar-SA"/>
        </w:rPr>
        <w:t>5823</w:t>
      </w:r>
      <w:r>
        <w:rPr>
          <w:rFonts w:hint="eastAsia" w:ascii="仿宋_GB2312" w:hAnsi="仿宋_GB2312" w:eastAsia="仿宋_GB2312" w:cs="仿宋_GB2312"/>
          <w:b w:val="0"/>
          <w:bCs w:val="0"/>
          <w:color w:val="auto"/>
          <w:spacing w:val="0"/>
          <w:kern w:val="2"/>
          <w:sz w:val="32"/>
          <w:szCs w:val="32"/>
          <w:highlight w:val="none"/>
          <w:lang w:val="en-US" w:eastAsia="zh-CN" w:bidi="ar-SA"/>
        </w:rPr>
        <w:t>名来穗人员子女通过积分入学获得公办学位。</w:t>
      </w:r>
      <w:r>
        <w:rPr>
          <w:rFonts w:hint="eastAsia" w:ascii="Times New Roman" w:hAnsi="Times New Roman" w:eastAsia="仿宋_GB2312" w:cs="仿宋_GB2312"/>
          <w:b w:val="0"/>
          <w:bCs w:val="0"/>
          <w:color w:val="auto"/>
          <w:spacing w:val="0"/>
          <w:kern w:val="2"/>
          <w:sz w:val="32"/>
          <w:szCs w:val="32"/>
          <w:lang w:val="en-US" w:eastAsia="zh-CN" w:bidi="ar-SA"/>
        </w:rPr>
        <w:t>2024</w:t>
      </w:r>
      <w:r>
        <w:rPr>
          <w:rFonts w:hint="eastAsia" w:ascii="仿宋_GB2312" w:hAnsi="仿宋_GB2312" w:eastAsia="仿宋_GB2312" w:cs="仿宋_GB2312"/>
          <w:b w:val="0"/>
          <w:bCs w:val="0"/>
          <w:color w:val="auto"/>
          <w:spacing w:val="0"/>
          <w:kern w:val="2"/>
          <w:sz w:val="32"/>
          <w:szCs w:val="32"/>
          <w:lang w:val="en-US" w:eastAsia="zh-CN" w:bidi="ar-SA"/>
        </w:rPr>
        <w:t>学年投入超</w:t>
      </w:r>
      <w:r>
        <w:rPr>
          <w:rFonts w:hint="eastAsia" w:ascii="Times New Roman" w:hAnsi="Times New Roman" w:eastAsia="仿宋_GB2312" w:cs="仿宋_GB2312"/>
          <w:b w:val="0"/>
          <w:bCs w:val="0"/>
          <w:color w:val="auto"/>
          <w:spacing w:val="0"/>
          <w:kern w:val="2"/>
          <w:sz w:val="32"/>
          <w:szCs w:val="32"/>
          <w:lang w:val="en-US" w:eastAsia="zh-CN" w:bidi="ar-SA"/>
        </w:rPr>
        <w:t>2</w:t>
      </w:r>
      <w:r>
        <w:rPr>
          <w:rFonts w:hint="eastAsia" w:ascii="仿宋_GB2312" w:hAnsi="仿宋_GB2312" w:eastAsia="仿宋_GB2312" w:cs="仿宋_GB2312"/>
          <w:b w:val="0"/>
          <w:bCs w:val="0"/>
          <w:color w:val="auto"/>
          <w:spacing w:val="0"/>
          <w:kern w:val="2"/>
          <w:sz w:val="32"/>
          <w:szCs w:val="32"/>
          <w:lang w:val="en-US" w:eastAsia="zh-CN" w:bidi="ar-SA"/>
        </w:rPr>
        <w:t>.</w:t>
      </w:r>
      <w:r>
        <w:rPr>
          <w:rFonts w:hint="eastAsia" w:ascii="Times New Roman" w:hAnsi="Times New Roman" w:eastAsia="仿宋_GB2312" w:cs="仿宋_GB2312"/>
          <w:b w:val="0"/>
          <w:bCs w:val="0"/>
          <w:color w:val="auto"/>
          <w:spacing w:val="0"/>
          <w:kern w:val="2"/>
          <w:sz w:val="32"/>
          <w:szCs w:val="32"/>
          <w:lang w:val="en-US" w:eastAsia="zh-CN" w:bidi="ar-SA"/>
        </w:rPr>
        <w:t>5</w:t>
      </w:r>
      <w:r>
        <w:rPr>
          <w:rFonts w:hint="eastAsia" w:ascii="仿宋_GB2312" w:hAnsi="仿宋_GB2312" w:eastAsia="仿宋_GB2312" w:cs="仿宋_GB2312"/>
          <w:b w:val="0"/>
          <w:bCs w:val="0"/>
          <w:color w:val="auto"/>
          <w:spacing w:val="0"/>
          <w:kern w:val="2"/>
          <w:sz w:val="32"/>
          <w:szCs w:val="32"/>
          <w:lang w:val="en-US" w:eastAsia="zh-CN" w:bidi="ar-SA"/>
        </w:rPr>
        <w:t>亿元购买民办义务教育学位</w:t>
      </w:r>
      <w:r>
        <w:rPr>
          <w:rFonts w:hint="eastAsia" w:ascii="Times New Roman" w:hAnsi="Times New Roman" w:eastAsia="仿宋_GB2312" w:cs="仿宋_GB2312"/>
          <w:b w:val="0"/>
          <w:bCs w:val="0"/>
          <w:color w:val="auto"/>
          <w:spacing w:val="0"/>
          <w:kern w:val="2"/>
          <w:sz w:val="32"/>
          <w:szCs w:val="32"/>
          <w:lang w:val="en-US" w:eastAsia="zh-CN" w:bidi="ar-SA"/>
        </w:rPr>
        <w:t>48616</w:t>
      </w:r>
      <w:r>
        <w:rPr>
          <w:rFonts w:hint="eastAsia" w:ascii="仿宋_GB2312" w:hAnsi="仿宋_GB2312" w:eastAsia="仿宋_GB2312" w:cs="仿宋_GB2312"/>
          <w:b w:val="0"/>
          <w:bCs w:val="0"/>
          <w:color w:val="auto"/>
          <w:spacing w:val="0"/>
          <w:kern w:val="2"/>
          <w:sz w:val="32"/>
          <w:szCs w:val="32"/>
          <w:lang w:val="en-US" w:eastAsia="zh-CN" w:bidi="ar-SA"/>
        </w:rPr>
        <w:t>个（小学</w:t>
      </w:r>
      <w:r>
        <w:rPr>
          <w:rFonts w:hint="eastAsia" w:ascii="Times New Roman" w:hAnsi="Times New Roman" w:eastAsia="仿宋_GB2312" w:cs="仿宋_GB2312"/>
          <w:b w:val="0"/>
          <w:bCs w:val="0"/>
          <w:color w:val="auto"/>
          <w:spacing w:val="0"/>
          <w:kern w:val="2"/>
          <w:sz w:val="32"/>
          <w:szCs w:val="32"/>
          <w:lang w:val="en-US" w:eastAsia="zh-CN" w:bidi="ar-SA"/>
        </w:rPr>
        <w:t>36009</w:t>
      </w:r>
      <w:r>
        <w:rPr>
          <w:rFonts w:hint="eastAsia" w:ascii="仿宋_GB2312" w:hAnsi="仿宋_GB2312" w:eastAsia="仿宋_GB2312" w:cs="仿宋_GB2312"/>
          <w:b w:val="0"/>
          <w:bCs w:val="0"/>
          <w:color w:val="auto"/>
          <w:spacing w:val="0"/>
          <w:kern w:val="2"/>
          <w:sz w:val="32"/>
          <w:szCs w:val="32"/>
          <w:lang w:val="en-US" w:eastAsia="zh-CN" w:bidi="ar-SA"/>
        </w:rPr>
        <w:t>个、初中</w:t>
      </w:r>
      <w:r>
        <w:rPr>
          <w:rFonts w:hint="eastAsia" w:ascii="Times New Roman" w:hAnsi="Times New Roman" w:eastAsia="仿宋_GB2312" w:cs="仿宋_GB2312"/>
          <w:b w:val="0"/>
          <w:bCs w:val="0"/>
          <w:color w:val="auto"/>
          <w:spacing w:val="0"/>
          <w:kern w:val="2"/>
          <w:sz w:val="32"/>
          <w:szCs w:val="32"/>
          <w:lang w:val="en-US" w:eastAsia="zh-CN" w:bidi="ar-SA"/>
        </w:rPr>
        <w:t>12607</w:t>
      </w:r>
      <w:r>
        <w:rPr>
          <w:rFonts w:hint="eastAsia" w:ascii="仿宋_GB2312" w:hAnsi="仿宋_GB2312" w:eastAsia="仿宋_GB2312" w:cs="仿宋_GB2312"/>
          <w:b w:val="0"/>
          <w:bCs w:val="0"/>
          <w:color w:val="auto"/>
          <w:spacing w:val="0"/>
          <w:kern w:val="2"/>
          <w:sz w:val="32"/>
          <w:szCs w:val="32"/>
          <w:lang w:val="en-US" w:eastAsia="zh-CN" w:bidi="ar-SA"/>
        </w:rPr>
        <w:t>个），实现来穗人员随迁子女</w:t>
      </w:r>
      <w:r>
        <w:rPr>
          <w:rFonts w:hint="eastAsia" w:ascii="Times New Roman" w:hAnsi="Times New Roman" w:eastAsia="仿宋_GB2312" w:cs="仿宋_GB2312"/>
          <w:b w:val="0"/>
          <w:bCs w:val="0"/>
          <w:color w:val="auto"/>
          <w:spacing w:val="0"/>
          <w:kern w:val="2"/>
          <w:sz w:val="32"/>
          <w:szCs w:val="32"/>
          <w:lang w:val="en-US" w:eastAsia="zh-CN" w:bidi="ar-SA"/>
        </w:rPr>
        <w:t>100</w:t>
      </w:r>
      <w:r>
        <w:rPr>
          <w:rFonts w:hint="eastAsia" w:ascii="Times New Roman" w:hAnsi="Times New Roman" w:eastAsia="仿宋_GB2312" w:cs="仿宋_GB2312"/>
          <w:b w:val="0"/>
          <w:bCs w:val="0"/>
          <w:color w:val="auto"/>
          <w:spacing w:val="0"/>
          <w:kern w:val="2"/>
          <w:highlight w:val="none"/>
          <w:lang w:val="en-US" w:eastAsia="zh-CN"/>
        </w:rPr>
        <w:t>%</w:t>
      </w:r>
      <w:r>
        <w:rPr>
          <w:rFonts w:hint="eastAsia" w:ascii="仿宋_GB2312" w:hAnsi="仿宋_GB2312" w:eastAsia="仿宋_GB2312" w:cs="仿宋_GB2312"/>
          <w:b w:val="0"/>
          <w:bCs w:val="0"/>
          <w:color w:val="auto"/>
          <w:spacing w:val="0"/>
          <w:kern w:val="2"/>
          <w:sz w:val="32"/>
          <w:szCs w:val="32"/>
          <w:lang w:val="en-US" w:eastAsia="zh-CN" w:bidi="ar-SA"/>
        </w:rPr>
        <w:t>就读公办学校（含政府购买学位）。</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二是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满足特殊群体需求，连续三年将特殊教育纳入区民生实事，</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2023</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年、</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2024</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年特殊教育财政投入分别为</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2020</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万、</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2643</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万，全力保障特殊教育事业发展。完善适龄特殊少年儿童随班就读服务体系，适龄特殊儿童义务教育持续保持较高入学率。“</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eastAsia="zh-CN"/>
        </w:rPr>
        <w:t>十四五”期间，</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成立增城区特殊教育指导中心，</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eastAsia="zh-CN"/>
        </w:rPr>
        <w:t>建成</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特殊教育资源教室</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30</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间</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eastAsia="zh-CN"/>
        </w:rPr>
        <w:t>（目前在建</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仍有</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eastAsia="zh-CN"/>
        </w:rPr>
        <w:t>5</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eastAsia="zh-CN"/>
        </w:rPr>
        <w:t>间）</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。落实特殊学生营养午餐补贴</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eastAsia="zh-CN"/>
        </w:rPr>
        <w:t>625</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eastAsia="zh-CN"/>
        </w:rPr>
        <w:t>.</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eastAsia="zh-CN"/>
        </w:rPr>
        <w:t>8645</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万元，资助学前教育特殊儿童</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285</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人次，免除保教保育费</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val="en-US" w:eastAsia="zh-CN"/>
        </w:rPr>
        <w:t>110</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万元。</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三是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规范招生，</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eastAsia="zh-CN"/>
        </w:rPr>
        <w:t>严格按照</w:t>
      </w:r>
      <w:r>
        <w:rPr>
          <w:rFonts w:hint="eastAsia" w:ascii="仿宋_GB2312" w:hAnsi="仿宋_GB2312" w:eastAsia="仿宋_GB2312" w:cs="仿宋_GB2312"/>
          <w:b w:val="0"/>
          <w:bCs w:val="0"/>
          <w:color w:val="auto"/>
          <w:spacing w:val="0"/>
          <w:kern w:val="2"/>
          <w:sz w:val="32"/>
          <w:szCs w:val="32"/>
          <w:lang w:val="en-US" w:eastAsia="zh-CN" w:bidi="ar"/>
        </w:rPr>
        <w:t>《关于开展义务教育阳光招生专项行动（</w:t>
      </w:r>
      <w:r>
        <w:rPr>
          <w:rFonts w:hint="eastAsia" w:ascii="Times New Roman" w:hAnsi="Times New Roman" w:eastAsia="仿宋_GB2312" w:cs="仿宋_GB2312"/>
          <w:b w:val="0"/>
          <w:bCs w:val="0"/>
          <w:color w:val="auto"/>
          <w:spacing w:val="0"/>
          <w:kern w:val="2"/>
          <w:sz w:val="32"/>
          <w:szCs w:val="32"/>
          <w:lang w:val="en-US" w:eastAsia="zh-CN" w:bidi="ar"/>
        </w:rPr>
        <w:t>2025</w:t>
      </w:r>
      <w:r>
        <w:rPr>
          <w:rFonts w:hint="eastAsia" w:ascii="仿宋_GB2312" w:hAnsi="仿宋_GB2312" w:eastAsia="仿宋_GB2312" w:cs="仿宋_GB2312"/>
          <w:b w:val="0"/>
          <w:bCs w:val="0"/>
          <w:color w:val="auto"/>
          <w:spacing w:val="0"/>
          <w:kern w:val="2"/>
          <w:sz w:val="32"/>
          <w:szCs w:val="32"/>
          <w:lang w:val="en-US" w:eastAsia="zh-CN" w:bidi="ar"/>
        </w:rPr>
        <w:t>）的通知》</w:t>
      </w:r>
      <w:r>
        <w:rPr>
          <w:rFonts w:hint="eastAsia" w:ascii="仿宋_GB2312" w:hAnsi="仿宋_GB2312" w:eastAsia="仿宋_GB2312" w:cs="仿宋_GB2312"/>
          <w:b w:val="0"/>
          <w:bCs w:val="0"/>
          <w:color w:val="auto"/>
          <w:spacing w:val="0"/>
          <w:kern w:val="2"/>
          <w:sz w:val="32"/>
          <w:szCs w:val="32"/>
          <w:lang w:eastAsia="zh-CN" w:bidi="ar"/>
        </w:rPr>
        <w:t>的要求，</w:t>
      </w:r>
      <w:r>
        <w:rPr>
          <w:rFonts w:hint="eastAsia" w:ascii="仿宋_GB2312" w:hAnsi="仿宋_GB2312" w:eastAsia="仿宋_GB2312" w:cs="仿宋_GB2312"/>
          <w:b w:val="0"/>
          <w:bCs w:val="0"/>
          <w:color w:val="auto"/>
          <w:spacing w:val="0"/>
          <w:kern w:val="2"/>
          <w:sz w:val="32"/>
          <w:szCs w:val="32"/>
          <w:lang w:val="en-US" w:eastAsia="zh-CN" w:bidi="ar"/>
        </w:rPr>
        <w:t>坚持“公平、公正、公开”的原则，</w:t>
      </w:r>
      <w:r>
        <w:rPr>
          <w:rFonts w:hint="eastAsia" w:ascii="仿宋_GB2312" w:hAnsi="仿宋_GB2312" w:eastAsia="仿宋_GB2312" w:cs="仿宋_GB2312"/>
          <w:b w:val="0"/>
          <w:bCs w:val="0"/>
          <w:color w:val="auto"/>
          <w:spacing w:val="0"/>
          <w:kern w:val="2"/>
          <w:sz w:val="32"/>
          <w:szCs w:val="32"/>
          <w:lang w:eastAsia="zh-CN" w:bidi="ar"/>
        </w:rPr>
        <w:t>落实公民同招，</w:t>
      </w:r>
      <w:r>
        <w:rPr>
          <w:rFonts w:hint="eastAsia" w:ascii="仿宋_GB2312" w:hAnsi="仿宋_GB2312" w:eastAsia="仿宋_GB2312" w:cs="仿宋_GB2312"/>
          <w:b w:val="0"/>
          <w:bCs w:val="0"/>
          <w:color w:val="auto"/>
          <w:spacing w:val="0"/>
          <w:kern w:val="2"/>
          <w:sz w:val="32"/>
          <w:szCs w:val="32"/>
          <w:lang w:val="en-US" w:eastAsia="zh-CN" w:bidi="ar"/>
        </w:rPr>
        <w:t>深入实施“阳光招生工程”，圆满完成各项招生工作任务</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。增城中学等</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eastAsia="zh-CN"/>
        </w:rPr>
        <w:t>6</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所学校创新资源共享方式进行招生，提供学位</w:t>
      </w:r>
      <w:r>
        <w:rPr>
          <w:rFonts w:hint="eastAsia" w:ascii="Times New Roman" w:hAnsi="Times New Roman" w:eastAsia="仿宋_GB2312" w:cs="仿宋_GB2312"/>
          <w:b w:val="0"/>
          <w:bCs w:val="0"/>
          <w:i w:val="0"/>
          <w:iCs w:val="0"/>
          <w:caps w:val="0"/>
          <w:color w:val="auto"/>
          <w:spacing w:val="0"/>
          <w:kern w:val="2"/>
          <w:sz w:val="32"/>
          <w:szCs w:val="32"/>
          <w:highlight w:val="none"/>
          <w:shd w:val="clear" w:fill="FFFFFF"/>
          <w:lang w:eastAsia="zh-CN"/>
        </w:rPr>
        <w:t>330</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个，让教育发展成果更多更公平惠及群众。</w:t>
      </w:r>
    </w:p>
    <w:p w14:paraId="51DCA61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pPr>
      <w:r>
        <w:rPr>
          <w:rFonts w:hint="eastAsia" w:ascii="Times New Roman" w:hAnsi="Times New Roman" w:eastAsia="仿宋_GB2312" w:cs="仿宋_GB2312"/>
          <w:b/>
          <w:bCs/>
          <w:i w:val="0"/>
          <w:iCs w:val="0"/>
          <w:caps w:val="0"/>
          <w:color w:val="auto"/>
          <w:spacing w:val="0"/>
          <w:kern w:val="2"/>
          <w:sz w:val="32"/>
          <w:szCs w:val="32"/>
          <w:highlight w:val="none"/>
          <w:shd w:val="clear" w:fill="FFFFFF"/>
          <w:lang w:val="en-US" w:eastAsia="zh-CN"/>
        </w:rPr>
        <w:t>4</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.强化治理，落实“双减”治理教育乱象。一是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深化校内减负提质，</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校内减负实现</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9</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个</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100</w:t>
      </w:r>
      <w:r>
        <w:rPr>
          <w:rFonts w:hint="eastAsia" w:ascii="Times New Roman" w:hAnsi="Times New Roman" w:eastAsia="仿宋_GB2312" w:cs="仿宋_GB2312"/>
          <w:b w:val="0"/>
          <w:bCs w:val="0"/>
          <w:color w:val="auto"/>
          <w:spacing w:val="0"/>
          <w:kern w:val="2"/>
          <w:sz w:val="32"/>
          <w:szCs w:val="32"/>
          <w:highlight w:val="none"/>
          <w:lang w:val="en-US" w:eastAsia="zh-CN" w:bidi="ar-SA"/>
        </w:rPr>
        <w:t>%</w:t>
      </w:r>
      <w:r>
        <w:rPr>
          <w:rStyle w:val="11"/>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footnoteReference w:id="3"/>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，通过增加资金投入、挖掘场地空间、增添设施物品等措施打造舒适午休，实现平躺睡</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100</w:t>
      </w:r>
      <w:r>
        <w:rPr>
          <w:rFonts w:hint="eastAsia" w:ascii="Times New Roman" w:hAnsi="Times New Roman" w:eastAsia="仿宋_GB2312"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。自</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2022</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年起每年遴选第三方机构白名单，今年春季学期</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157</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所学校开展课后服务，参与学生约</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14</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万人，其中</w:t>
      </w:r>
      <w:r>
        <w:rPr>
          <w:rFonts w:hint="eastAsia" w:ascii="Times New Roman" w:hAnsi="Times New Roman" w:eastAsia="仿宋_GB2312" w:cs="仿宋_GB2312"/>
          <w:i w:val="0"/>
          <w:iCs w:val="0"/>
          <w:caps w:val="0"/>
          <w:color w:val="auto"/>
          <w:spacing w:val="0"/>
          <w:kern w:val="2"/>
          <w:sz w:val="32"/>
          <w:szCs w:val="32"/>
          <w:highlight w:val="none"/>
          <w:shd w:val="clear" w:fill="FFFFFF"/>
          <w:lang w:eastAsia="zh-CN"/>
        </w:rPr>
        <w:t>88</w:t>
      </w:r>
      <w:r>
        <w:rPr>
          <w:rFonts w:hint="eastAsia" w:ascii="仿宋_GB2312" w:hAnsi="仿宋_GB2312" w:eastAsia="仿宋_GB2312" w:cs="仿宋_GB2312"/>
          <w:i w:val="0"/>
          <w:iCs w:val="0"/>
          <w:caps w:val="0"/>
          <w:color w:val="auto"/>
          <w:spacing w:val="0"/>
          <w:kern w:val="2"/>
          <w:sz w:val="32"/>
          <w:szCs w:val="32"/>
          <w:highlight w:val="none"/>
          <w:shd w:val="clear" w:fill="FFFFFF"/>
          <w:lang w:eastAsia="zh-CN"/>
        </w:rPr>
        <w:t>所学校引入第三方提供</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素质</w:t>
      </w:r>
      <w:r>
        <w:rPr>
          <w:rFonts w:hint="eastAsia" w:ascii="仿宋_GB2312" w:hAnsi="仿宋_GB2312" w:eastAsia="仿宋_GB2312" w:cs="仿宋_GB2312"/>
          <w:i w:val="0"/>
          <w:iCs w:val="0"/>
          <w:caps w:val="0"/>
          <w:color w:val="auto"/>
          <w:spacing w:val="0"/>
          <w:kern w:val="2"/>
          <w:sz w:val="32"/>
          <w:szCs w:val="32"/>
          <w:highlight w:val="none"/>
          <w:shd w:val="clear" w:fill="FFFFFF"/>
          <w:lang w:eastAsia="zh-CN"/>
        </w:rPr>
        <w:t>拓展类服务</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，涵盖文化艺术、体育、科技、综合实践等多领域，</w:t>
      </w:r>
      <w:r>
        <w:rPr>
          <w:rFonts w:hint="eastAsia" w:ascii="仿宋_GB2312" w:hAnsi="仿宋_GB2312" w:eastAsia="仿宋_GB2312" w:cs="仿宋_GB2312"/>
          <w:snapToGrid/>
          <w:color w:val="auto"/>
          <w:spacing w:val="0"/>
          <w:kern w:val="2"/>
          <w:sz w:val="32"/>
          <w:szCs w:val="32"/>
          <w:lang w:val="en-US" w:eastAsia="zh-CN" w:bidi="ar-SA"/>
        </w:rPr>
        <w:t>学生的综合素质得到全面的提高。</w:t>
      </w:r>
      <w:r>
        <w:rPr>
          <w:rFonts w:hint="eastAsia" w:ascii="Times New Roman" w:hAnsi="Times New Roman" w:eastAsia="仿宋_GB2312" w:cs="仿宋_GB2312"/>
          <w:snapToGrid/>
          <w:color w:val="auto"/>
          <w:spacing w:val="0"/>
          <w:kern w:val="2"/>
          <w:sz w:val="32"/>
          <w:szCs w:val="32"/>
          <w:lang w:val="en-US" w:eastAsia="zh-CN" w:bidi="ar-SA"/>
        </w:rPr>
        <w:t>2022</w:t>
      </w:r>
      <w:r>
        <w:rPr>
          <w:rFonts w:hint="eastAsia" w:ascii="仿宋_GB2312" w:hAnsi="仿宋_GB2312" w:eastAsia="仿宋_GB2312" w:cs="仿宋_GB2312"/>
          <w:snapToGrid/>
          <w:color w:val="auto"/>
          <w:spacing w:val="0"/>
          <w:kern w:val="2"/>
          <w:sz w:val="32"/>
          <w:szCs w:val="32"/>
          <w:lang w:val="en-US" w:eastAsia="zh-CN" w:bidi="ar-SA"/>
        </w:rPr>
        <w:t>—</w:t>
      </w:r>
      <w:r>
        <w:rPr>
          <w:rFonts w:hint="eastAsia" w:ascii="Times New Roman" w:hAnsi="Times New Roman" w:eastAsia="仿宋_GB2312" w:cs="仿宋_GB2312"/>
          <w:snapToGrid/>
          <w:color w:val="auto"/>
          <w:spacing w:val="0"/>
          <w:kern w:val="2"/>
          <w:sz w:val="32"/>
          <w:szCs w:val="32"/>
          <w:lang w:val="en-US" w:eastAsia="zh-CN" w:bidi="ar-SA"/>
        </w:rPr>
        <w:t>2023</w:t>
      </w:r>
      <w:r>
        <w:rPr>
          <w:rFonts w:hint="eastAsia" w:ascii="仿宋_GB2312" w:hAnsi="仿宋_GB2312" w:eastAsia="仿宋_GB2312" w:cs="仿宋_GB2312"/>
          <w:snapToGrid/>
          <w:color w:val="auto"/>
          <w:spacing w:val="0"/>
          <w:kern w:val="2"/>
          <w:sz w:val="32"/>
          <w:szCs w:val="32"/>
          <w:lang w:val="en-US" w:eastAsia="zh-CN" w:bidi="ar-SA"/>
        </w:rPr>
        <w:t>年评选出落实“双减”政策示范学校</w:t>
      </w:r>
      <w:r>
        <w:rPr>
          <w:rFonts w:hint="eastAsia" w:ascii="Times New Roman" w:hAnsi="Times New Roman" w:eastAsia="仿宋_GB2312" w:cs="仿宋_GB2312"/>
          <w:snapToGrid/>
          <w:color w:val="auto"/>
          <w:spacing w:val="0"/>
          <w:kern w:val="2"/>
          <w:sz w:val="32"/>
          <w:szCs w:val="32"/>
          <w:lang w:val="en-US" w:eastAsia="zh-CN" w:bidi="ar-SA"/>
        </w:rPr>
        <w:t>35</w:t>
      </w:r>
      <w:r>
        <w:rPr>
          <w:rFonts w:hint="eastAsia" w:ascii="仿宋_GB2312" w:hAnsi="仿宋_GB2312" w:eastAsia="仿宋_GB2312" w:cs="仿宋_GB2312"/>
          <w:snapToGrid/>
          <w:color w:val="auto"/>
          <w:spacing w:val="0"/>
          <w:kern w:val="2"/>
          <w:sz w:val="32"/>
          <w:szCs w:val="32"/>
          <w:lang w:val="en-US" w:eastAsia="zh-CN" w:bidi="ar-SA"/>
        </w:rPr>
        <w:t>所。</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二是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坚决整治培训乱象，</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学科类培训机构动态清零，审批持证培训机</w:t>
      </w:r>
      <w:r>
        <w:rPr>
          <w:rFonts w:hint="eastAsia" w:ascii="仿宋_GB2312" w:hAnsi="仿宋_GB2312" w:eastAsia="仿宋_GB2312" w:cs="仿宋_GB2312"/>
          <w:color w:val="auto"/>
          <w:spacing w:val="0"/>
          <w:kern w:val="2"/>
          <w:sz w:val="32"/>
          <w:szCs w:val="32"/>
          <w:highlight w:val="none"/>
          <w:shd w:val="clear" w:color="auto" w:fill="FFFFFF"/>
          <w:lang w:val="en-US" w:eastAsia="zh-CN"/>
        </w:rPr>
        <w:t>构</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288</w:t>
      </w:r>
      <w:r>
        <w:rPr>
          <w:rFonts w:hint="eastAsia" w:ascii="仿宋_GB2312" w:hAnsi="仿宋_GB2312" w:eastAsia="仿宋_GB2312" w:cs="仿宋_GB2312"/>
          <w:color w:val="auto"/>
          <w:spacing w:val="0"/>
          <w:kern w:val="2"/>
          <w:sz w:val="32"/>
          <w:szCs w:val="32"/>
          <w:highlight w:val="none"/>
          <w:shd w:val="clear" w:color="auto" w:fill="FFFFFF"/>
          <w:lang w:val="en-US" w:eastAsia="zh-CN"/>
        </w:rPr>
        <w:t>家</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w:t>
      </w:r>
      <w:r>
        <w:rPr>
          <w:rFonts w:hint="eastAsia" w:ascii="仿宋_GB2312" w:hAnsi="仿宋_GB2312" w:eastAsia="仿宋_GB2312" w:cs="仿宋_GB2312"/>
          <w:color w:val="auto"/>
          <w:spacing w:val="0"/>
          <w:kern w:val="2"/>
          <w:sz w:val="32"/>
          <w:szCs w:val="32"/>
          <w:highlight w:val="none"/>
          <w:shd w:val="clear" w:color="auto" w:fill="FFFFFF"/>
          <w:lang w:val="en-US" w:eastAsia="zh-CN"/>
        </w:rPr>
        <w:t>多措并举推动机构全面纳入全国监管平台，实现课程、收费、销课全流程监管，有效防范风险。</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个行政处罚案件获教育部遴选为示范案例（广州市共有</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3</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件）。</w:t>
      </w:r>
    </w:p>
    <w:p w14:paraId="252843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楷体_GB2312" w:hAnsi="楷体_GB2312" w:eastAsia="楷体_GB2312" w:cs="楷体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（四）聚焦立德树人，提升教育优质均衡内涵质量</w:t>
      </w:r>
    </w:p>
    <w:p w14:paraId="15F226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0" w:lineRule="exact"/>
        <w:ind w:firstLine="632"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pPr>
      <w:r>
        <w:rPr>
          <w:rFonts w:hint="eastAsia" w:ascii="Times New Roman" w:hAnsi="Times New Roman" w:eastAsia="仿宋_GB2312" w:cs="仿宋_GB2312"/>
          <w:b/>
          <w:bCs/>
          <w:i w:val="0"/>
          <w:iCs w:val="0"/>
          <w:caps w:val="0"/>
          <w:color w:val="auto"/>
          <w:spacing w:val="0"/>
          <w:kern w:val="2"/>
          <w:sz w:val="32"/>
          <w:szCs w:val="32"/>
          <w:highlight w:val="none"/>
          <w:shd w:val="clear" w:fill="FFFFFF"/>
          <w:lang w:val="en-US" w:eastAsia="zh-CN"/>
        </w:rPr>
        <w:t>1</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.思政筑基，构建小初一体化德育课程体系。</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印发《增城区中小学高质量德育体系建设三年行动计划（</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2024</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2026</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）》，组建“</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7</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N</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”校地宣传思政联盟，举办“红荔讲坛”、新时代文明实践队活动、“移动的思政课—新时代基层理论宣讲大篷车”等品牌活动。创新实施“党组织书记、校长上第一堂思政课”制度，</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2024</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年以来，广州市委常委、政法委书记孙太平同志先后两次到我区学校上开学法治第一课。区委书记赵国生同志深入学校上开学思政第一课</w:t>
      </w:r>
      <w:r>
        <w:rPr>
          <w:rFonts w:hint="eastAsia" w:ascii="仿宋_GB2312" w:hAnsi="仿宋_GB2312" w:eastAsia="仿宋_GB2312" w:cs="仿宋_GB2312"/>
          <w:color w:val="auto"/>
          <w:spacing w:val="0"/>
          <w:kern w:val="2"/>
          <w:sz w:val="32"/>
          <w:szCs w:val="32"/>
          <w:highlight w:val="none"/>
          <w:shd w:val="clear" w:color="auto" w:fill="FFFFFF"/>
          <w:lang w:val="en-US" w:eastAsia="zh-CN"/>
        </w:rPr>
        <w:t>，共有</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204</w:t>
      </w:r>
      <w:r>
        <w:rPr>
          <w:rFonts w:hint="eastAsia" w:ascii="仿宋_GB2312" w:hAnsi="仿宋_GB2312" w:eastAsia="仿宋_GB2312" w:cs="仿宋_GB2312"/>
          <w:color w:val="auto"/>
          <w:spacing w:val="0"/>
          <w:kern w:val="2"/>
          <w:sz w:val="32"/>
          <w:szCs w:val="32"/>
          <w:highlight w:val="none"/>
          <w:shd w:val="clear" w:color="auto" w:fill="FFFFFF"/>
          <w:lang w:val="en-US" w:eastAsia="zh-CN"/>
        </w:rPr>
        <w:t>名中小学校党组织书记、校长上第一堂思政课，听课师生</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24</w:t>
      </w:r>
      <w:r>
        <w:rPr>
          <w:rFonts w:hint="eastAsia" w:ascii="仿宋_GB2312" w:hAnsi="仿宋_GB2312" w:eastAsia="仿宋_GB2312" w:cs="仿宋_GB2312"/>
          <w:color w:val="auto"/>
          <w:spacing w:val="0"/>
          <w:kern w:val="2"/>
          <w:sz w:val="32"/>
          <w:szCs w:val="32"/>
          <w:highlight w:val="none"/>
          <w:shd w:val="clear" w:color="auto" w:fill="FFFFFF"/>
          <w:lang w:val="en-US" w:eastAsia="zh-CN"/>
        </w:rPr>
        <w:t>万人。率先开展全市首个“思政第一课”优秀课例评选，评选奖项</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118</w:t>
      </w:r>
      <w:r>
        <w:rPr>
          <w:rFonts w:hint="eastAsia" w:ascii="仿宋_GB2312" w:hAnsi="仿宋_GB2312" w:eastAsia="仿宋_GB2312" w:cs="仿宋_GB2312"/>
          <w:color w:val="auto"/>
          <w:spacing w:val="0"/>
          <w:kern w:val="2"/>
          <w:sz w:val="32"/>
          <w:szCs w:val="32"/>
          <w:highlight w:val="none"/>
          <w:shd w:val="clear" w:color="auto" w:fill="FFFFFF"/>
          <w:lang w:val="en-US" w:eastAsia="zh-CN"/>
        </w:rPr>
        <w:t>个。思政课教师主持或参与区级以上课题</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86</w:t>
      </w:r>
      <w:r>
        <w:rPr>
          <w:rFonts w:hint="eastAsia" w:ascii="仿宋_GB2312" w:hAnsi="仿宋_GB2312" w:eastAsia="仿宋_GB2312" w:cs="仿宋_GB2312"/>
          <w:color w:val="auto"/>
          <w:spacing w:val="0"/>
          <w:kern w:val="2"/>
          <w:sz w:val="32"/>
          <w:szCs w:val="32"/>
          <w:highlight w:val="none"/>
          <w:shd w:val="clear" w:color="auto" w:fill="FFFFFF"/>
          <w:lang w:val="en-US" w:eastAsia="zh-CN"/>
        </w:rPr>
        <w:t>项，发表论文</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190</w:t>
      </w:r>
      <w:r>
        <w:rPr>
          <w:rFonts w:hint="eastAsia" w:ascii="仿宋_GB2312" w:hAnsi="仿宋_GB2312" w:eastAsia="仿宋_GB2312" w:cs="仿宋_GB2312"/>
          <w:color w:val="auto"/>
          <w:spacing w:val="0"/>
          <w:kern w:val="2"/>
          <w:sz w:val="32"/>
          <w:szCs w:val="32"/>
          <w:highlight w:val="none"/>
          <w:shd w:val="clear" w:color="auto" w:fill="FFFFFF"/>
          <w:lang w:val="en-US" w:eastAsia="zh-CN"/>
        </w:rPr>
        <w:t>篇，出版专著</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color w:val="auto"/>
          <w:spacing w:val="0"/>
          <w:kern w:val="2"/>
          <w:sz w:val="32"/>
          <w:szCs w:val="32"/>
          <w:highlight w:val="none"/>
          <w:shd w:val="clear" w:color="auto" w:fill="FFFFFF"/>
          <w:lang w:val="en-US" w:eastAsia="zh-CN"/>
        </w:rPr>
        <w:t>部，</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3</w:t>
      </w:r>
      <w:r>
        <w:rPr>
          <w:rFonts w:hint="eastAsia" w:ascii="仿宋_GB2312" w:hAnsi="仿宋_GB2312" w:eastAsia="仿宋_GB2312" w:cs="仿宋_GB2312"/>
          <w:color w:val="auto"/>
          <w:spacing w:val="0"/>
          <w:kern w:val="2"/>
          <w:sz w:val="32"/>
          <w:szCs w:val="32"/>
          <w:highlight w:val="none"/>
          <w:shd w:val="clear" w:color="auto" w:fill="FFFFFF"/>
          <w:lang w:val="en-US" w:eastAsia="zh-CN"/>
        </w:rPr>
        <w:t xml:space="preserve">人入选广州市相关工作室主持人。 </w:t>
      </w:r>
    </w:p>
    <w:p w14:paraId="01A4F07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32" w:firstLineChars="200"/>
        <w:jc w:val="both"/>
        <w:textAlignment w:val="auto"/>
        <w:rPr>
          <w:rStyle w:val="12"/>
          <w:rFonts w:hint="eastAsia" w:ascii="仿宋_GB2312" w:hAnsi="仿宋_GB2312" w:eastAsia="仿宋_GB2312" w:cs="仿宋_GB2312"/>
          <w:b w:val="0"/>
          <w:i w:val="0"/>
          <w:caps w:val="0"/>
          <w:color w:val="auto"/>
          <w:spacing w:val="0"/>
          <w:w w:val="100"/>
          <w:kern w:val="2"/>
          <w:sz w:val="32"/>
          <w:szCs w:val="32"/>
          <w:lang w:val="en-US" w:eastAsia="zh-CN" w:bidi="ar-SA"/>
        </w:rPr>
      </w:pPr>
      <w:r>
        <w:rPr>
          <w:rFonts w:hint="eastAsia" w:ascii="Times New Roman" w:hAnsi="Times New Roman" w:eastAsia="仿宋_GB2312" w:cs="仿宋_GB2312"/>
          <w:b/>
          <w:bCs/>
          <w:i w:val="0"/>
          <w:iCs w:val="0"/>
          <w:caps w:val="0"/>
          <w:color w:val="auto"/>
          <w:spacing w:val="0"/>
          <w:kern w:val="2"/>
          <w:sz w:val="32"/>
          <w:szCs w:val="32"/>
          <w:highlight w:val="none"/>
          <w:shd w:val="clear" w:fill="FFFFFF"/>
          <w:lang w:val="en-US" w:eastAsia="zh-CN"/>
        </w:rPr>
        <w:t>2</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.五育并举，促进学生健康成长和全面发展。一是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科技赋能智育，</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联合</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11</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部门建立科学教育工作联席会议制度。</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2024</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年学生共获得科技类竞赛奖项</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2812</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人次，其中国家级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541</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人次、省级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1257</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人打破华容道世界纪录；教师获奖</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396</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人次，包括国家级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38</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人次、省级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74</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人次和市级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284</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人次；学校集体获奖</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49</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项，含国家级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13</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项、省级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17</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项、市级</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19</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项。其中，实验小学等</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5</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所学校获中国无线电测向联赛（深圳站）国家级优秀组织奖；新康小学获全国版图知识竞赛优秀组织奖；荔城街第二中学获第十五届全国青少年模拟飞行锦标赛国家级优秀组织奖。依托机器人赛事，将科学与工程教育惠及乡村，以“星火乡村计划”增城区项目校为引，推进科学与工程教育资源建设，持续深化科学与工程教育课题研究。</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二是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推进体育发展，</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中小学校构建“健康教育+基本运动技能+专项运动技能”的一体化教学模式，全区学生体质健康达标率高达</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99</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w:t>
      </w:r>
      <w:r>
        <w:rPr>
          <w:rFonts w:hint="eastAsia" w:ascii="Times New Roman" w:hAnsi="Times New Roman" w:eastAsia="仿宋_GB2312" w:cs="仿宋_GB2312"/>
          <w:b w:val="0"/>
          <w:bCs w:val="0"/>
          <w:color w:val="auto"/>
          <w:spacing w:val="0"/>
          <w:kern w:val="2"/>
          <w:sz w:val="32"/>
          <w:szCs w:val="32"/>
          <w:highlight w:val="none"/>
          <w:lang w:val="en-US" w:eastAsia="zh-CN" w:bidi="ar-SA"/>
        </w:rPr>
        <w:t>11%</w:t>
      </w:r>
      <w:r>
        <w:rPr>
          <w:rFonts w:hint="eastAsia" w:ascii="仿宋_GB2312" w:hAnsi="仿宋_GB2312" w:eastAsia="仿宋_GB2312" w:cs="仿宋_GB2312"/>
          <w:b w:val="0"/>
          <w:bCs w:val="0"/>
          <w:color w:val="auto"/>
          <w:spacing w:val="0"/>
          <w:kern w:val="2"/>
          <w:sz w:val="32"/>
          <w:szCs w:val="32"/>
          <w:highlight w:val="none"/>
          <w:lang w:val="en-US" w:eastAsia="zh-CN" w:bidi="ar-SA"/>
        </w:rPr>
        <w:t>，优良率从</w:t>
      </w:r>
      <w:r>
        <w:rPr>
          <w:rFonts w:hint="eastAsia" w:ascii="Times New Roman" w:hAnsi="Times New Roman" w:eastAsia="仿宋_GB2312" w:cs="仿宋_GB2312"/>
          <w:b w:val="0"/>
          <w:bCs w:val="0"/>
          <w:color w:val="auto"/>
          <w:spacing w:val="0"/>
          <w:kern w:val="2"/>
          <w:sz w:val="32"/>
          <w:szCs w:val="32"/>
          <w:highlight w:val="none"/>
          <w:lang w:val="en-US" w:eastAsia="zh-CN" w:bidi="ar-SA"/>
        </w:rPr>
        <w:t>55</w:t>
      </w:r>
      <w:r>
        <w:rPr>
          <w:rFonts w:hint="eastAsia" w:ascii="仿宋_GB2312" w:hAnsi="仿宋_GB2312" w:eastAsia="仿宋_GB2312" w:cs="仿宋_GB2312"/>
          <w:b w:val="0"/>
          <w:bCs w:val="0"/>
          <w:color w:val="auto"/>
          <w:spacing w:val="0"/>
          <w:kern w:val="2"/>
          <w:sz w:val="32"/>
          <w:szCs w:val="32"/>
          <w:highlight w:val="none"/>
          <w:lang w:val="en-US" w:eastAsia="zh-CN" w:bidi="ar-SA"/>
        </w:rPr>
        <w:t>.</w:t>
      </w:r>
      <w:r>
        <w:rPr>
          <w:rFonts w:hint="eastAsia" w:ascii="Times New Roman" w:hAnsi="Times New Roman" w:eastAsia="仿宋_GB2312" w:cs="仿宋_GB2312"/>
          <w:b w:val="0"/>
          <w:bCs w:val="0"/>
          <w:color w:val="auto"/>
          <w:spacing w:val="0"/>
          <w:kern w:val="2"/>
          <w:sz w:val="32"/>
          <w:szCs w:val="32"/>
          <w:highlight w:val="none"/>
          <w:lang w:val="en-US" w:eastAsia="zh-CN" w:bidi="ar-SA"/>
        </w:rPr>
        <w:t>24%</w:t>
      </w:r>
      <w:r>
        <w:rPr>
          <w:rFonts w:hint="eastAsia" w:ascii="仿宋_GB2312" w:hAnsi="仿宋_GB2312" w:eastAsia="仿宋_GB2312" w:cs="仿宋_GB2312"/>
          <w:b w:val="0"/>
          <w:bCs w:val="0"/>
          <w:color w:val="auto"/>
          <w:spacing w:val="0"/>
          <w:kern w:val="2"/>
          <w:sz w:val="32"/>
          <w:szCs w:val="32"/>
          <w:highlight w:val="none"/>
          <w:lang w:val="en-US" w:eastAsia="zh-CN" w:bidi="ar-SA"/>
        </w:rPr>
        <w:t>上升至</w:t>
      </w:r>
      <w:r>
        <w:rPr>
          <w:rFonts w:hint="eastAsia" w:ascii="Times New Roman" w:hAnsi="Times New Roman" w:eastAsia="仿宋_GB2312" w:cs="仿宋_GB2312"/>
          <w:b w:val="0"/>
          <w:bCs w:val="0"/>
          <w:color w:val="auto"/>
          <w:spacing w:val="0"/>
          <w:kern w:val="2"/>
          <w:sz w:val="32"/>
          <w:szCs w:val="32"/>
          <w:highlight w:val="none"/>
          <w:lang w:val="en-US" w:eastAsia="zh-CN" w:bidi="ar-SA"/>
        </w:rPr>
        <w:t>60%</w:t>
      </w:r>
      <w:r>
        <w:rPr>
          <w:rFonts w:hint="eastAsia" w:ascii="仿宋_GB2312" w:hAnsi="仿宋_GB2312" w:eastAsia="仿宋_GB2312"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增城成为首批“全国儿童青少年近视防控适宜技术试点区”。</w:t>
      </w:r>
      <w:r>
        <w:rPr>
          <w:rFonts w:hint="eastAsia" w:ascii="仿宋_GB2312" w:hAnsi="仿宋_GB2312" w:eastAsia="仿宋_GB2312" w:cs="仿宋_GB2312"/>
          <w:b w:val="0"/>
          <w:bCs w:val="0"/>
          <w:color w:val="auto"/>
          <w:spacing w:val="0"/>
          <w:kern w:val="2"/>
          <w:sz w:val="32"/>
          <w:szCs w:val="32"/>
          <w:lang w:val="en-US" w:eastAsia="zh-CN" w:bidi="ar-SA"/>
        </w:rPr>
        <w:t>广州体职院助力我区承办乒乓球、柔道、赛艇等</w:t>
      </w:r>
      <w:r>
        <w:rPr>
          <w:rFonts w:hint="eastAsia" w:ascii="Times New Roman" w:hAnsi="Times New Roman" w:eastAsia="仿宋_GB2312" w:cs="仿宋_GB2312"/>
          <w:b w:val="0"/>
          <w:bCs w:val="0"/>
          <w:color w:val="auto"/>
          <w:spacing w:val="0"/>
          <w:kern w:val="2"/>
          <w:sz w:val="32"/>
          <w:szCs w:val="32"/>
          <w:lang w:val="en-US" w:eastAsia="zh-CN" w:bidi="ar-SA"/>
        </w:rPr>
        <w:t>2025</w:t>
      </w:r>
      <w:r>
        <w:rPr>
          <w:rFonts w:hint="eastAsia" w:ascii="仿宋_GB2312" w:hAnsi="仿宋_GB2312" w:eastAsia="仿宋_GB2312" w:cs="仿宋_GB2312"/>
          <w:b w:val="0"/>
          <w:bCs w:val="0"/>
          <w:color w:val="auto"/>
          <w:spacing w:val="0"/>
          <w:kern w:val="2"/>
          <w:sz w:val="32"/>
          <w:szCs w:val="32"/>
          <w:lang w:val="en-US" w:eastAsia="zh-CN" w:bidi="ar-SA"/>
        </w:rPr>
        <w:t>年市运动会项目，引进全国击剑</w:t>
      </w:r>
      <w:r>
        <w:rPr>
          <w:rFonts w:hint="eastAsia" w:ascii="Times New Roman" w:hAnsi="Times New Roman" w:eastAsia="仿宋_GB2312" w:cs="仿宋_GB2312"/>
          <w:b w:val="0"/>
          <w:bCs w:val="0"/>
          <w:color w:val="auto"/>
          <w:spacing w:val="0"/>
          <w:kern w:val="2"/>
          <w:sz w:val="32"/>
          <w:szCs w:val="32"/>
          <w:lang w:val="en-US" w:eastAsia="zh-CN" w:bidi="ar-SA"/>
        </w:rPr>
        <w:t>D</w:t>
      </w:r>
      <w:r>
        <w:rPr>
          <w:rFonts w:hint="eastAsia" w:ascii="仿宋_GB2312" w:hAnsi="仿宋_GB2312" w:eastAsia="仿宋_GB2312" w:cs="仿宋_GB2312"/>
          <w:b w:val="0"/>
          <w:bCs w:val="0"/>
          <w:color w:val="auto"/>
          <w:spacing w:val="0"/>
          <w:kern w:val="2"/>
          <w:sz w:val="32"/>
          <w:szCs w:val="32"/>
          <w:lang w:val="en-US" w:eastAsia="zh-CN" w:bidi="ar-SA"/>
        </w:rPr>
        <w:t>级赛（</w:t>
      </w:r>
      <w:r>
        <w:rPr>
          <w:rFonts w:hint="eastAsia" w:ascii="Times New Roman" w:hAnsi="Times New Roman" w:eastAsia="仿宋_GB2312" w:cs="仿宋_GB2312"/>
          <w:b w:val="0"/>
          <w:bCs w:val="0"/>
          <w:color w:val="auto"/>
          <w:spacing w:val="0"/>
          <w:kern w:val="2"/>
          <w:sz w:val="32"/>
          <w:szCs w:val="32"/>
          <w:lang w:val="en-US" w:eastAsia="zh-CN" w:bidi="ar-SA"/>
        </w:rPr>
        <w:t>1000</w:t>
      </w:r>
      <w:r>
        <w:rPr>
          <w:rFonts w:hint="eastAsia" w:ascii="仿宋_GB2312" w:hAnsi="仿宋_GB2312" w:eastAsia="仿宋_GB2312" w:cs="仿宋_GB2312"/>
          <w:b w:val="0"/>
          <w:bCs w:val="0"/>
          <w:color w:val="auto"/>
          <w:spacing w:val="0"/>
          <w:kern w:val="2"/>
          <w:sz w:val="32"/>
          <w:szCs w:val="32"/>
          <w:lang w:val="en-US" w:eastAsia="zh-CN" w:bidi="ar-SA"/>
        </w:rPr>
        <w:t>名运动员参加）在我区举办，联合主办“冠军进校园”活动。</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16</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所学校获评全国青少年校园足球特色学校，香江学校轮滑队代表广东省参加</w:t>
      </w:r>
      <w:r>
        <w:rPr>
          <w:rFonts w:hint="eastAsia" w:ascii="Times New Roman" w:hAnsi="Times New Roman" w:eastAsia="仿宋_GB2312" w:cs="仿宋_GB2312"/>
          <w:i w:val="0"/>
          <w:iCs w:val="0"/>
          <w:caps w:val="0"/>
          <w:color w:val="auto"/>
          <w:spacing w:val="0"/>
          <w:kern w:val="2"/>
          <w:sz w:val="32"/>
          <w:szCs w:val="32"/>
          <w:highlight w:val="none"/>
          <w:shd w:val="clear" w:fill="FFFFFF"/>
          <w:lang w:val="en-US" w:eastAsia="zh-CN"/>
        </w:rPr>
        <w:t>2025</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年全国轮滑锦标赛获少年女子甲组第一名，广州理工实验学校林桢烨同学获评国家二级运动员称号。</w:t>
      </w:r>
      <w:r>
        <w:rPr>
          <w:rFonts w:hint="eastAsia" w:ascii="仿宋_GB2312" w:hAnsi="仿宋_GB2312" w:eastAsia="仿宋_GB2312" w:cs="仿宋_GB2312"/>
          <w:b/>
          <w:bCs/>
          <w:i w:val="0"/>
          <w:iCs w:val="0"/>
          <w:caps w:val="0"/>
          <w:color w:val="auto"/>
          <w:spacing w:val="0"/>
          <w:kern w:val="2"/>
          <w:sz w:val="32"/>
          <w:szCs w:val="32"/>
          <w:highlight w:val="none"/>
          <w:shd w:val="clear" w:fill="FFFFFF"/>
          <w:lang w:val="en-US" w:eastAsia="zh-CN"/>
        </w:rPr>
        <w:t>三是</w:t>
      </w:r>
      <w:r>
        <w:rPr>
          <w:rFonts w:hint="eastAsia" w:ascii="仿宋_GB2312" w:hAnsi="仿宋_GB2312" w:eastAsia="仿宋_GB2312" w:cs="仿宋_GB2312"/>
          <w:b w:val="0"/>
          <w:bCs w:val="0"/>
          <w:i w:val="0"/>
          <w:iCs w:val="0"/>
          <w:caps w:val="0"/>
          <w:color w:val="auto"/>
          <w:spacing w:val="0"/>
          <w:kern w:val="2"/>
          <w:sz w:val="32"/>
          <w:szCs w:val="32"/>
          <w:highlight w:val="none"/>
          <w:shd w:val="clear" w:fill="FFFFFF"/>
          <w:lang w:val="en-US" w:eastAsia="zh-CN"/>
        </w:rPr>
        <w:t>彰显美育价值，</w:t>
      </w:r>
      <w:r>
        <w:rPr>
          <w:rFonts w:hint="eastAsia" w:ascii="仿宋_GB2312" w:hAnsi="仿宋_GB2312" w:eastAsia="仿宋_GB2312" w:cs="仿宋_GB2312"/>
          <w:i w:val="0"/>
          <w:iCs w:val="0"/>
          <w:caps w:val="0"/>
          <w:color w:val="auto"/>
          <w:spacing w:val="0"/>
          <w:kern w:val="2"/>
          <w:sz w:val="32"/>
          <w:szCs w:val="32"/>
          <w:highlight w:val="none"/>
          <w:shd w:val="clear" w:fill="FFFFFF"/>
          <w:lang w:val="en-US" w:eastAsia="zh-CN"/>
        </w:rPr>
        <w:t>通过打造学校美育品牌，引导师生积极参加美育实践活动，充分发挥美育育</w:t>
      </w:r>
      <w:r>
        <w:rPr>
          <w:rFonts w:hint="eastAsia" w:ascii="仿宋_GB2312" w:hAnsi="仿宋_GB2312" w:eastAsia="仿宋_GB2312" w:cs="仿宋_GB2312"/>
          <w:i w:val="0"/>
          <w:iCs w:val="0"/>
          <w:caps w:val="0"/>
          <w:color w:val="auto"/>
          <w:spacing w:val="0"/>
          <w:kern w:val="2"/>
          <w:sz w:val="32"/>
          <w:szCs w:val="32"/>
          <w:shd w:val="clear" w:fill="FFFFFF"/>
          <w:lang w:val="en-US" w:eastAsia="zh-CN"/>
        </w:rPr>
        <w:t>人功能，提高学生审美和人文素养。增城中学</w:t>
      </w:r>
      <w:r>
        <w:rPr>
          <w:rFonts w:hint="eastAsia" w:ascii="仿宋_GB2312" w:hAnsi="仿宋_GB2312" w:eastAsia="仿宋_GB2312" w:cs="仿宋_GB2312"/>
          <w:color w:val="auto"/>
          <w:spacing w:val="0"/>
          <w:kern w:val="2"/>
          <w:sz w:val="32"/>
          <w:szCs w:val="32"/>
          <w:highlight w:val="none"/>
          <w:shd w:val="clear" w:color="auto" w:fill="FFFFFF"/>
          <w:lang w:val="en-US" w:eastAsia="zh-CN"/>
        </w:rPr>
        <w:t>等</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7</w:t>
      </w:r>
      <w:r>
        <w:rPr>
          <w:rFonts w:hint="eastAsia" w:ascii="仿宋_GB2312" w:hAnsi="仿宋_GB2312" w:eastAsia="仿宋_GB2312" w:cs="仿宋_GB2312"/>
          <w:color w:val="auto"/>
          <w:spacing w:val="0"/>
          <w:kern w:val="2"/>
          <w:sz w:val="32"/>
          <w:szCs w:val="32"/>
          <w:highlight w:val="none"/>
          <w:shd w:val="clear" w:color="auto" w:fill="FFFFFF"/>
          <w:lang w:val="en-US" w:eastAsia="zh-CN"/>
        </w:rPr>
        <w:t>所学校被认定为广州市体育美育高水平团队“一条龙”培养学校。</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2024</w:t>
      </w:r>
      <w:r>
        <w:rPr>
          <w:rFonts w:hint="eastAsia" w:ascii="仿宋_GB2312" w:hAnsi="仿宋_GB2312" w:eastAsia="仿宋_GB2312" w:cs="仿宋_GB2312"/>
          <w:color w:val="auto"/>
          <w:spacing w:val="0"/>
          <w:kern w:val="2"/>
          <w:sz w:val="32"/>
          <w:szCs w:val="32"/>
          <w:highlight w:val="none"/>
          <w:shd w:val="clear" w:color="auto" w:fill="FFFFFF"/>
          <w:lang w:val="en-US" w:eastAsia="zh-CN"/>
        </w:rPr>
        <w:t>年我区学生在美育活动上收获国家级奖项</w:t>
      </w:r>
      <w:r>
        <w:rPr>
          <w:rFonts w:hint="eastAsia" w:ascii="Times New Roman" w:hAnsi="Times New Roman" w:eastAsia="仿宋_GB2312" w:cs="仿宋_GB2312"/>
          <w:color w:val="auto"/>
          <w:spacing w:val="0"/>
          <w:kern w:val="2"/>
          <w:sz w:val="32"/>
          <w:szCs w:val="32"/>
          <w:highlight w:val="none"/>
          <w:shd w:val="clear" w:color="auto" w:fill="FFFFFF"/>
          <w:lang w:val="en-US" w:eastAsia="zh-CN"/>
        </w:rPr>
        <w:t>321</w:t>
      </w:r>
      <w:r>
        <w:rPr>
          <w:rFonts w:hint="eastAsia" w:ascii="仿宋_GB2312" w:hAnsi="仿宋_GB2312" w:eastAsia="仿宋_GB2312" w:cs="仿宋_GB2312"/>
          <w:color w:val="auto"/>
          <w:spacing w:val="0"/>
          <w:kern w:val="2"/>
          <w:sz w:val="32"/>
          <w:szCs w:val="32"/>
          <w:highlight w:val="none"/>
          <w:shd w:val="clear" w:color="auto" w:fill="FFFFFF"/>
          <w:lang w:val="en-US" w:eastAsia="zh-CN"/>
        </w:rPr>
        <w:t>人次。</w:t>
      </w:r>
      <w:r>
        <w:rPr>
          <w:rFonts w:hint="eastAsia" w:ascii="仿宋_GB2312" w:hAnsi="仿宋_GB2312" w:eastAsia="仿宋_GB2312" w:cs="仿宋_GB2312"/>
          <w:i w:val="0"/>
          <w:iCs w:val="0"/>
          <w:caps w:val="0"/>
          <w:color w:val="auto"/>
          <w:spacing w:val="0"/>
          <w:kern w:val="2"/>
          <w:sz w:val="32"/>
          <w:szCs w:val="32"/>
          <w:shd w:val="clear" w:fill="FFFFFF"/>
          <w:lang w:val="en-US" w:eastAsia="zh-CN"/>
        </w:rPr>
        <w:t>中新镇莲塘小学粤剧节目获“中国少儿戏曲小梅花荟萃”赛事最高奖项。</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rPr>
        <w:t>四是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t>深化劳育建设，</w:t>
      </w:r>
      <w:r>
        <w:rPr>
          <w:rFonts w:hint="eastAsia" w:ascii="仿宋_GB2312" w:hAnsi="仿宋_GB2312" w:eastAsia="仿宋_GB2312" w:cs="仿宋_GB2312"/>
          <w:color w:val="auto"/>
          <w:spacing w:val="0"/>
          <w:kern w:val="2"/>
          <w:sz w:val="32"/>
          <w:szCs w:val="32"/>
          <w:lang w:val="en-US" w:eastAsia="zh-CN" w:bidi="ar"/>
        </w:rPr>
        <w:t>健全完善“区级统筹规划—镇街推进落实—校级组织实施”的三级联动机制，奋力落实“五个全面”，打造劳动教育区域发展新模式，已成功创建省、市劳动教育特色学校、</w:t>
      </w:r>
      <w:r>
        <w:rPr>
          <w:rFonts w:hint="eastAsia" w:ascii="仿宋_GB2312" w:hAnsi="仿宋_GB2312" w:eastAsia="仿宋_GB2312" w:cs="仿宋_GB2312"/>
          <w:b w:val="0"/>
          <w:bCs w:val="0"/>
          <w:color w:val="auto"/>
          <w:spacing w:val="0"/>
          <w:kern w:val="2"/>
          <w:sz w:val="32"/>
          <w:szCs w:val="32"/>
          <w:lang w:val="en-US" w:eastAsia="zh-CN" w:bidi="ar-SA"/>
        </w:rPr>
        <w:t>教研基地实验校</w:t>
      </w:r>
      <w:r>
        <w:rPr>
          <w:rFonts w:hint="eastAsia" w:ascii="Times New Roman" w:hAnsi="Times New Roman" w:eastAsia="仿宋_GB2312" w:cs="仿宋_GB2312"/>
          <w:color w:val="auto"/>
          <w:spacing w:val="0"/>
          <w:kern w:val="2"/>
          <w:sz w:val="32"/>
          <w:szCs w:val="32"/>
          <w:lang w:val="en-US" w:eastAsia="zh-CN" w:bidi="ar"/>
        </w:rPr>
        <w:t>27</w:t>
      </w:r>
      <w:r>
        <w:rPr>
          <w:rFonts w:hint="eastAsia" w:ascii="仿宋_GB2312" w:hAnsi="仿宋_GB2312" w:eastAsia="仿宋_GB2312" w:cs="仿宋_GB2312"/>
          <w:color w:val="auto"/>
          <w:spacing w:val="0"/>
          <w:kern w:val="2"/>
          <w:sz w:val="32"/>
          <w:szCs w:val="32"/>
          <w:lang w:val="en-US" w:eastAsia="zh-CN" w:bidi="ar"/>
        </w:rPr>
        <w:t>所</w:t>
      </w:r>
      <w:r>
        <w:rPr>
          <w:rFonts w:hint="eastAsia" w:ascii="仿宋_GB2312" w:hAnsi="仿宋_GB2312" w:eastAsia="仿宋_GB2312" w:cs="仿宋_GB2312"/>
          <w:b w:val="0"/>
          <w:bCs w:val="0"/>
          <w:color w:val="auto"/>
          <w:spacing w:val="0"/>
          <w:kern w:val="2"/>
          <w:sz w:val="32"/>
          <w:szCs w:val="32"/>
          <w:lang w:val="en-US" w:eastAsia="zh-CN" w:bidi="ar-SA"/>
        </w:rPr>
        <w:t>，首批“城市小菜园”建设工程中小学校和幼儿园</w:t>
      </w:r>
      <w:r>
        <w:rPr>
          <w:rFonts w:hint="eastAsia" w:ascii="Times New Roman" w:hAnsi="Times New Roman" w:eastAsia="仿宋_GB2312" w:cs="仿宋_GB2312"/>
          <w:b w:val="0"/>
          <w:bCs w:val="0"/>
          <w:color w:val="auto"/>
          <w:spacing w:val="0"/>
          <w:kern w:val="2"/>
          <w:sz w:val="32"/>
          <w:szCs w:val="32"/>
          <w:lang w:val="en-US" w:eastAsia="zh-CN" w:bidi="ar-SA"/>
        </w:rPr>
        <w:t>56</w:t>
      </w:r>
      <w:r>
        <w:rPr>
          <w:rFonts w:hint="eastAsia" w:ascii="仿宋_GB2312" w:hAnsi="仿宋_GB2312" w:eastAsia="仿宋_GB2312" w:cs="仿宋_GB2312"/>
          <w:b w:val="0"/>
          <w:bCs w:val="0"/>
          <w:color w:val="auto"/>
          <w:spacing w:val="0"/>
          <w:kern w:val="2"/>
          <w:sz w:val="32"/>
          <w:szCs w:val="32"/>
          <w:lang w:val="en-US" w:eastAsia="zh-CN" w:bidi="ar-SA"/>
        </w:rPr>
        <w:t>所。</w:t>
      </w:r>
      <w:r>
        <w:rPr>
          <w:rStyle w:val="12"/>
          <w:rFonts w:hint="eastAsia" w:ascii="仿宋_GB2312" w:hAnsi="仿宋_GB2312" w:eastAsia="仿宋_GB2312" w:cs="仿宋_GB2312"/>
          <w:b w:val="0"/>
          <w:i w:val="0"/>
          <w:caps w:val="0"/>
          <w:color w:val="auto"/>
          <w:spacing w:val="0"/>
          <w:w w:val="100"/>
          <w:kern w:val="2"/>
          <w:sz w:val="32"/>
          <w:szCs w:val="32"/>
          <w:lang w:val="en-US" w:eastAsia="zh-CN" w:bidi="ar-SA"/>
        </w:rPr>
        <w:t>挂绿小学获评教育部乡村温馨校园建设典型案例学校，</w:t>
      </w:r>
      <w:r>
        <w:rPr>
          <w:rFonts w:hint="eastAsia" w:ascii="仿宋_GB2312" w:hAnsi="仿宋_GB2312" w:eastAsia="仿宋_GB2312" w:cs="仿宋_GB2312"/>
          <w:b w:val="0"/>
          <w:bCs w:val="0"/>
          <w:color w:val="auto"/>
          <w:spacing w:val="0"/>
          <w:kern w:val="2"/>
          <w:sz w:val="32"/>
          <w:szCs w:val="32"/>
          <w:lang w:val="en-US" w:eastAsia="zh-CN"/>
        </w:rPr>
        <w:t>是“十四五”期间广州市唯一入选的学校。</w:t>
      </w:r>
    </w:p>
    <w:p w14:paraId="49C1F81D">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lang w:val="en-US" w:eastAsia="zh-CN"/>
        </w:rPr>
      </w:pPr>
      <w:r>
        <w:rPr>
          <w:rFonts w:hint="eastAsia" w:ascii="Times New Roman" w:hAnsi="Times New Roman" w:eastAsia="仿宋_GB2312" w:cs="仿宋_GB2312"/>
          <w:color w:val="auto"/>
          <w:spacing w:val="0"/>
          <w:kern w:val="2"/>
          <w:lang w:val="en-US" w:eastAsia="zh-CN"/>
        </w:rPr>
        <w:t>3</w:t>
      </w:r>
      <w:r>
        <w:rPr>
          <w:rFonts w:hint="eastAsia" w:ascii="仿宋_GB2312" w:hAnsi="仿宋_GB2312" w:eastAsia="仿宋_GB2312" w:cs="仿宋_GB2312"/>
          <w:color w:val="auto"/>
          <w:spacing w:val="0"/>
          <w:kern w:val="2"/>
          <w:lang w:val="en-US" w:eastAsia="zh-CN"/>
        </w:rPr>
        <w:t>.智慧赋能，促进全域全员全流程教育教学智能化变革。</w:t>
      </w:r>
      <w:r>
        <w:rPr>
          <w:rFonts w:hint="eastAsia" w:ascii="仿宋_GB2312" w:hAnsi="仿宋_GB2312" w:eastAsia="仿宋_GB2312" w:cs="仿宋_GB2312"/>
          <w:b/>
          <w:bCs/>
          <w:color w:val="auto"/>
          <w:spacing w:val="0"/>
          <w:kern w:val="2"/>
          <w:lang w:val="en-US" w:eastAsia="zh-CN"/>
        </w:rPr>
        <w:t>一是</w:t>
      </w:r>
      <w:r>
        <w:rPr>
          <w:rFonts w:hint="eastAsia" w:ascii="仿宋_GB2312" w:hAnsi="仿宋_GB2312" w:eastAsia="仿宋_GB2312" w:cs="仿宋_GB2312"/>
          <w:b w:val="0"/>
          <w:bCs w:val="0"/>
          <w:color w:val="auto"/>
          <w:spacing w:val="0"/>
          <w:kern w:val="2"/>
          <w:lang w:val="en-US" w:eastAsia="zh-CN"/>
        </w:rPr>
        <w:t>优化智能教育环境。重点依托国家中小学智慧教育平台、“粤教翔云”平台、广州市智慧教育公共服务平台，构建全场景覆盖的数字教育应用生态。增城区入选广东省中小学校人工智能试点应用实验区，义务教育学校全接入广州市中小学人工智能教学平台。建设</w:t>
      </w:r>
      <w:r>
        <w:rPr>
          <w:rFonts w:hint="eastAsia" w:ascii="Times New Roman" w:hAnsi="Times New Roman" w:eastAsia="仿宋_GB2312" w:cs="仿宋_GB2312"/>
          <w:b w:val="0"/>
          <w:bCs w:val="0"/>
          <w:color w:val="auto"/>
          <w:spacing w:val="0"/>
          <w:kern w:val="2"/>
          <w:lang w:val="en-US" w:eastAsia="zh-CN"/>
        </w:rPr>
        <w:t>3</w:t>
      </w:r>
      <w:r>
        <w:rPr>
          <w:rFonts w:hint="eastAsia" w:ascii="仿宋_GB2312" w:hAnsi="仿宋_GB2312" w:eastAsia="仿宋_GB2312" w:cs="仿宋_GB2312"/>
          <w:b w:val="0"/>
          <w:bCs w:val="0"/>
          <w:color w:val="auto"/>
          <w:spacing w:val="0"/>
          <w:kern w:val="2"/>
          <w:lang w:val="en-US" w:eastAsia="zh-CN"/>
        </w:rPr>
        <w:t>所人工智能教研培基地校，努力打造</w:t>
      </w:r>
      <w:r>
        <w:rPr>
          <w:rFonts w:hint="eastAsia" w:ascii="Times New Roman" w:hAnsi="Times New Roman" w:eastAsia="仿宋_GB2312" w:cs="仿宋_GB2312"/>
          <w:b w:val="0"/>
          <w:bCs w:val="0"/>
          <w:color w:val="auto"/>
          <w:spacing w:val="0"/>
          <w:kern w:val="2"/>
          <w:lang w:val="en-US" w:eastAsia="zh-CN"/>
        </w:rPr>
        <w:t>12</w:t>
      </w:r>
      <w:r>
        <w:rPr>
          <w:rFonts w:hint="eastAsia" w:ascii="仿宋_GB2312" w:hAnsi="仿宋_GB2312" w:eastAsia="仿宋_GB2312" w:cs="仿宋_GB2312"/>
          <w:b w:val="0"/>
          <w:bCs w:val="0"/>
          <w:color w:val="auto"/>
          <w:spacing w:val="0"/>
          <w:kern w:val="2"/>
          <w:lang w:val="en-US" w:eastAsia="zh-CN"/>
        </w:rPr>
        <w:t>所广州市人工智能助推教师队伍建设试点项目实验校、</w:t>
      </w:r>
      <w:r>
        <w:rPr>
          <w:rFonts w:hint="eastAsia" w:ascii="Times New Roman" w:hAnsi="Times New Roman" w:eastAsia="仿宋_GB2312" w:cs="仿宋_GB2312"/>
          <w:b w:val="0"/>
          <w:bCs w:val="0"/>
          <w:color w:val="auto"/>
          <w:spacing w:val="0"/>
          <w:kern w:val="2"/>
          <w:lang w:val="en-US" w:eastAsia="zh-CN"/>
        </w:rPr>
        <w:t>20</w:t>
      </w:r>
      <w:r>
        <w:rPr>
          <w:rFonts w:hint="eastAsia" w:ascii="仿宋_GB2312" w:hAnsi="仿宋_GB2312" w:eastAsia="仿宋_GB2312" w:cs="仿宋_GB2312"/>
          <w:b w:val="0"/>
          <w:bCs w:val="0"/>
          <w:color w:val="auto"/>
          <w:spacing w:val="0"/>
          <w:kern w:val="2"/>
          <w:lang w:val="en-US" w:eastAsia="zh-CN"/>
        </w:rPr>
        <w:t>所增城区中小学校人工智能试点应用实验学校。独立组建区级人工智能教研中心组，构建区、镇、校“</w:t>
      </w:r>
      <w:r>
        <w:rPr>
          <w:rFonts w:hint="eastAsia" w:ascii="Times New Roman" w:hAnsi="Times New Roman" w:eastAsia="仿宋_GB2312" w:cs="仿宋_GB2312"/>
          <w:b w:val="0"/>
          <w:bCs w:val="0"/>
          <w:color w:val="auto"/>
          <w:spacing w:val="0"/>
          <w:kern w:val="2"/>
          <w:lang w:val="en-US" w:eastAsia="zh-CN"/>
        </w:rPr>
        <w:t>1</w:t>
      </w:r>
      <w:r>
        <w:rPr>
          <w:rFonts w:hint="eastAsia" w:ascii="仿宋_GB2312" w:hAnsi="仿宋_GB2312" w:eastAsia="仿宋_GB2312" w:cs="仿宋_GB2312"/>
          <w:b w:val="0"/>
          <w:bCs w:val="0"/>
          <w:color w:val="auto"/>
          <w:spacing w:val="0"/>
          <w:kern w:val="2"/>
          <w:lang w:val="en-US" w:eastAsia="zh-CN"/>
        </w:rPr>
        <w:t>+</w:t>
      </w:r>
      <w:r>
        <w:rPr>
          <w:rFonts w:hint="eastAsia" w:ascii="Times New Roman" w:hAnsi="Times New Roman" w:eastAsia="仿宋_GB2312" w:cs="仿宋_GB2312"/>
          <w:b w:val="0"/>
          <w:bCs w:val="0"/>
          <w:color w:val="auto"/>
          <w:spacing w:val="0"/>
          <w:kern w:val="2"/>
          <w:lang w:val="en-US" w:eastAsia="zh-CN"/>
        </w:rPr>
        <w:t>7</w:t>
      </w:r>
      <w:r>
        <w:rPr>
          <w:rFonts w:hint="eastAsia" w:ascii="仿宋_GB2312" w:hAnsi="仿宋_GB2312" w:eastAsia="仿宋_GB2312" w:cs="仿宋_GB2312"/>
          <w:b w:val="0"/>
          <w:bCs w:val="0"/>
          <w:color w:val="auto"/>
          <w:spacing w:val="0"/>
          <w:kern w:val="2"/>
          <w:lang w:val="en-US" w:eastAsia="zh-CN"/>
        </w:rPr>
        <w:t>+</w:t>
      </w:r>
      <w:r>
        <w:rPr>
          <w:rFonts w:hint="eastAsia" w:ascii="Times New Roman" w:hAnsi="Times New Roman" w:eastAsia="仿宋_GB2312" w:cs="仿宋_GB2312"/>
          <w:b w:val="0"/>
          <w:bCs w:val="0"/>
          <w:color w:val="auto"/>
          <w:spacing w:val="0"/>
          <w:kern w:val="2"/>
          <w:lang w:val="en-US" w:eastAsia="zh-CN"/>
        </w:rPr>
        <w:t>N</w:t>
      </w:r>
      <w:r>
        <w:rPr>
          <w:rFonts w:hint="eastAsia" w:ascii="仿宋_GB2312" w:hAnsi="仿宋_GB2312" w:eastAsia="仿宋_GB2312" w:cs="仿宋_GB2312"/>
          <w:b w:val="0"/>
          <w:bCs w:val="0"/>
          <w:color w:val="auto"/>
          <w:spacing w:val="0"/>
          <w:kern w:val="2"/>
          <w:lang w:val="en-US" w:eastAsia="zh-CN"/>
        </w:rPr>
        <w:t>”教研体系。高质量承办广州市第二届“数智强师”（幼儿园）分会场教育创新实践活动。</w:t>
      </w:r>
      <w:r>
        <w:rPr>
          <w:rFonts w:hint="eastAsia" w:ascii="仿宋_GB2312" w:hAnsi="仿宋_GB2312" w:eastAsia="仿宋_GB2312" w:cs="仿宋_GB2312"/>
          <w:b/>
          <w:bCs/>
          <w:color w:val="auto"/>
          <w:spacing w:val="0"/>
          <w:kern w:val="2"/>
          <w:lang w:val="en-US" w:eastAsia="zh-CN"/>
        </w:rPr>
        <w:t>二是</w:t>
      </w:r>
      <w:r>
        <w:rPr>
          <w:rFonts w:hint="eastAsia" w:ascii="仿宋_GB2312" w:hAnsi="仿宋_GB2312" w:eastAsia="仿宋_GB2312" w:cs="仿宋_GB2312"/>
          <w:b w:val="0"/>
          <w:bCs w:val="0"/>
          <w:color w:val="auto"/>
          <w:spacing w:val="0"/>
          <w:kern w:val="2"/>
          <w:lang w:val="en-US" w:eastAsia="zh-CN"/>
        </w:rPr>
        <w:t>创新教学教研模式。研发并启用全国首例“适切性数智研训室”，整合“调研—教研—科研—培训—评价”全链条。引进并实施基于</w:t>
      </w:r>
      <w:r>
        <w:rPr>
          <w:rFonts w:hint="eastAsia" w:ascii="Times New Roman" w:hAnsi="Times New Roman" w:eastAsia="仿宋_GB2312" w:cs="仿宋_GB2312"/>
          <w:b w:val="0"/>
          <w:bCs w:val="0"/>
          <w:color w:val="auto"/>
          <w:spacing w:val="0"/>
          <w:kern w:val="2"/>
          <w:lang w:val="en-US" w:eastAsia="zh-CN"/>
        </w:rPr>
        <w:t>CSMS</w:t>
      </w:r>
      <w:r>
        <w:rPr>
          <w:rFonts w:hint="eastAsia" w:ascii="仿宋_GB2312" w:hAnsi="仿宋_GB2312" w:eastAsia="仿宋_GB2312" w:cs="仿宋_GB2312"/>
          <w:b w:val="0"/>
          <w:bCs w:val="0"/>
          <w:color w:val="auto"/>
          <w:spacing w:val="0"/>
          <w:kern w:val="2"/>
          <w:lang w:val="en-US" w:eastAsia="zh-CN"/>
        </w:rPr>
        <w:t>课堂大数据平台的精准教学改进和教研模式转型，</w:t>
      </w:r>
      <w:r>
        <w:rPr>
          <w:rFonts w:hint="eastAsia" w:ascii="Times New Roman" w:hAnsi="Times New Roman" w:eastAsia="仿宋_GB2312" w:cs="仿宋_GB2312"/>
          <w:b w:val="0"/>
          <w:bCs w:val="0"/>
          <w:color w:val="auto"/>
          <w:spacing w:val="0"/>
          <w:kern w:val="2"/>
          <w:lang w:val="en-US" w:eastAsia="zh-CN"/>
        </w:rPr>
        <w:t>40</w:t>
      </w:r>
      <w:r>
        <w:rPr>
          <w:rFonts w:hint="eastAsia" w:ascii="仿宋_GB2312" w:hAnsi="仿宋_GB2312" w:eastAsia="仿宋_GB2312" w:cs="仿宋_GB2312"/>
          <w:b w:val="0"/>
          <w:bCs w:val="0"/>
          <w:color w:val="auto"/>
          <w:spacing w:val="0"/>
          <w:kern w:val="2"/>
          <w:lang w:val="en-US" w:eastAsia="zh-CN"/>
        </w:rPr>
        <w:t>所实验校利用</w:t>
      </w:r>
      <w:r>
        <w:rPr>
          <w:rFonts w:hint="eastAsia" w:ascii="Times New Roman" w:hAnsi="Times New Roman" w:eastAsia="仿宋_GB2312" w:cs="仿宋_GB2312"/>
          <w:b w:val="0"/>
          <w:bCs w:val="0"/>
          <w:color w:val="auto"/>
          <w:spacing w:val="0"/>
          <w:kern w:val="2"/>
          <w:lang w:val="en-US" w:eastAsia="zh-CN"/>
        </w:rPr>
        <w:t>CSMS</w:t>
      </w:r>
      <w:r>
        <w:rPr>
          <w:rFonts w:hint="eastAsia" w:ascii="仿宋_GB2312" w:hAnsi="仿宋_GB2312" w:eastAsia="仿宋_GB2312" w:cs="仿宋_GB2312"/>
          <w:b w:val="0"/>
          <w:bCs w:val="0"/>
          <w:color w:val="auto"/>
          <w:spacing w:val="0"/>
          <w:kern w:val="2"/>
          <w:lang w:val="en-US" w:eastAsia="zh-CN"/>
        </w:rPr>
        <w:t>平台重构教研模式，运用</w:t>
      </w:r>
      <w:r>
        <w:rPr>
          <w:rFonts w:hint="eastAsia" w:ascii="Times New Roman" w:hAnsi="Times New Roman" w:eastAsia="仿宋_GB2312" w:cs="仿宋_GB2312"/>
          <w:b w:val="0"/>
          <w:bCs w:val="0"/>
          <w:color w:val="auto"/>
          <w:spacing w:val="0"/>
          <w:kern w:val="2"/>
          <w:lang w:val="en-US" w:eastAsia="zh-CN"/>
        </w:rPr>
        <w:t>AI</w:t>
      </w:r>
      <w:r>
        <w:rPr>
          <w:rFonts w:hint="eastAsia" w:ascii="仿宋_GB2312" w:hAnsi="仿宋_GB2312" w:eastAsia="仿宋_GB2312" w:cs="仿宋_GB2312"/>
          <w:b w:val="0"/>
          <w:bCs w:val="0"/>
          <w:color w:val="auto"/>
          <w:spacing w:val="0"/>
          <w:kern w:val="2"/>
          <w:lang w:val="en-US" w:eastAsia="zh-CN"/>
        </w:rPr>
        <w:t>赋能学业提升与德育预警。</w:t>
      </w:r>
    </w:p>
    <w:p w14:paraId="032FDEAB">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left"/>
        <w:textAlignment w:val="auto"/>
        <w:rPr>
          <w:rFonts w:hint="eastAsia" w:ascii="楷体_GB2312" w:hAnsi="楷体_GB2312" w:eastAsia="楷体_GB2312" w:cs="楷体_GB2312"/>
          <w:b w:val="0"/>
          <w:bCs w:val="0"/>
          <w:color w:val="auto"/>
          <w:spacing w:val="0"/>
          <w:kern w:val="2"/>
          <w:sz w:val="32"/>
          <w:szCs w:val="32"/>
          <w:lang w:val="en-US" w:eastAsia="zh-CN" w:bidi="ar-SA"/>
        </w:rPr>
      </w:pPr>
      <w:r>
        <w:rPr>
          <w:rFonts w:hint="eastAsia" w:ascii="楷体_GB2312" w:hAnsi="楷体_GB2312" w:eastAsia="楷体_GB2312" w:cs="楷体_GB2312"/>
          <w:b w:val="0"/>
          <w:bCs w:val="0"/>
          <w:color w:val="auto"/>
          <w:spacing w:val="0"/>
          <w:kern w:val="2"/>
          <w:sz w:val="32"/>
          <w:szCs w:val="32"/>
          <w:lang w:val="en-US" w:eastAsia="zh-CN" w:bidi="ar-SA"/>
        </w:rPr>
        <w:t>（五）筑牢安全防线，守护教育优质均衡发展底线</w:t>
      </w:r>
    </w:p>
    <w:p w14:paraId="7BF36536">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left"/>
        <w:textAlignment w:val="auto"/>
        <w:rPr>
          <w:rFonts w:hint="eastAsia" w:ascii="仿宋_GB2312" w:hAnsi="仿宋_GB2312" w:eastAsia="仿宋_GB2312" w:cs="仿宋_GB2312"/>
          <w:b w:val="0"/>
          <w:bCs w:val="0"/>
          <w:color w:val="auto"/>
          <w:spacing w:val="0"/>
          <w:kern w:val="2"/>
          <w:lang w:val="en-US" w:eastAsia="zh-CN"/>
        </w:rPr>
      </w:pPr>
      <w:r>
        <w:rPr>
          <w:rFonts w:hint="eastAsia" w:ascii="Times New Roman" w:hAnsi="Times New Roman" w:eastAsia="仿宋_GB2312" w:cs="仿宋_GB2312"/>
          <w:b/>
          <w:bCs/>
          <w:color w:val="auto"/>
          <w:spacing w:val="0"/>
          <w:kern w:val="2"/>
          <w:lang w:val="en-US" w:eastAsia="zh-CN"/>
        </w:rPr>
        <w:t>1</w:t>
      </w:r>
      <w:r>
        <w:rPr>
          <w:rFonts w:hint="eastAsia" w:ascii="仿宋_GB2312" w:hAnsi="仿宋_GB2312" w:eastAsia="仿宋_GB2312" w:cs="仿宋_GB2312"/>
          <w:b/>
          <w:bCs/>
          <w:color w:val="auto"/>
          <w:spacing w:val="0"/>
          <w:kern w:val="2"/>
          <w:lang w:val="en-US" w:eastAsia="zh-CN"/>
        </w:rPr>
        <w:t>.预防为主，突出源头治理筑牢安全防线。</w:t>
      </w:r>
      <w:r>
        <w:rPr>
          <w:rFonts w:hint="eastAsia" w:ascii="仿宋_GB2312" w:hAnsi="仿宋_GB2312" w:eastAsia="仿宋_GB2312" w:cs="仿宋_GB2312"/>
          <w:b w:val="0"/>
          <w:bCs w:val="0"/>
          <w:color w:val="auto"/>
          <w:spacing w:val="0"/>
          <w:kern w:val="2"/>
          <w:lang w:val="en-US" w:eastAsia="zh-CN"/>
        </w:rPr>
        <w:t>实现校园封闭化管理等“</w:t>
      </w:r>
      <w:r>
        <w:rPr>
          <w:rFonts w:hint="eastAsia" w:ascii="Times New Roman" w:hAnsi="Times New Roman" w:eastAsia="仿宋_GB2312" w:cs="仿宋_GB2312"/>
          <w:b w:val="0"/>
          <w:bCs w:val="0"/>
          <w:color w:val="auto"/>
          <w:spacing w:val="0"/>
          <w:kern w:val="2"/>
          <w:lang w:val="en-US" w:eastAsia="zh-CN"/>
        </w:rPr>
        <w:t>6</w:t>
      </w:r>
      <w:r>
        <w:rPr>
          <w:rFonts w:hint="eastAsia" w:ascii="仿宋_GB2312" w:hAnsi="仿宋_GB2312" w:eastAsia="仿宋_GB2312" w:cs="仿宋_GB2312"/>
          <w:b w:val="0"/>
          <w:bCs w:val="0"/>
          <w:color w:val="auto"/>
          <w:spacing w:val="0"/>
          <w:kern w:val="2"/>
          <w:lang w:val="en-US" w:eastAsia="zh-CN"/>
        </w:rPr>
        <w:t>个</w:t>
      </w:r>
      <w:r>
        <w:rPr>
          <w:rFonts w:hint="eastAsia" w:ascii="Times New Roman" w:hAnsi="Times New Roman" w:eastAsia="仿宋_GB2312" w:cs="仿宋_GB2312"/>
          <w:b w:val="0"/>
          <w:bCs w:val="0"/>
          <w:color w:val="auto"/>
          <w:spacing w:val="0"/>
          <w:kern w:val="2"/>
          <w:lang w:val="en-US" w:eastAsia="zh-CN"/>
        </w:rPr>
        <w:t>100</w:t>
      </w:r>
      <w:r>
        <w:rPr>
          <w:rFonts w:hint="eastAsia" w:ascii="Times New Roman" w:hAnsi="Times New Roman" w:eastAsia="仿宋_GB2312" w:cs="仿宋_GB2312"/>
          <w:b w:val="0"/>
          <w:bCs w:val="0"/>
          <w:color w:val="auto"/>
          <w:spacing w:val="0"/>
          <w:kern w:val="2"/>
          <w:sz w:val="32"/>
          <w:szCs w:val="32"/>
          <w:highlight w:val="none"/>
          <w:lang w:val="en-US" w:eastAsia="zh-CN" w:bidi="ar-SA"/>
        </w:rPr>
        <w:t>%</w:t>
      </w:r>
      <w:r>
        <w:rPr>
          <w:rStyle w:val="11"/>
          <w:rFonts w:hint="eastAsia" w:ascii="仿宋_GB2312" w:hAnsi="仿宋_GB2312" w:eastAsia="仿宋_GB2312" w:cs="仿宋_GB2312"/>
          <w:b w:val="0"/>
          <w:bCs w:val="0"/>
          <w:color w:val="auto"/>
          <w:spacing w:val="0"/>
          <w:kern w:val="2"/>
          <w:lang w:val="en-US" w:eastAsia="zh-CN"/>
        </w:rPr>
        <w:footnoteReference w:id="4"/>
      </w:r>
      <w:r>
        <w:rPr>
          <w:rFonts w:hint="eastAsia" w:ascii="仿宋_GB2312" w:hAnsi="仿宋_GB2312" w:eastAsia="仿宋_GB2312" w:cs="仿宋_GB2312"/>
          <w:b w:val="0"/>
          <w:bCs w:val="0"/>
          <w:color w:val="auto"/>
          <w:spacing w:val="0"/>
          <w:kern w:val="2"/>
          <w:lang w:val="en-US" w:eastAsia="zh-CN"/>
        </w:rPr>
        <w:t>”，全区中小学</w:t>
      </w:r>
      <w:r>
        <w:rPr>
          <w:rFonts w:hint="eastAsia" w:ascii="Times New Roman" w:hAnsi="Times New Roman" w:eastAsia="仿宋_GB2312" w:cs="仿宋_GB2312"/>
          <w:b w:val="0"/>
          <w:bCs w:val="0"/>
          <w:color w:val="auto"/>
          <w:spacing w:val="0"/>
          <w:kern w:val="2"/>
          <w:lang w:val="en-US" w:eastAsia="zh-CN"/>
        </w:rPr>
        <w:t>100%</w:t>
      </w:r>
      <w:r>
        <w:rPr>
          <w:rFonts w:hint="eastAsia" w:ascii="仿宋_GB2312" w:hAnsi="仿宋_GB2312" w:eastAsia="仿宋_GB2312" w:cs="仿宋_GB2312"/>
          <w:b w:val="0"/>
          <w:bCs w:val="0"/>
          <w:color w:val="auto"/>
          <w:spacing w:val="0"/>
          <w:kern w:val="2"/>
          <w:lang w:val="en-US" w:eastAsia="zh-CN"/>
        </w:rPr>
        <w:t>创建区级“更高水平平安校园”，</w:t>
      </w:r>
      <w:r>
        <w:rPr>
          <w:rFonts w:hint="eastAsia" w:ascii="Times New Roman" w:hAnsi="Times New Roman" w:eastAsia="仿宋_GB2312" w:cs="仿宋_GB2312"/>
          <w:b w:val="0"/>
          <w:bCs w:val="0"/>
          <w:color w:val="auto"/>
          <w:spacing w:val="0"/>
          <w:kern w:val="2"/>
          <w:lang w:val="en-US" w:eastAsia="zh-CN"/>
        </w:rPr>
        <w:t>66</w:t>
      </w:r>
      <w:r>
        <w:rPr>
          <w:rFonts w:hint="eastAsia" w:ascii="仿宋_GB2312" w:hAnsi="仿宋_GB2312" w:eastAsia="仿宋_GB2312" w:cs="仿宋_GB2312"/>
          <w:b w:val="0"/>
          <w:bCs w:val="0"/>
          <w:color w:val="auto"/>
          <w:spacing w:val="0"/>
          <w:kern w:val="2"/>
          <w:lang w:val="en-US" w:eastAsia="zh-CN"/>
        </w:rPr>
        <w:t>所、</w:t>
      </w:r>
      <w:r>
        <w:rPr>
          <w:rFonts w:hint="eastAsia" w:ascii="Times New Roman" w:hAnsi="Times New Roman" w:eastAsia="仿宋_GB2312" w:cs="仿宋_GB2312"/>
          <w:b w:val="0"/>
          <w:bCs w:val="0"/>
          <w:color w:val="auto"/>
          <w:spacing w:val="0"/>
          <w:kern w:val="2"/>
          <w:lang w:val="en-US" w:eastAsia="zh-CN"/>
        </w:rPr>
        <w:t>11</w:t>
      </w:r>
      <w:r>
        <w:rPr>
          <w:rFonts w:hint="eastAsia" w:ascii="仿宋_GB2312" w:hAnsi="仿宋_GB2312" w:eastAsia="仿宋_GB2312" w:cs="仿宋_GB2312"/>
          <w:b w:val="0"/>
          <w:bCs w:val="0"/>
          <w:color w:val="auto"/>
          <w:spacing w:val="0"/>
          <w:kern w:val="2"/>
          <w:lang w:val="en-US" w:eastAsia="zh-CN"/>
        </w:rPr>
        <w:t>所分别获评市、省“更高水平平安校园”。</w:t>
      </w:r>
      <w:r>
        <w:rPr>
          <w:rFonts w:hint="eastAsia" w:ascii="Times New Roman" w:hAnsi="Times New Roman" w:eastAsia="仿宋_GB2312" w:cs="仿宋_GB2312"/>
          <w:b w:val="0"/>
          <w:bCs w:val="0"/>
          <w:color w:val="auto"/>
          <w:spacing w:val="0"/>
          <w:kern w:val="2"/>
          <w:lang w:val="en-US" w:eastAsia="zh-CN"/>
        </w:rPr>
        <w:t>2023</w:t>
      </w:r>
      <w:r>
        <w:rPr>
          <w:rFonts w:hint="eastAsia" w:ascii="仿宋_GB2312" w:hAnsi="仿宋_GB2312" w:eastAsia="仿宋_GB2312" w:cs="仿宋_GB2312"/>
          <w:b w:val="0"/>
          <w:bCs w:val="0"/>
          <w:color w:val="auto"/>
          <w:spacing w:val="0"/>
          <w:kern w:val="2"/>
          <w:lang w:val="en-US" w:eastAsia="zh-CN"/>
        </w:rPr>
        <w:t>年以来持续保持学生零溺亡。建立“重点未成年人排查定级包保”机制，创新心理健康“五级调查机制”。</w:t>
      </w:r>
      <w:r>
        <w:rPr>
          <w:rFonts w:hint="eastAsia" w:ascii="Times New Roman" w:hAnsi="Times New Roman" w:eastAsia="仿宋_GB2312" w:cs="仿宋_GB2312"/>
          <w:b w:val="0"/>
          <w:bCs w:val="0"/>
          <w:color w:val="auto"/>
          <w:spacing w:val="0"/>
          <w:kern w:val="2"/>
          <w:lang w:val="en-US" w:eastAsia="zh-CN"/>
        </w:rPr>
        <w:t>2024</w:t>
      </w:r>
      <w:r>
        <w:rPr>
          <w:rFonts w:hint="eastAsia" w:ascii="仿宋_GB2312" w:hAnsi="仿宋_GB2312" w:eastAsia="仿宋_GB2312" w:cs="仿宋_GB2312"/>
          <w:b w:val="0"/>
          <w:bCs w:val="0"/>
          <w:color w:val="auto"/>
          <w:spacing w:val="0"/>
          <w:kern w:val="2"/>
          <w:lang w:val="en-US" w:eastAsia="zh-CN"/>
        </w:rPr>
        <w:t>年以来全区学校开展应急演练</w:t>
      </w:r>
      <w:r>
        <w:rPr>
          <w:rFonts w:hint="eastAsia" w:ascii="Times New Roman" w:hAnsi="Times New Roman" w:eastAsia="仿宋_GB2312" w:cs="仿宋_GB2312"/>
          <w:b w:val="0"/>
          <w:bCs w:val="0"/>
          <w:color w:val="auto"/>
          <w:spacing w:val="0"/>
          <w:kern w:val="2"/>
          <w:lang w:val="en-US" w:eastAsia="zh-CN"/>
        </w:rPr>
        <w:t>789</w:t>
      </w:r>
      <w:r>
        <w:rPr>
          <w:rFonts w:hint="eastAsia" w:ascii="仿宋_GB2312" w:hAnsi="仿宋_GB2312" w:eastAsia="仿宋_GB2312" w:cs="仿宋_GB2312"/>
          <w:b w:val="0"/>
          <w:bCs w:val="0"/>
          <w:color w:val="auto"/>
          <w:spacing w:val="0"/>
          <w:kern w:val="2"/>
          <w:lang w:val="en-US" w:eastAsia="zh-CN"/>
        </w:rPr>
        <w:t>场次，覆盖</w:t>
      </w:r>
      <w:r>
        <w:rPr>
          <w:rFonts w:hint="eastAsia" w:ascii="Times New Roman" w:hAnsi="Times New Roman" w:eastAsia="仿宋_GB2312" w:cs="仿宋_GB2312"/>
          <w:b w:val="0"/>
          <w:bCs w:val="0"/>
          <w:color w:val="auto"/>
          <w:spacing w:val="0"/>
          <w:kern w:val="2"/>
          <w:lang w:val="en-US" w:eastAsia="zh-CN"/>
        </w:rPr>
        <w:t>49</w:t>
      </w:r>
      <w:r>
        <w:rPr>
          <w:rFonts w:hint="eastAsia" w:ascii="仿宋_GB2312" w:hAnsi="仿宋_GB2312" w:eastAsia="仿宋_GB2312" w:cs="仿宋_GB2312"/>
          <w:b w:val="0"/>
          <w:bCs w:val="0"/>
          <w:color w:val="auto"/>
          <w:spacing w:val="0"/>
          <w:kern w:val="2"/>
          <w:lang w:val="en-US" w:eastAsia="zh-CN"/>
        </w:rPr>
        <w:t>.</w:t>
      </w:r>
      <w:r>
        <w:rPr>
          <w:rFonts w:hint="eastAsia" w:ascii="Times New Roman" w:hAnsi="Times New Roman" w:eastAsia="仿宋_GB2312" w:cs="仿宋_GB2312"/>
          <w:b w:val="0"/>
          <w:bCs w:val="0"/>
          <w:color w:val="auto"/>
          <w:spacing w:val="0"/>
          <w:kern w:val="2"/>
          <w:lang w:val="en-US" w:eastAsia="zh-CN"/>
        </w:rPr>
        <w:t>7</w:t>
      </w:r>
      <w:r>
        <w:rPr>
          <w:rFonts w:hint="eastAsia" w:ascii="仿宋_GB2312" w:hAnsi="仿宋_GB2312" w:eastAsia="仿宋_GB2312" w:cs="仿宋_GB2312"/>
          <w:b w:val="0"/>
          <w:bCs w:val="0"/>
          <w:color w:val="auto"/>
          <w:spacing w:val="0"/>
          <w:kern w:val="2"/>
          <w:lang w:val="en-US" w:eastAsia="zh-CN"/>
        </w:rPr>
        <w:t>万人次，部分学校创新“双盲”演练提升实效。</w:t>
      </w:r>
    </w:p>
    <w:p w14:paraId="67C7CBB4">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lang w:val="en-US" w:eastAsia="zh-CN"/>
        </w:rPr>
      </w:pPr>
      <w:r>
        <w:rPr>
          <w:rFonts w:hint="eastAsia" w:ascii="Times New Roman" w:hAnsi="Times New Roman" w:eastAsia="仿宋_GB2312" w:cs="仿宋_GB2312"/>
          <w:color w:val="auto"/>
          <w:spacing w:val="0"/>
          <w:kern w:val="2"/>
          <w:lang w:val="en-US" w:eastAsia="zh-CN"/>
        </w:rPr>
        <w:t>2</w:t>
      </w:r>
      <w:r>
        <w:rPr>
          <w:rFonts w:hint="eastAsia" w:ascii="仿宋_GB2312" w:hAnsi="仿宋_GB2312" w:eastAsia="仿宋_GB2312" w:cs="仿宋_GB2312"/>
          <w:color w:val="auto"/>
          <w:spacing w:val="0"/>
          <w:kern w:val="2"/>
          <w:lang w:val="en-US" w:eastAsia="zh-CN"/>
        </w:rPr>
        <w:t>.部门联动，狠抓专项整治化解痛点堵点。</w:t>
      </w:r>
      <w:r>
        <w:rPr>
          <w:rFonts w:hint="eastAsia" w:ascii="仿宋_GB2312" w:hAnsi="仿宋_GB2312" w:eastAsia="仿宋_GB2312" w:cs="仿宋_GB2312"/>
          <w:b w:val="0"/>
          <w:bCs w:val="0"/>
          <w:color w:val="auto"/>
          <w:spacing w:val="0"/>
          <w:kern w:val="2"/>
          <w:lang w:val="en-US" w:eastAsia="zh-CN"/>
        </w:rPr>
        <w:t>实行</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校园安全联席会议制度，整合多部门力量成立区预防未成年人违法犯罪专班，法治副校长覆盖率</w:t>
      </w:r>
      <w:r>
        <w:rPr>
          <w:rFonts w:hint="eastAsia" w:ascii="Times New Roman" w:hAnsi="Times New Roman" w:eastAsia="仿宋_GB2312" w:cs="仿宋_GB2312"/>
          <w:b w:val="0"/>
          <w:bCs w:val="0"/>
          <w:color w:val="auto"/>
          <w:spacing w:val="0"/>
          <w:kern w:val="2"/>
          <w:sz w:val="32"/>
          <w:szCs w:val="32"/>
          <w:highlight w:val="none"/>
          <w:shd w:val="clear" w:color="auto" w:fill="FFFFFF"/>
          <w:lang w:val="en-US" w:eastAsia="zh-CN"/>
        </w:rPr>
        <w:t>10</w:t>
      </w:r>
      <w:r>
        <w:rPr>
          <w:rFonts w:hint="eastAsia" w:ascii="Times New Roman" w:hAnsi="Times New Roman" w:eastAsia="仿宋_GB2312" w:cs="仿宋_GB2312"/>
          <w:b w:val="0"/>
          <w:bCs w:val="0"/>
          <w:color w:val="auto"/>
          <w:spacing w:val="0"/>
          <w:kern w:val="2"/>
          <w:sz w:val="32"/>
          <w:szCs w:val="32"/>
          <w:highlight w:val="none"/>
          <w:lang w:val="en-US" w:eastAsia="zh-CN" w:bidi="ar-SA"/>
        </w:rPr>
        <w:t>0%</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rPr>
        <w:t>。联动多部门开展防性侵、心理疏导等服务，建立“分级分类、多方联动”的校园矛盾纠纷调处体系，校地应急联动机制覆盖城乡。联合执法部门加强重点区域监管，消除食品安全隐患。</w:t>
      </w:r>
      <w:r>
        <w:rPr>
          <w:rFonts w:hint="eastAsia" w:ascii="仿宋_GB2312" w:hAnsi="仿宋_GB2312" w:eastAsia="仿宋_GB2312" w:cs="仿宋_GB2312"/>
          <w:b w:val="0"/>
          <w:bCs w:val="0"/>
          <w:color w:val="auto"/>
          <w:spacing w:val="0"/>
          <w:kern w:val="2"/>
          <w:lang w:val="en-US" w:eastAsia="zh-CN"/>
        </w:rPr>
        <w:t>统筹资源向薄弱学校倾斜，保障城乡学校安全设施均等。</w:t>
      </w:r>
    </w:p>
    <w:p w14:paraId="72F8AC13">
      <w:pPr>
        <w:pStyle w:val="2"/>
        <w:keepNext w:val="0"/>
        <w:keepLines w:val="0"/>
        <w:pageBreakBefore w:val="0"/>
        <w:widowControl w:val="0"/>
        <w:kinsoku/>
        <w:wordWrap/>
        <w:overflowPunct/>
        <w:topLinePunct w:val="0"/>
        <w:autoSpaceDE/>
        <w:autoSpaceDN/>
        <w:bidi w:val="0"/>
        <w:adjustRightInd/>
        <w:snapToGrid/>
        <w:spacing w:after="0" w:line="570" w:lineRule="exact"/>
        <w:ind w:firstLine="632" w:firstLineChars="200"/>
        <w:jc w:val="both"/>
        <w:textAlignment w:val="auto"/>
        <w:rPr>
          <w:rFonts w:hint="eastAsia" w:ascii="仿宋_GB2312" w:hAnsi="仿宋_GB2312" w:eastAsia="仿宋_GB2312" w:cs="仿宋_GB2312"/>
          <w:b w:val="0"/>
          <w:bCs w:val="0"/>
          <w:color w:val="auto"/>
          <w:spacing w:val="0"/>
          <w:kern w:val="2"/>
          <w:lang w:val="en-US" w:eastAsia="zh-CN"/>
        </w:rPr>
      </w:pPr>
      <w:r>
        <w:rPr>
          <w:rFonts w:hint="eastAsia" w:ascii="Times New Roman" w:hAnsi="Times New Roman" w:eastAsia="仿宋_GB2312" w:cs="仿宋_GB2312"/>
          <w:b/>
          <w:bCs/>
          <w:color w:val="auto"/>
          <w:spacing w:val="0"/>
          <w:kern w:val="2"/>
          <w:lang w:val="en-US" w:eastAsia="zh-CN"/>
        </w:rPr>
        <w:t>3</w:t>
      </w:r>
      <w:r>
        <w:rPr>
          <w:rFonts w:hint="eastAsia" w:ascii="仿宋_GB2312" w:hAnsi="仿宋_GB2312" w:eastAsia="仿宋_GB2312" w:cs="仿宋_GB2312"/>
          <w:b/>
          <w:bCs/>
          <w:color w:val="auto"/>
          <w:spacing w:val="0"/>
          <w:kern w:val="2"/>
          <w:lang w:val="en-US" w:eastAsia="zh-CN"/>
        </w:rPr>
        <w:t>.</w:t>
      </w:r>
      <w:r>
        <w:rPr>
          <w:rFonts w:hint="eastAsia" w:ascii="仿宋_GB2312" w:hAnsi="仿宋_GB2312" w:eastAsia="仿宋_GB2312" w:cs="仿宋_GB2312"/>
          <w:color w:val="auto"/>
          <w:spacing w:val="0"/>
          <w:kern w:val="2"/>
          <w:lang w:val="en-US" w:eastAsia="zh-CN"/>
        </w:rPr>
        <w:t>督导督办，落实问题整改形成工作闭环。</w:t>
      </w:r>
      <w:r>
        <w:rPr>
          <w:rFonts w:hint="eastAsia" w:ascii="仿宋_GB2312" w:hAnsi="仿宋_GB2312" w:eastAsia="仿宋_GB2312" w:cs="仿宋_GB2312"/>
          <w:b w:val="0"/>
          <w:bCs w:val="0"/>
          <w:color w:val="auto"/>
          <w:spacing w:val="0"/>
          <w:kern w:val="2"/>
          <w:lang w:val="en-US" w:eastAsia="zh-CN"/>
        </w:rPr>
        <w:t>作为</w:t>
      </w:r>
      <w:bookmarkStart w:id="4" w:name="OLE_LINK19"/>
      <w:r>
        <w:rPr>
          <w:rFonts w:hint="eastAsia" w:ascii="仿宋_GB2312" w:hAnsi="仿宋_GB2312" w:eastAsia="仿宋_GB2312" w:cs="仿宋_GB2312"/>
          <w:b w:val="0"/>
          <w:bCs w:val="0"/>
          <w:color w:val="auto"/>
          <w:spacing w:val="0"/>
          <w:kern w:val="2"/>
          <w:lang w:val="en-US" w:eastAsia="zh-CN"/>
        </w:rPr>
        <w:t>广东省中小学校责任督学挂牌督导创新区</w:t>
      </w:r>
      <w:bookmarkEnd w:id="4"/>
      <w:r>
        <w:rPr>
          <w:rFonts w:hint="eastAsia" w:ascii="仿宋_GB2312" w:hAnsi="仿宋_GB2312" w:eastAsia="仿宋_GB2312" w:cs="仿宋_GB2312"/>
          <w:b w:val="0"/>
          <w:bCs w:val="0"/>
          <w:color w:val="auto"/>
          <w:spacing w:val="0"/>
          <w:kern w:val="2"/>
          <w:lang w:val="en-US" w:eastAsia="zh-CN"/>
        </w:rPr>
        <w:t>，构建覆盖“双区”创建、校园安全、食品安全、心理健康、学生欺凌等</w:t>
      </w:r>
      <w:r>
        <w:rPr>
          <w:rFonts w:hint="eastAsia" w:ascii="Times New Roman" w:hAnsi="Times New Roman" w:eastAsia="仿宋_GB2312" w:cs="仿宋_GB2312"/>
          <w:b w:val="0"/>
          <w:bCs w:val="0"/>
          <w:color w:val="auto"/>
          <w:spacing w:val="0"/>
          <w:kern w:val="2"/>
          <w:lang w:val="en-US" w:eastAsia="zh-CN"/>
        </w:rPr>
        <w:t>20</w:t>
      </w:r>
      <w:r>
        <w:rPr>
          <w:rFonts w:hint="eastAsia" w:ascii="仿宋_GB2312" w:hAnsi="仿宋_GB2312" w:eastAsia="仿宋_GB2312" w:cs="仿宋_GB2312"/>
          <w:b w:val="0"/>
          <w:bCs w:val="0"/>
          <w:color w:val="auto"/>
          <w:spacing w:val="0"/>
          <w:kern w:val="2"/>
          <w:lang w:val="en-US" w:eastAsia="zh-CN"/>
        </w:rPr>
        <w:t>余项重点领域的督导体系，</w:t>
      </w:r>
      <w:r>
        <w:rPr>
          <w:rFonts w:hint="eastAsia" w:ascii="Times New Roman" w:hAnsi="Times New Roman" w:eastAsia="仿宋_GB2312" w:cs="仿宋_GB2312"/>
          <w:b w:val="0"/>
          <w:bCs w:val="0"/>
          <w:color w:val="auto"/>
          <w:spacing w:val="0"/>
          <w:kern w:val="2"/>
          <w:lang w:val="en-US" w:eastAsia="zh-CN"/>
        </w:rPr>
        <w:t>2024</w:t>
      </w:r>
      <w:r>
        <w:rPr>
          <w:rFonts w:hint="eastAsia" w:ascii="仿宋_GB2312" w:hAnsi="仿宋_GB2312" w:eastAsia="仿宋_GB2312" w:cs="仿宋_GB2312"/>
          <w:b w:val="0"/>
          <w:bCs w:val="0"/>
          <w:color w:val="auto"/>
          <w:spacing w:val="0"/>
          <w:kern w:val="2"/>
          <w:lang w:val="en-US" w:eastAsia="zh-CN"/>
        </w:rPr>
        <w:t>年以来组织督学</w:t>
      </w:r>
      <w:r>
        <w:rPr>
          <w:rFonts w:hint="eastAsia" w:ascii="Times New Roman" w:hAnsi="Times New Roman" w:eastAsia="仿宋_GB2312" w:cs="仿宋_GB2312"/>
          <w:b w:val="0"/>
          <w:bCs w:val="0"/>
          <w:color w:val="auto"/>
          <w:spacing w:val="0"/>
          <w:kern w:val="2"/>
          <w:lang w:val="en-US" w:eastAsia="zh-CN"/>
        </w:rPr>
        <w:t>1101</w:t>
      </w:r>
      <w:r>
        <w:rPr>
          <w:rFonts w:hint="eastAsia" w:ascii="仿宋_GB2312" w:hAnsi="仿宋_GB2312" w:eastAsia="仿宋_GB2312" w:cs="仿宋_GB2312"/>
          <w:b w:val="0"/>
          <w:bCs w:val="0"/>
          <w:color w:val="auto"/>
          <w:spacing w:val="0"/>
          <w:kern w:val="2"/>
          <w:lang w:val="en-US" w:eastAsia="zh-CN"/>
        </w:rPr>
        <w:t>人次，督导全区</w:t>
      </w:r>
      <w:r>
        <w:rPr>
          <w:rFonts w:hint="eastAsia" w:ascii="Times New Roman" w:hAnsi="Times New Roman" w:eastAsia="仿宋_GB2312" w:cs="仿宋_GB2312"/>
          <w:b w:val="0"/>
          <w:bCs w:val="0"/>
          <w:color w:val="auto"/>
          <w:spacing w:val="0"/>
          <w:kern w:val="2"/>
          <w:lang w:val="en-US" w:eastAsia="zh-CN"/>
        </w:rPr>
        <w:t>472</w:t>
      </w:r>
      <w:r>
        <w:rPr>
          <w:rFonts w:hint="eastAsia" w:ascii="仿宋_GB2312" w:hAnsi="仿宋_GB2312" w:eastAsia="仿宋_GB2312" w:cs="仿宋_GB2312"/>
          <w:b w:val="0"/>
          <w:bCs w:val="0"/>
          <w:color w:val="auto"/>
          <w:spacing w:val="0"/>
          <w:kern w:val="2"/>
          <w:lang w:val="en-US" w:eastAsia="zh-CN"/>
        </w:rPr>
        <w:t>所学校（幼儿园），构建起“横向到边、纵向到底”的网格化督导管理体系。建立</w:t>
      </w:r>
      <w:r>
        <w:rPr>
          <w:rFonts w:hint="eastAsia" w:ascii="Times New Roman" w:hAnsi="Times New Roman" w:eastAsia="仿宋_GB2312" w:cs="仿宋_GB2312"/>
          <w:b w:val="0"/>
          <w:bCs w:val="0"/>
          <w:color w:val="auto"/>
          <w:spacing w:val="0"/>
          <w:kern w:val="2"/>
          <w:lang w:val="en-US" w:eastAsia="zh-CN"/>
        </w:rPr>
        <w:t>18</w:t>
      </w:r>
      <w:r>
        <w:rPr>
          <w:rFonts w:hint="eastAsia" w:ascii="仿宋_GB2312" w:hAnsi="仿宋_GB2312" w:eastAsia="仿宋_GB2312" w:cs="仿宋_GB2312"/>
          <w:b w:val="0"/>
          <w:bCs w:val="0"/>
          <w:color w:val="auto"/>
          <w:spacing w:val="0"/>
          <w:kern w:val="2"/>
          <w:lang w:val="en-US" w:eastAsia="zh-CN"/>
        </w:rPr>
        <w:t>项安全风险隐患排查标准，实行“区教育部门—教育指导中心—学校”三级责任体系，所有学校按月开展隐患排查并落实闭环管理，隐患整改“动态清零”。对未成年人违法犯罪突出学校实施“一校一策”整改，</w:t>
      </w:r>
      <w:r>
        <w:rPr>
          <w:rFonts w:hint="eastAsia" w:ascii="Times New Roman" w:hAnsi="Times New Roman" w:eastAsia="仿宋_GB2312" w:cs="仿宋_GB2312"/>
          <w:b w:val="0"/>
          <w:bCs w:val="0"/>
          <w:color w:val="auto"/>
          <w:spacing w:val="0"/>
          <w:kern w:val="2"/>
          <w:lang w:val="en-US" w:eastAsia="zh-CN"/>
        </w:rPr>
        <w:t>24</w:t>
      </w:r>
      <w:r>
        <w:rPr>
          <w:rFonts w:hint="eastAsia" w:ascii="仿宋_GB2312" w:hAnsi="仿宋_GB2312" w:eastAsia="仿宋_GB2312" w:cs="仿宋_GB2312"/>
          <w:b w:val="0"/>
          <w:bCs w:val="0"/>
          <w:color w:val="auto"/>
          <w:spacing w:val="0"/>
          <w:kern w:val="2"/>
          <w:lang w:val="en-US" w:eastAsia="zh-CN"/>
        </w:rPr>
        <w:t>所挂牌学校全部通过摘牌验收。</w:t>
      </w:r>
    </w:p>
    <w:p w14:paraId="77B060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楷体_GB2312" w:hAnsi="楷体_GB2312" w:eastAsia="楷体_GB2312" w:cs="楷体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（六）深化综合改革，凝聚共识全面提升育人质量</w:t>
      </w:r>
    </w:p>
    <w:p w14:paraId="7C65356C">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rPr>
      </w:pPr>
      <w:r>
        <w:rPr>
          <w:rFonts w:hint="eastAsia" w:ascii="Times New Roman" w:hAnsi="Times New Roman" w:eastAsia="仿宋_GB2312" w:cs="仿宋_GB2312"/>
          <w:b/>
          <w:bCs/>
          <w:color w:val="auto"/>
          <w:spacing w:val="0"/>
          <w:kern w:val="2"/>
          <w:sz w:val="32"/>
          <w:szCs w:val="32"/>
          <w:highlight w:val="none"/>
          <w:lang w:val="en-US" w:eastAsia="zh-CN" w:bidi="ar"/>
        </w:rPr>
        <w:t>1</w:t>
      </w:r>
      <w:r>
        <w:rPr>
          <w:rFonts w:hint="eastAsia" w:ascii="仿宋_GB2312" w:hAnsi="仿宋_GB2312" w:eastAsia="仿宋_GB2312" w:cs="仿宋_GB2312"/>
          <w:b/>
          <w:bCs/>
          <w:color w:val="auto"/>
          <w:spacing w:val="0"/>
          <w:kern w:val="2"/>
          <w:sz w:val="32"/>
          <w:szCs w:val="32"/>
          <w:highlight w:val="none"/>
          <w:lang w:val="en-US" w:eastAsia="zh-CN" w:bidi="ar"/>
        </w:rPr>
        <w:t>.深化教育评价改革，</w:t>
      </w:r>
      <w:r>
        <w:rPr>
          <w:rFonts w:hint="eastAsia" w:ascii="仿宋_GB2312" w:hAnsi="仿宋_GB2312" w:eastAsia="仿宋_GB2312" w:cs="仿宋_GB2312"/>
          <w:b/>
          <w:bCs/>
          <w:color w:val="auto"/>
          <w:spacing w:val="0"/>
          <w:kern w:val="2"/>
          <w:sz w:val="32"/>
          <w:szCs w:val="32"/>
          <w:lang w:val="en-US" w:eastAsia="zh-CN" w:bidi="ar-SA"/>
        </w:rPr>
        <w:t>构建多元评价体系。</w:t>
      </w:r>
      <w:r>
        <w:rPr>
          <w:rFonts w:hint="eastAsia" w:ascii="仿宋_GB2312" w:hAnsi="仿宋_GB2312" w:eastAsia="仿宋_GB2312" w:cs="仿宋_GB2312"/>
          <w:b w:val="0"/>
          <w:bCs w:val="0"/>
          <w:color w:val="auto"/>
          <w:spacing w:val="0"/>
          <w:kern w:val="2"/>
          <w:sz w:val="32"/>
          <w:szCs w:val="32"/>
          <w:lang w:val="en-US" w:eastAsia="zh-CN" w:bidi="ar-SA"/>
        </w:rPr>
        <w:t>将教育质量综合评价列入</w:t>
      </w:r>
      <w:r>
        <w:rPr>
          <w:rFonts w:hint="eastAsia" w:ascii="Times New Roman" w:hAnsi="Times New Roman" w:eastAsia="仿宋_GB2312" w:cs="仿宋_GB2312"/>
          <w:b w:val="0"/>
          <w:bCs w:val="0"/>
          <w:color w:val="auto"/>
          <w:spacing w:val="0"/>
          <w:kern w:val="2"/>
          <w:sz w:val="32"/>
          <w:szCs w:val="32"/>
          <w:lang w:val="en-US" w:eastAsia="zh-CN" w:bidi="ar-SA"/>
        </w:rPr>
        <w:t>2025</w:t>
      </w:r>
      <w:r>
        <w:rPr>
          <w:rFonts w:hint="eastAsia" w:ascii="仿宋_GB2312" w:hAnsi="仿宋_GB2312" w:eastAsia="仿宋_GB2312" w:cs="仿宋_GB2312"/>
          <w:b w:val="0"/>
          <w:bCs w:val="0"/>
          <w:color w:val="auto"/>
          <w:spacing w:val="0"/>
          <w:kern w:val="2"/>
          <w:sz w:val="32"/>
          <w:szCs w:val="32"/>
          <w:lang w:val="en-US" w:eastAsia="zh-CN" w:bidi="ar-SA"/>
        </w:rPr>
        <w:t>年自主改革举措。在全市率先研制义务教育学校办学质量综合评价方案及评价指标，充分发挥教育质量综合评价导向作用，全面提升教育质量。我区</w:t>
      </w:r>
      <w:r>
        <w:rPr>
          <w:rFonts w:hint="eastAsia" w:ascii="仿宋_GB2312" w:hAnsi="仿宋_GB2312" w:eastAsia="仿宋_GB2312" w:cs="仿宋_GB2312"/>
          <w:bCs w:val="0"/>
          <w:color w:val="auto"/>
          <w:spacing w:val="0"/>
          <w:kern w:val="2"/>
          <w:sz w:val="32"/>
          <w:szCs w:val="32"/>
          <w:lang w:val="en-US" w:eastAsia="zh-CN" w:bidi="ar-SA"/>
        </w:rPr>
        <w:t>入选全市第二批教育评价改革试点项目</w:t>
      </w:r>
      <w:r>
        <w:rPr>
          <w:rFonts w:hint="eastAsia" w:ascii="Times New Roman" w:hAnsi="Times New Roman" w:eastAsia="仿宋_GB2312" w:cs="仿宋_GB2312"/>
          <w:bCs w:val="0"/>
          <w:color w:val="auto"/>
          <w:spacing w:val="0"/>
          <w:kern w:val="2"/>
          <w:sz w:val="32"/>
          <w:szCs w:val="32"/>
          <w:lang w:val="en-US" w:eastAsia="zh-CN" w:bidi="ar-SA"/>
        </w:rPr>
        <w:t>4</w:t>
      </w:r>
      <w:r>
        <w:rPr>
          <w:rFonts w:hint="eastAsia" w:ascii="仿宋_GB2312" w:hAnsi="仿宋_GB2312" w:eastAsia="仿宋_GB2312" w:cs="仿宋_GB2312"/>
          <w:bCs w:val="0"/>
          <w:color w:val="auto"/>
          <w:spacing w:val="0"/>
          <w:kern w:val="2"/>
          <w:sz w:val="32"/>
          <w:szCs w:val="32"/>
          <w:lang w:val="en-US" w:eastAsia="zh-CN" w:bidi="ar-SA"/>
        </w:rPr>
        <w:t>个，</w:t>
      </w:r>
      <w:r>
        <w:rPr>
          <w:rFonts w:hint="eastAsia" w:ascii="Times New Roman" w:hAnsi="Times New Roman" w:eastAsia="仿宋_GB2312" w:cs="仿宋_GB2312"/>
          <w:bCs w:val="0"/>
          <w:color w:val="auto"/>
          <w:spacing w:val="0"/>
          <w:kern w:val="2"/>
          <w:sz w:val="32"/>
          <w:szCs w:val="32"/>
          <w:lang w:val="en-US" w:eastAsia="zh-CN" w:bidi="ar-SA"/>
        </w:rPr>
        <w:t>1</w:t>
      </w:r>
      <w:r>
        <w:rPr>
          <w:rFonts w:hint="eastAsia" w:ascii="仿宋_GB2312" w:hAnsi="仿宋_GB2312" w:eastAsia="仿宋_GB2312" w:cs="仿宋_GB2312"/>
          <w:bCs w:val="0"/>
          <w:color w:val="auto"/>
          <w:spacing w:val="0"/>
          <w:kern w:val="2"/>
          <w:sz w:val="32"/>
          <w:szCs w:val="32"/>
          <w:lang w:val="en-US" w:eastAsia="zh-CN" w:bidi="ar-SA"/>
        </w:rPr>
        <w:t>个案例入选省第四批教育评价改革典型案例</w:t>
      </w:r>
      <w:r>
        <w:rPr>
          <w:rFonts w:hint="eastAsia" w:ascii="仿宋_GB2312" w:hAnsi="仿宋_GB2312" w:eastAsia="仿宋_GB2312" w:cs="仿宋_GB2312"/>
          <w:b w:val="0"/>
          <w:bCs w:val="0"/>
          <w:color w:val="auto"/>
          <w:spacing w:val="0"/>
          <w:kern w:val="2"/>
          <w:sz w:val="32"/>
          <w:szCs w:val="32"/>
          <w:lang w:val="en-US" w:eastAsia="zh-CN"/>
        </w:rPr>
        <w:t>。</w:t>
      </w:r>
      <w:r>
        <w:rPr>
          <w:rFonts w:hint="eastAsia" w:ascii="Times New Roman" w:hAnsi="Times New Roman" w:eastAsia="仿宋_GB2312" w:cs="仿宋_GB2312"/>
          <w:b w:val="0"/>
          <w:bCs w:val="0"/>
          <w:color w:val="auto"/>
          <w:spacing w:val="0"/>
          <w:kern w:val="2"/>
          <w:sz w:val="32"/>
          <w:szCs w:val="32"/>
          <w:lang w:val="en-US" w:eastAsia="zh-CN"/>
        </w:rPr>
        <w:t>2</w:t>
      </w:r>
      <w:r>
        <w:rPr>
          <w:rFonts w:hint="eastAsia" w:ascii="仿宋_GB2312" w:hAnsi="仿宋_GB2312" w:eastAsia="仿宋_GB2312" w:cs="仿宋_GB2312"/>
          <w:b w:val="0"/>
          <w:bCs w:val="0"/>
          <w:color w:val="auto"/>
          <w:spacing w:val="0"/>
          <w:kern w:val="2"/>
          <w:sz w:val="32"/>
          <w:szCs w:val="32"/>
          <w:lang w:val="en-US" w:eastAsia="zh-CN"/>
        </w:rPr>
        <w:t>篇论文获广东省教育厅</w:t>
      </w:r>
      <w:r>
        <w:rPr>
          <w:rFonts w:hint="eastAsia" w:ascii="Times New Roman" w:hAnsi="Times New Roman" w:eastAsia="仿宋_GB2312" w:cs="仿宋_GB2312"/>
          <w:b w:val="0"/>
          <w:bCs w:val="0"/>
          <w:color w:val="auto"/>
          <w:spacing w:val="0"/>
          <w:kern w:val="2"/>
          <w:sz w:val="32"/>
          <w:szCs w:val="32"/>
          <w:lang w:val="en-US" w:eastAsia="zh-CN"/>
        </w:rPr>
        <w:t>2025</w:t>
      </w:r>
      <w:r>
        <w:rPr>
          <w:rFonts w:hint="eastAsia" w:ascii="仿宋_GB2312" w:hAnsi="仿宋_GB2312" w:eastAsia="仿宋_GB2312" w:cs="仿宋_GB2312"/>
          <w:b w:val="0"/>
          <w:bCs w:val="0"/>
          <w:color w:val="auto"/>
          <w:spacing w:val="0"/>
          <w:kern w:val="2"/>
          <w:sz w:val="32"/>
          <w:szCs w:val="32"/>
          <w:lang w:val="en-US" w:eastAsia="zh-CN"/>
        </w:rPr>
        <w:t>年教育评价改革主题征文中小学（幼儿园）组一、二等奖。</w:t>
      </w:r>
    </w:p>
    <w:p w14:paraId="0C8B5393">
      <w:pPr>
        <w:keepNext w:val="0"/>
        <w:keepLines w:val="0"/>
        <w:pageBreakBefore w:val="0"/>
        <w:widowControl w:val="0"/>
        <w:kinsoku/>
        <w:wordWrap/>
        <w:overflowPunct/>
        <w:topLinePunct w:val="0"/>
        <w:autoSpaceDE/>
        <w:autoSpaceDN/>
        <w:bidi w:val="0"/>
        <w:adjustRightInd/>
        <w:snapToGrid/>
        <w:spacing w:line="570" w:lineRule="exact"/>
        <w:ind w:left="0" w:firstLine="632" w:firstLineChars="200"/>
        <w:jc w:val="both"/>
        <w:textAlignment w:val="auto"/>
        <w:rPr>
          <w:rFonts w:hint="eastAsia" w:ascii="仿宋_GB2312" w:hAnsi="仿宋_GB2312" w:eastAsia="仿宋_GB2312" w:cs="仿宋_GB2312"/>
          <w:color w:val="auto"/>
          <w:spacing w:val="0"/>
          <w:kern w:val="2"/>
          <w:sz w:val="32"/>
          <w:szCs w:val="32"/>
          <w:lang w:val="en-US" w:eastAsia="zh-CN" w:bidi="ar"/>
        </w:rPr>
      </w:pPr>
      <w:r>
        <w:rPr>
          <w:rFonts w:hint="eastAsia" w:ascii="Times New Roman" w:hAnsi="Times New Roman" w:eastAsia="仿宋_GB2312" w:cs="仿宋_GB2312"/>
          <w:b/>
          <w:bCs/>
          <w:color w:val="auto"/>
          <w:spacing w:val="0"/>
          <w:kern w:val="2"/>
          <w:sz w:val="32"/>
          <w:szCs w:val="32"/>
          <w:lang w:val="en-US" w:eastAsia="zh-CN" w:bidi="ar"/>
        </w:rPr>
        <w:t>2</w:t>
      </w:r>
      <w:r>
        <w:rPr>
          <w:rFonts w:hint="eastAsia" w:ascii="仿宋_GB2312" w:hAnsi="仿宋_GB2312" w:eastAsia="仿宋_GB2312" w:cs="仿宋_GB2312"/>
          <w:b/>
          <w:bCs/>
          <w:color w:val="auto"/>
          <w:spacing w:val="0"/>
          <w:kern w:val="2"/>
          <w:sz w:val="32"/>
          <w:szCs w:val="32"/>
          <w:lang w:val="en-US" w:eastAsia="zh-CN" w:bidi="ar"/>
        </w:rPr>
        <w:t>.深化教育教学改革，全面提升校园育人质量。</w:t>
      </w:r>
      <w:r>
        <w:rPr>
          <w:rFonts w:hint="eastAsia" w:ascii="仿宋_GB2312" w:hAnsi="仿宋_GB2312" w:eastAsia="仿宋_GB2312" w:cs="仿宋_GB2312"/>
          <w:color w:val="auto"/>
          <w:spacing w:val="0"/>
          <w:kern w:val="2"/>
          <w:sz w:val="32"/>
          <w:szCs w:val="32"/>
          <w:lang w:val="en-US" w:eastAsia="zh-CN" w:bidi="ar"/>
        </w:rPr>
        <w:t>严格执行国家课程方案，开齐开足开好各类课程，一学期仅组织一次期末考试，推动教学研究与作业设计融合创新。强化实践育人，开设不少于</w:t>
      </w:r>
      <w:r>
        <w:rPr>
          <w:rFonts w:hint="eastAsia" w:ascii="Times New Roman" w:hAnsi="Times New Roman" w:eastAsia="仿宋_GB2312" w:cs="仿宋_GB2312"/>
          <w:color w:val="auto"/>
          <w:spacing w:val="0"/>
          <w:kern w:val="2"/>
          <w:sz w:val="32"/>
          <w:szCs w:val="32"/>
          <w:lang w:val="en-US" w:eastAsia="zh-CN" w:bidi="ar"/>
        </w:rPr>
        <w:t>10</w:t>
      </w:r>
      <w:r>
        <w:rPr>
          <w:rFonts w:hint="eastAsia" w:ascii="Times New Roman" w:hAnsi="Times New Roman" w:eastAsia="仿宋_GB2312" w:cs="仿宋_GB2312"/>
          <w:b w:val="0"/>
          <w:bCs w:val="0"/>
          <w:color w:val="auto"/>
          <w:spacing w:val="0"/>
          <w:kern w:val="2"/>
          <w:sz w:val="32"/>
          <w:szCs w:val="32"/>
          <w:lang w:val="en-US" w:eastAsia="zh-CN" w:bidi="ar-SA"/>
        </w:rPr>
        <w:t>%</w:t>
      </w:r>
      <w:r>
        <w:rPr>
          <w:rFonts w:hint="eastAsia" w:ascii="仿宋_GB2312" w:hAnsi="仿宋_GB2312" w:eastAsia="仿宋_GB2312" w:cs="仿宋_GB2312"/>
          <w:color w:val="auto"/>
          <w:spacing w:val="0"/>
          <w:kern w:val="2"/>
          <w:sz w:val="32"/>
          <w:szCs w:val="32"/>
          <w:lang w:val="en-US" w:eastAsia="zh-CN" w:bidi="ar"/>
        </w:rPr>
        <w:t>课时的实验教学与跨学科主题学习，培养学生创新精神与实践能力。同时，注重学生习惯养成与综合素养提升，通过加强课堂管理、课外辅导及开展多元活动，促进学生全面发展。</w:t>
      </w:r>
    </w:p>
    <w:p w14:paraId="49BDFD32">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rPr>
          <w:rFonts w:hint="eastAsia" w:ascii="仿宋_GB2312" w:hAnsi="仿宋_GB2312" w:eastAsia="仿宋_GB2312" w:cs="仿宋_GB2312"/>
          <w:b/>
          <w:bCs/>
          <w:color w:val="auto"/>
          <w:spacing w:val="0"/>
          <w:kern w:val="2"/>
          <w:sz w:val="32"/>
          <w:szCs w:val="32"/>
          <w:lang w:val="en-US" w:eastAsia="zh-CN" w:bidi="ar"/>
        </w:rPr>
      </w:pPr>
      <w:r>
        <w:rPr>
          <w:rFonts w:hint="eastAsia" w:ascii="Times New Roman" w:hAnsi="Times New Roman" w:eastAsia="仿宋_GB2312" w:cs="仿宋_GB2312"/>
          <w:b/>
          <w:bCs/>
          <w:color w:val="auto"/>
          <w:spacing w:val="0"/>
          <w:kern w:val="2"/>
          <w:sz w:val="32"/>
          <w:szCs w:val="32"/>
          <w:lang w:val="en-US" w:eastAsia="zh-CN" w:bidi="ar"/>
        </w:rPr>
        <w:t>3</w:t>
      </w:r>
      <w:r>
        <w:rPr>
          <w:rFonts w:hint="eastAsia" w:ascii="仿宋_GB2312" w:hAnsi="仿宋_GB2312" w:eastAsia="仿宋_GB2312" w:cs="仿宋_GB2312"/>
          <w:b/>
          <w:bCs/>
          <w:color w:val="auto"/>
          <w:spacing w:val="0"/>
          <w:kern w:val="2"/>
          <w:sz w:val="32"/>
          <w:szCs w:val="32"/>
          <w:lang w:val="en-US" w:eastAsia="zh-CN" w:bidi="ar"/>
        </w:rPr>
        <w:t>.深化体制机制改革，健全机构职能体系。一是</w:t>
      </w:r>
      <w:r>
        <w:rPr>
          <w:rFonts w:hint="eastAsia" w:ascii="仿宋_GB2312" w:hAnsi="仿宋_GB2312" w:eastAsia="仿宋_GB2312" w:cs="仿宋_GB2312"/>
          <w:b w:val="0"/>
          <w:bCs w:val="0"/>
          <w:color w:val="auto"/>
          <w:spacing w:val="0"/>
          <w:kern w:val="2"/>
          <w:sz w:val="32"/>
          <w:szCs w:val="32"/>
          <w:lang w:val="en-US" w:eastAsia="zh-CN" w:bidi="ar"/>
        </w:rPr>
        <w:t>深化教指中心改革，</w:t>
      </w:r>
      <w:r>
        <w:rPr>
          <w:rFonts w:hint="eastAsia" w:ascii="仿宋_GB2312" w:hAnsi="仿宋_GB2312" w:eastAsia="仿宋_GB2312" w:cs="仿宋_GB2312"/>
          <w:color w:val="auto"/>
          <w:spacing w:val="0"/>
          <w:kern w:val="2"/>
          <w:sz w:val="32"/>
          <w:szCs w:val="32"/>
          <w:lang w:val="en-US" w:eastAsia="zh-CN"/>
        </w:rPr>
        <w:t>健全优化镇街教育指导中心管理体制，探索基于集团化办学模式下优化教育指导中心管理的新型基层学校管理和治理模式。</w:t>
      </w:r>
      <w:r>
        <w:rPr>
          <w:rFonts w:hint="eastAsia" w:ascii="仿宋_GB2312" w:hAnsi="仿宋_GB2312" w:eastAsia="仿宋_GB2312" w:cs="仿宋_GB2312"/>
          <w:b/>
          <w:bCs/>
          <w:color w:val="auto"/>
          <w:spacing w:val="0"/>
          <w:kern w:val="2"/>
          <w:sz w:val="32"/>
          <w:szCs w:val="32"/>
          <w:lang w:val="en-US" w:eastAsia="zh-CN"/>
        </w:rPr>
        <w:t>二是</w:t>
      </w:r>
      <w:r>
        <w:rPr>
          <w:rFonts w:hint="eastAsia" w:ascii="仿宋_GB2312" w:hAnsi="仿宋_GB2312" w:eastAsia="仿宋_GB2312" w:cs="仿宋_GB2312"/>
          <w:color w:val="auto"/>
          <w:spacing w:val="0"/>
          <w:kern w:val="2"/>
          <w:sz w:val="32"/>
          <w:szCs w:val="32"/>
          <w:lang w:val="en-US" w:eastAsia="zh-CN"/>
        </w:rPr>
        <w:t>优化财务管理体制改革，重构区教育局—学校二级教育财务管理体系，形成教育财务“大统管大结算”，实现财务管理扁平化，提高财务工作效率与资金安全。</w:t>
      </w:r>
    </w:p>
    <w:p w14:paraId="5CBB9FA8">
      <w:pPr>
        <w:keepNext w:val="0"/>
        <w:keepLines w:val="0"/>
        <w:pageBreakBefore w:val="0"/>
        <w:widowControl w:val="0"/>
        <w:kinsoku/>
        <w:wordWrap/>
        <w:overflowPunct/>
        <w:topLinePunct w:val="0"/>
        <w:autoSpaceDE/>
        <w:autoSpaceDN/>
        <w:bidi w:val="0"/>
        <w:adjustRightInd/>
        <w:snapToGrid/>
        <w:spacing w:line="570" w:lineRule="exact"/>
        <w:ind w:left="0" w:firstLine="632"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Times New Roman" w:hAnsi="Times New Roman" w:eastAsia="仿宋_GB2312" w:cs="仿宋_GB2312"/>
          <w:b/>
          <w:bCs/>
          <w:color w:val="auto"/>
          <w:spacing w:val="0"/>
          <w:kern w:val="2"/>
          <w:sz w:val="32"/>
          <w:szCs w:val="32"/>
          <w:lang w:val="en-US" w:eastAsia="zh-CN" w:bidi="ar"/>
        </w:rPr>
        <w:t>4</w:t>
      </w:r>
      <w:r>
        <w:rPr>
          <w:rFonts w:hint="eastAsia" w:ascii="仿宋_GB2312" w:hAnsi="仿宋_GB2312" w:eastAsia="仿宋_GB2312" w:cs="仿宋_GB2312"/>
          <w:b/>
          <w:bCs/>
          <w:color w:val="auto"/>
          <w:spacing w:val="0"/>
          <w:kern w:val="2"/>
          <w:sz w:val="32"/>
          <w:szCs w:val="32"/>
          <w:lang w:val="en-US" w:eastAsia="zh-CN" w:bidi="ar"/>
        </w:rPr>
        <w:t>.完善</w:t>
      </w:r>
      <w:r>
        <w:rPr>
          <w:rFonts w:hint="eastAsia" w:ascii="仿宋_GB2312" w:hAnsi="仿宋_GB2312" w:eastAsia="仿宋_GB2312" w:cs="仿宋_GB2312"/>
          <w:b/>
          <w:bCs/>
          <w:color w:val="auto"/>
          <w:spacing w:val="0"/>
          <w:kern w:val="2"/>
          <w:sz w:val="32"/>
          <w:szCs w:val="32"/>
          <w:lang w:val="en-US" w:eastAsia="zh-CN" w:bidi="ar-SA"/>
        </w:rPr>
        <w:t>家校社协同机制，凝聚育人最大合力。</w:t>
      </w:r>
      <w:r>
        <w:rPr>
          <w:rFonts w:hint="eastAsia" w:ascii="仿宋_GB2312" w:hAnsi="仿宋_GB2312" w:eastAsia="仿宋_GB2312" w:cs="仿宋_GB2312"/>
          <w:color w:val="auto"/>
          <w:spacing w:val="0"/>
          <w:kern w:val="2"/>
          <w:sz w:val="32"/>
          <w:szCs w:val="32"/>
          <w:lang w:val="en-US" w:eastAsia="zh-CN"/>
        </w:rPr>
        <w:t>成立增城区家庭教育指导中心，建设</w:t>
      </w:r>
      <w:r>
        <w:rPr>
          <w:rFonts w:hint="eastAsia" w:ascii="Times New Roman" w:hAnsi="Times New Roman" w:eastAsia="仿宋_GB2312" w:cs="仿宋_GB2312"/>
          <w:color w:val="auto"/>
          <w:spacing w:val="0"/>
          <w:kern w:val="2"/>
          <w:sz w:val="32"/>
          <w:szCs w:val="32"/>
          <w:lang w:val="en-US" w:eastAsia="zh-CN"/>
        </w:rPr>
        <w:t>3</w:t>
      </w:r>
      <w:r>
        <w:rPr>
          <w:rFonts w:hint="eastAsia" w:ascii="仿宋_GB2312" w:hAnsi="仿宋_GB2312" w:eastAsia="仿宋_GB2312" w:cs="仿宋_GB2312"/>
          <w:color w:val="auto"/>
          <w:spacing w:val="0"/>
          <w:kern w:val="2"/>
          <w:sz w:val="32"/>
          <w:szCs w:val="32"/>
          <w:lang w:val="en-US" w:eastAsia="zh-CN"/>
        </w:rPr>
        <w:t>个市级、</w:t>
      </w:r>
      <w:r>
        <w:rPr>
          <w:rFonts w:hint="eastAsia" w:ascii="Times New Roman" w:hAnsi="Times New Roman" w:eastAsia="仿宋_GB2312" w:cs="仿宋_GB2312"/>
          <w:color w:val="auto"/>
          <w:spacing w:val="0"/>
          <w:kern w:val="2"/>
          <w:sz w:val="32"/>
          <w:szCs w:val="32"/>
          <w:lang w:val="en-US" w:eastAsia="zh-CN"/>
        </w:rPr>
        <w:t>18</w:t>
      </w:r>
      <w:r>
        <w:rPr>
          <w:rFonts w:hint="eastAsia" w:ascii="仿宋_GB2312" w:hAnsi="仿宋_GB2312" w:eastAsia="仿宋_GB2312" w:cs="仿宋_GB2312"/>
          <w:color w:val="auto"/>
          <w:spacing w:val="0"/>
          <w:kern w:val="2"/>
          <w:sz w:val="32"/>
          <w:szCs w:val="32"/>
          <w:lang w:val="en-US" w:eastAsia="zh-CN"/>
        </w:rPr>
        <w:t>个区级家庭教育名师工作室。</w:t>
      </w:r>
      <w:r>
        <w:rPr>
          <w:rFonts w:hint="eastAsia" w:ascii="仿宋_GB2312" w:hAnsi="仿宋_GB2312" w:eastAsia="仿宋_GB2312" w:cs="仿宋_GB2312"/>
          <w:color w:val="auto"/>
          <w:spacing w:val="0"/>
          <w:kern w:val="2"/>
          <w:sz w:val="32"/>
          <w:szCs w:val="32"/>
          <w:lang w:val="en-US" w:eastAsia="zh-CN" w:bidi="ar-SA"/>
        </w:rPr>
        <w:t>承办</w:t>
      </w:r>
      <w:r>
        <w:rPr>
          <w:rFonts w:hint="eastAsia" w:ascii="Times New Roman" w:hAnsi="Times New Roman" w:eastAsia="仿宋_GB2312" w:cs="仿宋_GB2312"/>
          <w:color w:val="auto"/>
          <w:spacing w:val="0"/>
          <w:kern w:val="2"/>
          <w:sz w:val="32"/>
          <w:szCs w:val="32"/>
          <w:lang w:val="en-US" w:eastAsia="zh-CN" w:bidi="ar-SA"/>
        </w:rPr>
        <w:t>2025</w:t>
      </w:r>
      <w:r>
        <w:rPr>
          <w:rFonts w:hint="eastAsia" w:ascii="仿宋_GB2312" w:hAnsi="仿宋_GB2312" w:eastAsia="仿宋_GB2312" w:cs="仿宋_GB2312"/>
          <w:color w:val="auto"/>
          <w:spacing w:val="0"/>
          <w:kern w:val="2"/>
          <w:sz w:val="32"/>
          <w:szCs w:val="32"/>
          <w:lang w:val="en-US" w:eastAsia="zh-CN" w:bidi="ar-SA"/>
        </w:rPr>
        <w:t>年广州市学校家庭社会协同育人机制建设成果交流暨“</w:t>
      </w:r>
      <w:r>
        <w:rPr>
          <w:rFonts w:hint="eastAsia" w:ascii="Times New Roman" w:hAnsi="Times New Roman" w:eastAsia="仿宋_GB2312" w:cs="仿宋_GB2312"/>
          <w:color w:val="auto"/>
          <w:spacing w:val="0"/>
          <w:kern w:val="2"/>
          <w:sz w:val="32"/>
          <w:szCs w:val="32"/>
          <w:lang w:val="en-US" w:eastAsia="zh-CN" w:bidi="ar-SA"/>
        </w:rPr>
        <w:t>1</w:t>
      </w:r>
      <w:r>
        <w:rPr>
          <w:rFonts w:hint="eastAsia" w:ascii="仿宋_GB2312" w:hAnsi="仿宋_GB2312" w:eastAsia="仿宋_GB2312" w:cs="仿宋_GB2312"/>
          <w:color w:val="auto"/>
          <w:spacing w:val="0"/>
          <w:kern w:val="2"/>
          <w:sz w:val="32"/>
          <w:szCs w:val="32"/>
          <w:lang w:val="en-US" w:eastAsia="zh-CN" w:bidi="ar-SA"/>
        </w:rPr>
        <w:t>+</w:t>
      </w:r>
      <w:r>
        <w:rPr>
          <w:rFonts w:hint="eastAsia" w:ascii="Times New Roman" w:hAnsi="Times New Roman" w:eastAsia="仿宋_GB2312" w:cs="仿宋_GB2312"/>
          <w:color w:val="auto"/>
          <w:spacing w:val="0"/>
          <w:kern w:val="2"/>
          <w:sz w:val="32"/>
          <w:szCs w:val="32"/>
          <w:lang w:val="en-US" w:eastAsia="zh-CN" w:bidi="ar-SA"/>
        </w:rPr>
        <w:t>3</w:t>
      </w:r>
      <w:r>
        <w:rPr>
          <w:rFonts w:hint="eastAsia" w:ascii="仿宋_GB2312" w:hAnsi="仿宋_GB2312" w:eastAsia="仿宋_GB2312" w:cs="仿宋_GB2312"/>
          <w:color w:val="auto"/>
          <w:spacing w:val="0"/>
          <w:kern w:val="2"/>
          <w:sz w:val="32"/>
          <w:szCs w:val="32"/>
          <w:lang w:val="en-US" w:eastAsia="zh-CN" w:bidi="ar-SA"/>
        </w:rPr>
        <w:t>+</w:t>
      </w:r>
      <w:r>
        <w:rPr>
          <w:rFonts w:hint="eastAsia" w:ascii="Times New Roman" w:hAnsi="Times New Roman" w:eastAsia="仿宋_GB2312" w:cs="仿宋_GB2312"/>
          <w:color w:val="auto"/>
          <w:spacing w:val="0"/>
          <w:kern w:val="2"/>
          <w:sz w:val="32"/>
          <w:szCs w:val="32"/>
          <w:lang w:val="en-US" w:eastAsia="zh-CN" w:bidi="ar-SA"/>
        </w:rPr>
        <w:t>1</w:t>
      </w:r>
      <w:r>
        <w:rPr>
          <w:rFonts w:hint="eastAsia" w:ascii="仿宋_GB2312" w:hAnsi="仿宋_GB2312" w:eastAsia="仿宋_GB2312" w:cs="仿宋_GB2312"/>
          <w:color w:val="auto"/>
          <w:spacing w:val="0"/>
          <w:kern w:val="2"/>
          <w:sz w:val="32"/>
          <w:szCs w:val="32"/>
          <w:lang w:val="en-US" w:eastAsia="zh-CN" w:bidi="ar-SA"/>
        </w:rPr>
        <w:t>”融教研活动（增城站）。启动“增城区父母学堂”品牌项目，并开展首场家庭教育指导活动，覆盖</w:t>
      </w:r>
      <w:r>
        <w:rPr>
          <w:rFonts w:hint="eastAsia" w:ascii="Times New Roman" w:hAnsi="Times New Roman" w:eastAsia="仿宋_GB2312" w:cs="仿宋_GB2312"/>
          <w:color w:val="auto"/>
          <w:spacing w:val="0"/>
          <w:kern w:val="2"/>
          <w:sz w:val="32"/>
          <w:szCs w:val="32"/>
          <w:lang w:val="en-US" w:eastAsia="zh-CN" w:bidi="ar-SA"/>
        </w:rPr>
        <w:t>7</w:t>
      </w:r>
      <w:r>
        <w:rPr>
          <w:rFonts w:hint="eastAsia" w:ascii="仿宋_GB2312" w:hAnsi="仿宋_GB2312" w:eastAsia="仿宋_GB2312" w:cs="仿宋_GB2312"/>
          <w:color w:val="auto"/>
          <w:spacing w:val="0"/>
          <w:kern w:val="2"/>
          <w:sz w:val="32"/>
          <w:szCs w:val="32"/>
          <w:lang w:val="en-US" w:eastAsia="zh-CN" w:bidi="ar-SA"/>
        </w:rPr>
        <w:t>.</w:t>
      </w:r>
      <w:r>
        <w:rPr>
          <w:rFonts w:hint="eastAsia" w:ascii="Times New Roman" w:hAnsi="Times New Roman" w:eastAsia="仿宋_GB2312" w:cs="仿宋_GB2312"/>
          <w:color w:val="auto"/>
          <w:spacing w:val="0"/>
          <w:kern w:val="2"/>
          <w:sz w:val="32"/>
          <w:szCs w:val="32"/>
          <w:lang w:val="en-US" w:eastAsia="zh-CN" w:bidi="ar-SA"/>
        </w:rPr>
        <w:t>2</w:t>
      </w:r>
      <w:r>
        <w:rPr>
          <w:rFonts w:hint="eastAsia" w:ascii="仿宋_GB2312" w:hAnsi="仿宋_GB2312" w:eastAsia="仿宋_GB2312" w:cs="仿宋_GB2312"/>
          <w:color w:val="auto"/>
          <w:spacing w:val="0"/>
          <w:kern w:val="2"/>
          <w:sz w:val="32"/>
          <w:szCs w:val="32"/>
          <w:lang w:val="en-US" w:eastAsia="zh-CN" w:bidi="ar-SA"/>
        </w:rPr>
        <w:t>万家长。组建家庭教育讲师团，举办</w:t>
      </w:r>
      <w:r>
        <w:rPr>
          <w:rFonts w:hint="eastAsia" w:ascii="Times New Roman" w:hAnsi="Times New Roman" w:eastAsia="仿宋_GB2312" w:cs="仿宋_GB2312"/>
          <w:color w:val="auto"/>
          <w:spacing w:val="0"/>
          <w:kern w:val="2"/>
          <w:sz w:val="32"/>
          <w:szCs w:val="32"/>
          <w:lang w:val="en-US" w:eastAsia="zh-CN" w:bidi="ar-SA"/>
        </w:rPr>
        <w:t>10</w:t>
      </w:r>
      <w:r>
        <w:rPr>
          <w:rFonts w:hint="eastAsia" w:ascii="仿宋_GB2312" w:hAnsi="仿宋_GB2312" w:eastAsia="仿宋_GB2312" w:cs="仿宋_GB2312"/>
          <w:color w:val="auto"/>
          <w:spacing w:val="0"/>
          <w:kern w:val="2"/>
          <w:sz w:val="32"/>
          <w:szCs w:val="32"/>
          <w:lang w:val="en-US" w:eastAsia="zh-CN" w:bidi="ar-SA"/>
        </w:rPr>
        <w:t>期宣讲活动，服务家长和教师超</w:t>
      </w:r>
      <w:r>
        <w:rPr>
          <w:rFonts w:hint="eastAsia" w:ascii="Times New Roman" w:hAnsi="Times New Roman" w:eastAsia="仿宋_GB2312" w:cs="仿宋_GB2312"/>
          <w:color w:val="auto"/>
          <w:spacing w:val="0"/>
          <w:kern w:val="2"/>
          <w:sz w:val="32"/>
          <w:szCs w:val="32"/>
          <w:lang w:val="en-US" w:eastAsia="zh-CN" w:bidi="ar-SA"/>
        </w:rPr>
        <w:t>5000</w:t>
      </w:r>
      <w:r>
        <w:rPr>
          <w:rFonts w:hint="eastAsia" w:ascii="仿宋_GB2312" w:hAnsi="仿宋_GB2312" w:eastAsia="仿宋_GB2312" w:cs="仿宋_GB2312"/>
          <w:color w:val="auto"/>
          <w:spacing w:val="0"/>
          <w:kern w:val="2"/>
          <w:sz w:val="32"/>
          <w:szCs w:val="32"/>
          <w:lang w:val="en-US" w:eastAsia="zh-CN" w:bidi="ar-SA"/>
        </w:rPr>
        <w:t>人。加快推进教联体建设。</w:t>
      </w:r>
    </w:p>
    <w:p w14:paraId="2338BCD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left"/>
        <w:textAlignment w:val="auto"/>
        <w:rPr>
          <w:rFonts w:hint="eastAsia" w:ascii="黑体" w:hAnsi="黑体" w:eastAsia="黑体" w:cs="黑体"/>
          <w:b w:val="0"/>
          <w:bCs w:val="0"/>
          <w:color w:val="auto"/>
          <w:spacing w:val="0"/>
          <w:kern w:val="2"/>
          <w:sz w:val="32"/>
          <w:szCs w:val="32"/>
          <w:lang w:val="en-US" w:eastAsia="zh-CN"/>
        </w:rPr>
      </w:pPr>
      <w:r>
        <w:rPr>
          <w:rFonts w:hint="eastAsia" w:ascii="黑体" w:hAnsi="黑体" w:eastAsia="黑体" w:cs="黑体"/>
          <w:b w:val="0"/>
          <w:bCs w:val="0"/>
          <w:color w:val="auto"/>
          <w:spacing w:val="0"/>
          <w:kern w:val="2"/>
          <w:sz w:val="32"/>
          <w:szCs w:val="32"/>
          <w:lang w:val="en-US" w:eastAsia="zh-CN"/>
        </w:rPr>
        <w:t>四、存在不足</w:t>
      </w:r>
    </w:p>
    <w:p w14:paraId="2FB96C90">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0" w:leftChars="0" w:right="0" w:rightChars="0" w:firstLine="632" w:firstLineChars="200"/>
        <w:jc w:val="both"/>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仿宋_GB2312" w:hAnsi="仿宋_GB2312" w:eastAsia="仿宋_GB2312" w:cs="仿宋_GB2312"/>
          <w:color w:val="auto"/>
          <w:spacing w:val="0"/>
          <w:kern w:val="2"/>
          <w:sz w:val="32"/>
          <w:szCs w:val="32"/>
          <w:lang w:val="en-US" w:eastAsia="zh-CN"/>
        </w:rPr>
        <w:t>尽管我区在创建“全国义务教育优质均衡发展区”的工作上取得较大成效，全区义务教育整体水平得到较大提升，但从高标准要求来看，仍存在着一定差距，具体如下：</w:t>
      </w:r>
    </w:p>
    <w:p w14:paraId="60DA70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（一）人口持续流入，学位供给压力依然存在。</w:t>
      </w:r>
      <w:r>
        <w:rPr>
          <w:rFonts w:hint="eastAsia" w:ascii="仿宋_GB2312" w:hAnsi="仿宋_GB2312" w:eastAsia="仿宋_GB2312" w:cs="仿宋_GB2312"/>
          <w:color w:val="auto"/>
          <w:spacing w:val="0"/>
          <w:kern w:val="2"/>
          <w:sz w:val="32"/>
          <w:szCs w:val="32"/>
          <w:lang w:val="en-US" w:eastAsia="zh-CN"/>
        </w:rPr>
        <w:t>虽然我区目前总体学位能满足学位需求，但由于增城区正处于经济社会高速发展期，人口持续流入，适龄儿童入学规模持续增长，个别片区学位仍然相对紧缺。需持续加快推进学校规划建设，进一步完善学位调控机制，以消解潜在的学位压力。</w:t>
      </w:r>
    </w:p>
    <w:p w14:paraId="173C22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lang w:val="en-US" w:eastAsia="zh-CN"/>
        </w:rPr>
      </w:pPr>
      <w:r>
        <w:rPr>
          <w:rFonts w:hint="eastAsia" w:ascii="楷体_GB2312" w:hAnsi="楷体_GB2312" w:eastAsia="楷体_GB2312" w:cs="楷体_GB2312"/>
          <w:color w:val="auto"/>
          <w:spacing w:val="0"/>
          <w:kern w:val="2"/>
          <w:sz w:val="32"/>
          <w:szCs w:val="32"/>
          <w:lang w:val="en-US" w:eastAsia="zh-CN"/>
        </w:rPr>
        <w:t>（二）师资结构待优化，教师总体水平待提升。</w:t>
      </w:r>
      <w:r>
        <w:rPr>
          <w:rFonts w:hint="eastAsia" w:ascii="仿宋_GB2312" w:hAnsi="仿宋_GB2312" w:eastAsia="仿宋_GB2312" w:cs="仿宋_GB2312"/>
          <w:color w:val="auto"/>
          <w:spacing w:val="0"/>
          <w:kern w:val="2"/>
          <w:sz w:val="32"/>
          <w:szCs w:val="32"/>
          <w:lang w:val="en-US" w:eastAsia="zh-CN"/>
        </w:rPr>
        <w:t>近年来增城区在校生规模快速增长，对教师队伍的质量要求也不断提高，但教师年龄结构偏大、学历结构不够合理、教师整体教育教学水平和科研能力有待提升等问题仍然存在，需进一步完善教师专业技能培训、教学能力提升、教师保障激励等建设机制。</w:t>
      </w:r>
    </w:p>
    <w:p w14:paraId="0486591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left"/>
        <w:textAlignment w:val="auto"/>
        <w:rPr>
          <w:rFonts w:hint="eastAsia" w:ascii="黑体" w:hAnsi="黑体" w:eastAsia="黑体" w:cs="黑体"/>
          <w:b w:val="0"/>
          <w:bCs w:val="0"/>
          <w:color w:val="auto"/>
          <w:spacing w:val="0"/>
          <w:kern w:val="2"/>
          <w:sz w:val="32"/>
          <w:szCs w:val="32"/>
          <w:lang w:val="en-US" w:eastAsia="zh-CN"/>
        </w:rPr>
      </w:pPr>
      <w:r>
        <w:rPr>
          <w:rFonts w:hint="eastAsia" w:ascii="黑体" w:hAnsi="黑体" w:eastAsia="黑体" w:cs="黑体"/>
          <w:b w:val="0"/>
          <w:bCs w:val="0"/>
          <w:color w:val="auto"/>
          <w:spacing w:val="0"/>
          <w:kern w:val="2"/>
          <w:sz w:val="32"/>
          <w:szCs w:val="32"/>
          <w:lang w:val="en-US" w:eastAsia="zh-CN"/>
        </w:rPr>
        <w:t>五、下一步提升计划</w:t>
      </w:r>
    </w:p>
    <w:p w14:paraId="27A25A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仿宋_GB2312" w:hAnsi="仿宋_GB2312" w:eastAsia="仿宋_GB2312" w:cs="仿宋_GB2312"/>
          <w:color w:val="auto"/>
          <w:spacing w:val="0"/>
          <w:kern w:val="2"/>
          <w:sz w:val="32"/>
          <w:szCs w:val="32"/>
          <w:lang w:val="en-US" w:eastAsia="zh-CN"/>
        </w:rPr>
        <w:t>下阶段，我区将以党的二十大和二十届二中、三中全会精神为统领，以全国教育大会精神为指引，</w:t>
      </w:r>
      <w:bookmarkStart w:id="5" w:name="OLE_LINK9"/>
      <w:r>
        <w:rPr>
          <w:rFonts w:hint="eastAsia" w:ascii="仿宋_GB2312" w:hAnsi="仿宋_GB2312" w:eastAsia="仿宋_GB2312" w:cs="仿宋_GB2312"/>
          <w:color w:val="auto"/>
          <w:spacing w:val="0"/>
          <w:kern w:val="2"/>
          <w:sz w:val="32"/>
          <w:szCs w:val="32"/>
          <w:lang w:val="en-US" w:eastAsia="zh-CN"/>
        </w:rPr>
        <w:t>深入贯彻落实教育强国战略和</w:t>
      </w:r>
      <w:bookmarkEnd w:id="5"/>
      <w:r>
        <w:rPr>
          <w:rFonts w:hint="eastAsia" w:ascii="仿宋_GB2312" w:hAnsi="仿宋_GB2312" w:eastAsia="仿宋_GB2312" w:cs="仿宋_GB2312"/>
          <w:color w:val="auto"/>
          <w:spacing w:val="0"/>
          <w:kern w:val="2"/>
          <w:sz w:val="32"/>
          <w:szCs w:val="32"/>
          <w:lang w:val="en-US" w:eastAsia="zh-CN"/>
        </w:rPr>
        <w:t>《教育强国建设规划纲要（</w:t>
      </w:r>
      <w:r>
        <w:rPr>
          <w:rFonts w:hint="eastAsia" w:ascii="Times New Roman" w:hAnsi="Times New Roman" w:eastAsia="仿宋_GB2312" w:cs="仿宋_GB2312"/>
          <w:color w:val="auto"/>
          <w:spacing w:val="0"/>
          <w:kern w:val="2"/>
          <w:sz w:val="32"/>
          <w:szCs w:val="32"/>
          <w:lang w:val="en-US" w:eastAsia="zh-CN"/>
        </w:rPr>
        <w:t>2024</w:t>
      </w:r>
      <w:r>
        <w:rPr>
          <w:rFonts w:hint="eastAsia" w:ascii="仿宋_GB2312" w:hAnsi="仿宋_GB2312" w:eastAsia="仿宋_GB2312" w:cs="仿宋_GB2312"/>
          <w:color w:val="auto"/>
          <w:spacing w:val="0"/>
          <w:kern w:val="2"/>
          <w:sz w:val="32"/>
          <w:szCs w:val="32"/>
          <w:lang w:val="en-US" w:eastAsia="zh-CN"/>
        </w:rPr>
        <w:t>—</w:t>
      </w:r>
      <w:r>
        <w:rPr>
          <w:rFonts w:hint="eastAsia" w:ascii="Times New Roman" w:hAnsi="Times New Roman" w:eastAsia="仿宋_GB2312" w:cs="仿宋_GB2312"/>
          <w:color w:val="auto"/>
          <w:spacing w:val="0"/>
          <w:kern w:val="2"/>
          <w:sz w:val="32"/>
          <w:szCs w:val="32"/>
          <w:lang w:val="en-US" w:eastAsia="zh-CN"/>
        </w:rPr>
        <w:t>2035</w:t>
      </w:r>
      <w:r>
        <w:rPr>
          <w:rFonts w:hint="eastAsia" w:ascii="仿宋_GB2312" w:hAnsi="仿宋_GB2312" w:eastAsia="仿宋_GB2312" w:cs="仿宋_GB2312"/>
          <w:color w:val="auto"/>
          <w:spacing w:val="0"/>
          <w:kern w:val="2"/>
          <w:sz w:val="32"/>
          <w:szCs w:val="32"/>
          <w:lang w:val="en-US" w:eastAsia="zh-CN"/>
        </w:rPr>
        <w:t>年）》要求，以创建全国义务教育优质均衡区为契机，始终把教育放在优先发展的战略位置，不断加强投入保障，积极主动作为，</w:t>
      </w:r>
      <w:r>
        <w:rPr>
          <w:rFonts w:hint="eastAsia" w:ascii="仿宋_GB2312" w:hAnsi="仿宋_GB2312" w:eastAsia="仿宋_GB2312" w:cs="仿宋_GB2312"/>
          <w:b w:val="0"/>
          <w:bCs w:val="0"/>
          <w:color w:val="auto"/>
          <w:spacing w:val="0"/>
          <w:kern w:val="2"/>
          <w:sz w:val="32"/>
          <w:szCs w:val="32"/>
          <w:highlight w:val="none"/>
          <w:shd w:val="clear" w:color="auto" w:fill="FFFFFF"/>
          <w:lang w:val="en-US" w:eastAsia="zh-CN" w:bidi="ar-SA"/>
        </w:rPr>
        <w:t>奋力书写让人民满意、与区域战略地位相匹配的高质量教育答卷。</w:t>
      </w:r>
    </w:p>
    <w:p w14:paraId="60A220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（一）强化党的领导，把稳教育发展方向。</w:t>
      </w:r>
      <w:r>
        <w:rPr>
          <w:rFonts w:hint="eastAsia" w:ascii="仿宋_GB2312" w:hAnsi="仿宋_GB2312" w:eastAsia="仿宋_GB2312" w:cs="仿宋_GB2312"/>
          <w:color w:val="auto"/>
          <w:spacing w:val="0"/>
          <w:kern w:val="2"/>
          <w:sz w:val="32"/>
          <w:szCs w:val="32"/>
          <w:lang w:val="en-US" w:eastAsia="zh-CN"/>
        </w:rPr>
        <w:t>坚持党对教育工作的全面领导，完善党建工作与业务工作同谋划、同部署、同考核机制，深化党组织领导的校长负责制改革，强化基层党组织政治功能和组织功能，推动党建工作与教育教学深度融合，相互促进。</w:t>
      </w:r>
    </w:p>
    <w:p w14:paraId="5CA5BD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（二）优化资源布局，扩大优质学位供给。</w:t>
      </w:r>
      <w:r>
        <w:rPr>
          <w:rFonts w:hint="eastAsia" w:ascii="仿宋_GB2312" w:hAnsi="仿宋_GB2312" w:eastAsia="仿宋_GB2312" w:cs="仿宋_GB2312"/>
          <w:color w:val="auto"/>
          <w:spacing w:val="0"/>
          <w:kern w:val="2"/>
          <w:sz w:val="32"/>
          <w:szCs w:val="32"/>
          <w:lang w:val="en-US" w:eastAsia="zh-CN"/>
        </w:rPr>
        <w:t>加强教育人口流动动态监测，提前研判学位需求，科学编制“十五五”教育专项规划，有序调整学校布局，优化教育资源配置。</w:t>
      </w:r>
      <w:r>
        <w:rPr>
          <w:rFonts w:hint="eastAsia" w:ascii="仿宋_GB2312" w:hAnsi="仿宋_GB2312" w:eastAsia="仿宋_GB2312" w:cs="仿宋_GB2312"/>
          <w:color w:val="auto"/>
          <w:spacing w:val="0"/>
          <w:kern w:val="2"/>
          <w:sz w:val="32"/>
          <w:szCs w:val="40"/>
        </w:rPr>
        <w:t>通过开发小区、旧改项目配建学校增加初中与小学学位，辅以政府投资建设高中项目解决高中与初中学位，进一步推动教育资源布局与人口流动、城镇化进程动态适配。</w:t>
      </w:r>
      <w:r>
        <w:rPr>
          <w:rFonts w:hint="eastAsia" w:ascii="仿宋_GB2312" w:hAnsi="仿宋_GB2312" w:eastAsia="仿宋_GB2312" w:cs="仿宋_GB2312"/>
          <w:color w:val="auto"/>
          <w:spacing w:val="0"/>
          <w:kern w:val="2"/>
          <w:sz w:val="32"/>
          <w:szCs w:val="32"/>
          <w:lang w:val="en-US" w:eastAsia="zh-CN"/>
        </w:rPr>
        <w:t>深入实施集团化办学，优化教育资源调配机制，持续改善办学条件，切实保障学位供给，促进教育资源优质均衡配置。</w:t>
      </w:r>
    </w:p>
    <w:p w14:paraId="203920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（三）加强队伍建设，激发教师队伍活力。</w:t>
      </w:r>
      <w:r>
        <w:rPr>
          <w:rFonts w:hint="eastAsia" w:ascii="仿宋_GB2312" w:hAnsi="仿宋_GB2312" w:eastAsia="仿宋_GB2312" w:cs="仿宋_GB2312"/>
          <w:color w:val="auto"/>
          <w:spacing w:val="0"/>
          <w:kern w:val="2"/>
          <w:sz w:val="32"/>
          <w:szCs w:val="32"/>
          <w:lang w:val="en-US" w:eastAsia="zh-CN"/>
        </w:rPr>
        <w:t>坚持师德师风第一标准，加强教育家精神引领。加大教师招聘和培养力度，提升教师专业素养，深化教师管理制度改革，完善教师交流轮岗机制，建设高素质专业化教师队伍。</w:t>
      </w:r>
    </w:p>
    <w:p w14:paraId="0823D0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（四）深化综合改革，提升教育教学质量。</w:t>
      </w:r>
      <w:r>
        <w:rPr>
          <w:rFonts w:hint="eastAsia" w:ascii="仿宋_GB2312" w:hAnsi="仿宋_GB2312" w:eastAsia="仿宋_GB2312" w:cs="仿宋_GB2312"/>
          <w:color w:val="auto"/>
          <w:spacing w:val="0"/>
          <w:kern w:val="2"/>
          <w:sz w:val="32"/>
          <w:szCs w:val="32"/>
          <w:lang w:val="en-US" w:eastAsia="zh-CN"/>
        </w:rPr>
        <w:t>完善教育质量监测评价体系，深化教育教学改革，推进“教研培评”一体化，加强校际帮扶合作，促进信息技术与教育教学深度融合，全面提升育人质量。</w:t>
      </w:r>
    </w:p>
    <w:p w14:paraId="6FBAEE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right="0" w:rightChars="0" w:firstLine="632" w:firstLineChars="200"/>
        <w:jc w:val="left"/>
        <w:textAlignment w:val="auto"/>
        <w:outlineLvl w:val="9"/>
        <w:rPr>
          <w:rFonts w:hint="eastAsia" w:ascii="仿宋_GB2312" w:hAnsi="仿宋_GB2312" w:eastAsia="仿宋_GB2312" w:cs="仿宋_GB2312"/>
          <w:color w:val="auto"/>
          <w:spacing w:val="0"/>
          <w:kern w:val="2"/>
          <w:sz w:val="32"/>
          <w:szCs w:val="32"/>
          <w:lang w:val="en-US" w:eastAsia="zh-CN"/>
        </w:rPr>
      </w:pPr>
      <w:r>
        <w:rPr>
          <w:rFonts w:hint="eastAsia" w:ascii="楷体_GB2312" w:hAnsi="楷体_GB2312" w:eastAsia="楷体_GB2312" w:cs="楷体_GB2312"/>
          <w:color w:val="auto"/>
          <w:spacing w:val="0"/>
          <w:kern w:val="2"/>
          <w:sz w:val="32"/>
          <w:szCs w:val="32"/>
          <w:lang w:val="en-US" w:eastAsia="zh-CN"/>
        </w:rPr>
        <w:t>（五）筑牢安全底线，营造良好育人环境。</w:t>
      </w:r>
      <w:r>
        <w:rPr>
          <w:rFonts w:hint="eastAsia" w:ascii="仿宋_GB2312" w:hAnsi="仿宋_GB2312" w:eastAsia="仿宋_GB2312" w:cs="仿宋_GB2312"/>
          <w:color w:val="auto"/>
          <w:spacing w:val="0"/>
          <w:kern w:val="2"/>
          <w:sz w:val="32"/>
          <w:szCs w:val="32"/>
          <w:lang w:val="en-US" w:eastAsia="zh-CN"/>
        </w:rPr>
        <w:t>健全校园安全风险防控体系，强化安全教育与管理，</w:t>
      </w:r>
      <w:r>
        <w:rPr>
          <w:rFonts w:hint="eastAsia" w:ascii="仿宋_GB2312" w:hAnsi="仿宋_GB2312" w:eastAsia="仿宋_GB2312" w:cs="仿宋_GB2312"/>
          <w:b w:val="0"/>
          <w:bCs/>
          <w:color w:val="auto"/>
          <w:spacing w:val="0"/>
          <w:kern w:val="2"/>
          <w:sz w:val="32"/>
          <w:szCs w:val="32"/>
          <w:lang w:val="en-US" w:eastAsia="zh-CN"/>
        </w:rPr>
        <w:t>提升校园安全人防、物防、技防水平，</w:t>
      </w:r>
      <w:r>
        <w:rPr>
          <w:rFonts w:hint="eastAsia" w:ascii="仿宋_GB2312" w:hAnsi="仿宋_GB2312" w:eastAsia="仿宋_GB2312" w:cs="仿宋_GB2312"/>
          <w:color w:val="auto"/>
          <w:spacing w:val="0"/>
          <w:kern w:val="2"/>
          <w:sz w:val="32"/>
          <w:szCs w:val="32"/>
          <w:lang w:val="en-US" w:eastAsia="zh-CN"/>
        </w:rPr>
        <w:t>深化家校社协同育人，营造安全稳定的教育发展环境。</w:t>
      </w:r>
    </w:p>
    <w:p w14:paraId="17818FF5">
      <w:pPr>
        <w:pStyle w:val="2"/>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color w:val="auto"/>
          <w:spacing w:val="0"/>
          <w:kern w:val="2"/>
          <w:sz w:val="32"/>
          <w:szCs w:val="32"/>
          <w:lang w:val="en-US" w:eastAsia="zh-CN"/>
        </w:rPr>
      </w:pPr>
    </w:p>
    <w:p w14:paraId="130C3B79">
      <w:pPr>
        <w:keepNext w:val="0"/>
        <w:keepLines w:val="0"/>
        <w:pageBreakBefore w:val="0"/>
        <w:widowControl w:val="0"/>
        <w:kinsoku/>
        <w:wordWrap/>
        <w:overflowPunct/>
        <w:topLinePunct w:val="0"/>
        <w:autoSpaceDN/>
        <w:bidi w:val="0"/>
        <w:spacing w:line="570" w:lineRule="exact"/>
        <w:ind w:firstLine="632" w:firstLineChars="200"/>
        <w:textAlignment w:val="auto"/>
        <w:rPr>
          <w:rFonts w:hint="eastAsia" w:ascii="仿宋_GB2312" w:hAnsi="仿宋_GB2312" w:eastAsia="仿宋_GB2312" w:cs="仿宋_GB2312"/>
          <w:color w:val="auto"/>
          <w:spacing w:val="0"/>
          <w:kern w:val="2"/>
          <w:sz w:val="32"/>
          <w:szCs w:val="32"/>
          <w:lang w:val="en-US" w:eastAsia="zh-CN"/>
        </w:rPr>
      </w:pPr>
      <w:r>
        <w:rPr>
          <w:rFonts w:hint="eastAsia" w:ascii="仿宋_GB2312" w:hAnsi="仿宋_GB2312" w:eastAsia="仿宋_GB2312" w:cs="仿宋_GB2312"/>
          <w:color w:val="auto"/>
          <w:spacing w:val="0"/>
          <w:kern w:val="2"/>
          <w:sz w:val="32"/>
          <w:szCs w:val="32"/>
          <w:lang w:val="en-US" w:eastAsia="zh-CN"/>
        </w:rPr>
        <w:t>附件：全国义务教育优质均衡发展县（市、区）申报表</w:t>
      </w:r>
    </w:p>
    <w:p w14:paraId="0DE6073C">
      <w:pPr>
        <w:keepNext w:val="0"/>
        <w:keepLines w:val="0"/>
        <w:pageBreakBefore w:val="0"/>
        <w:widowControl w:val="0"/>
        <w:kinsoku/>
        <w:wordWrap/>
        <w:overflowPunct/>
        <w:topLinePunct w:val="0"/>
        <w:autoSpaceDN/>
        <w:bidi w:val="0"/>
        <w:spacing w:line="57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color w:val="auto"/>
          <w:spacing w:val="0"/>
          <w:kern w:val="2"/>
          <w:sz w:val="32"/>
          <w:szCs w:val="32"/>
          <w:lang w:val="en-US" w:eastAsia="zh-CN"/>
        </w:rPr>
        <w:t xml:space="preserve"> </w:t>
      </w:r>
      <w:r>
        <w:rPr>
          <w:rFonts w:hint="eastAsia" w:ascii="仿宋_GB2312" w:hAnsi="仿宋_GB2312" w:eastAsia="仿宋_GB2312" w:cs="仿宋_GB2312"/>
          <w:color w:val="auto"/>
          <w:spacing w:val="11"/>
          <w:kern w:val="2"/>
          <w:sz w:val="32"/>
          <w:szCs w:val="32"/>
          <w:lang w:val="en-US" w:eastAsia="zh-CN"/>
        </w:rPr>
        <w:t xml:space="preserve"> </w:t>
      </w:r>
    </w:p>
    <w:p w14:paraId="73AAA08D">
      <w:pPr>
        <w:widowControl/>
        <w:rPr>
          <w:rFonts w:hint="eastAsia" w:ascii="仿宋_GB2312" w:hAnsi="仿宋_GB2312" w:eastAsia="仿宋_GB2312" w:cs="仿宋_GB2312"/>
          <w:kern w:val="0"/>
          <w:sz w:val="32"/>
          <w:szCs w:val="32"/>
          <w:lang w:val="en-US" w:eastAsia="zh-CN"/>
        </w:rPr>
        <w:sectPr>
          <w:footerReference r:id="rId4" w:type="default"/>
          <w:footerReference r:id="rId5" w:type="even"/>
          <w:pgSz w:w="11906" w:h="16838"/>
          <w:pgMar w:top="2098" w:right="1474" w:bottom="1984" w:left="1587" w:header="851" w:footer="1757" w:gutter="0"/>
          <w:pgBorders>
            <w:top w:val="none" w:sz="0" w:space="0"/>
            <w:left w:val="none" w:sz="0" w:space="0"/>
            <w:bottom w:val="none" w:sz="0" w:space="0"/>
            <w:right w:val="none" w:sz="0" w:space="0"/>
          </w:pgBorders>
          <w:pgNumType w:fmt="decimal"/>
          <w:cols w:space="0" w:num="1"/>
          <w:titlePg/>
          <w:rtlGutter w:val="0"/>
          <w:docGrid w:type="linesAndChars" w:linePitch="579" w:charSpace="-842"/>
        </w:sectPr>
      </w:pPr>
    </w:p>
    <w:tbl>
      <w:tblPr>
        <w:tblStyle w:val="7"/>
        <w:tblW w:w="15048" w:type="dxa"/>
        <w:jc w:val="center"/>
        <w:tblLayout w:type="fixed"/>
        <w:tblCellMar>
          <w:top w:w="0" w:type="dxa"/>
          <w:left w:w="108" w:type="dxa"/>
          <w:bottom w:w="0" w:type="dxa"/>
          <w:right w:w="108" w:type="dxa"/>
        </w:tblCellMar>
      </w:tblPr>
      <w:tblGrid>
        <w:gridCol w:w="528"/>
        <w:gridCol w:w="640"/>
        <w:gridCol w:w="432"/>
        <w:gridCol w:w="86"/>
        <w:gridCol w:w="38"/>
        <w:gridCol w:w="580"/>
        <w:gridCol w:w="18"/>
        <w:gridCol w:w="601"/>
        <w:gridCol w:w="623"/>
        <w:gridCol w:w="619"/>
        <w:gridCol w:w="624"/>
        <w:gridCol w:w="619"/>
        <w:gridCol w:w="272"/>
        <w:gridCol w:w="259"/>
        <w:gridCol w:w="22"/>
        <w:gridCol w:w="539"/>
        <w:gridCol w:w="14"/>
        <w:gridCol w:w="547"/>
        <w:gridCol w:w="6"/>
        <w:gridCol w:w="555"/>
        <w:gridCol w:w="618"/>
        <w:gridCol w:w="74"/>
        <w:gridCol w:w="811"/>
        <w:gridCol w:w="540"/>
        <w:gridCol w:w="724"/>
        <w:gridCol w:w="650"/>
        <w:gridCol w:w="490"/>
        <w:gridCol w:w="617"/>
        <w:gridCol w:w="578"/>
        <w:gridCol w:w="561"/>
        <w:gridCol w:w="592"/>
        <w:gridCol w:w="561"/>
        <w:gridCol w:w="562"/>
        <w:gridCol w:w="48"/>
      </w:tblGrid>
      <w:tr w14:paraId="5D6E9526">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7CBA4DB5">
            <w:pPr>
              <w:pStyle w:val="2"/>
              <w:rPr>
                <w:rFonts w:hint="eastAsia" w:ascii="仿宋_GB2312" w:hAnsi="仿宋_GB2312" w:eastAsia="仿宋_GB2312" w:cs="仿宋_GB2312"/>
                <w:lang w:val="en-US" w:eastAsia="zh-CN"/>
              </w:rPr>
            </w:pPr>
            <w:r>
              <w:rPr>
                <w:rFonts w:hint="eastAsia" w:ascii="黑体" w:hAnsi="黑体" w:eastAsia="黑体" w:cs="黑体"/>
                <w:b w:val="0"/>
                <w:bCs w:val="0"/>
                <w:lang w:val="en-US" w:eastAsia="zh-CN"/>
              </w:rPr>
              <w:t>附件</w:t>
            </w:r>
          </w:p>
        </w:tc>
        <w:tc>
          <w:tcPr>
            <w:tcW w:w="4080" w:type="dxa"/>
            <w:gridSpan w:val="10"/>
            <w:tcBorders>
              <w:top w:val="nil"/>
              <w:left w:val="nil"/>
              <w:bottom w:val="nil"/>
              <w:right w:val="nil"/>
            </w:tcBorders>
            <w:noWrap w:val="0"/>
            <w:vAlign w:val="center"/>
          </w:tcPr>
          <w:p w14:paraId="205378D4">
            <w:pPr>
              <w:widowControl/>
              <w:jc w:val="left"/>
              <w:rPr>
                <w:rFonts w:hint="eastAsia" w:ascii="仿宋_GB2312" w:hAnsi="仿宋_GB2312" w:eastAsia="仿宋_GB2312" w:cs="仿宋_GB2312"/>
                <w:kern w:val="0"/>
                <w:sz w:val="24"/>
                <w:szCs w:val="24"/>
              </w:rPr>
            </w:pPr>
          </w:p>
        </w:tc>
        <w:tc>
          <w:tcPr>
            <w:tcW w:w="2560" w:type="dxa"/>
            <w:gridSpan w:val="8"/>
            <w:tcBorders>
              <w:top w:val="nil"/>
              <w:left w:val="nil"/>
              <w:bottom w:val="nil"/>
              <w:right w:val="nil"/>
            </w:tcBorders>
            <w:noWrap w:val="0"/>
            <w:vAlign w:val="center"/>
          </w:tcPr>
          <w:p w14:paraId="60855648">
            <w:pPr>
              <w:widowControl/>
              <w:jc w:val="left"/>
              <w:rPr>
                <w:rFonts w:hint="eastAsia" w:ascii="仿宋_GB2312" w:hAnsi="仿宋_GB2312" w:eastAsia="仿宋_GB2312" w:cs="仿宋_GB2312"/>
                <w:kern w:val="0"/>
                <w:sz w:val="24"/>
                <w:szCs w:val="24"/>
              </w:rPr>
            </w:pPr>
          </w:p>
        </w:tc>
        <w:tc>
          <w:tcPr>
            <w:tcW w:w="6808" w:type="dxa"/>
            <w:gridSpan w:val="13"/>
            <w:tcBorders>
              <w:top w:val="nil"/>
              <w:left w:val="nil"/>
              <w:bottom w:val="nil"/>
              <w:right w:val="nil"/>
            </w:tcBorders>
            <w:noWrap w:val="0"/>
            <w:vAlign w:val="center"/>
          </w:tcPr>
          <w:p w14:paraId="73188F8C">
            <w:pPr>
              <w:widowControl/>
              <w:jc w:val="left"/>
              <w:rPr>
                <w:rFonts w:hint="eastAsia" w:ascii="仿宋_GB2312" w:hAnsi="仿宋_GB2312" w:eastAsia="仿宋_GB2312" w:cs="仿宋_GB2312"/>
                <w:kern w:val="0"/>
                <w:sz w:val="24"/>
                <w:szCs w:val="24"/>
              </w:rPr>
            </w:pPr>
          </w:p>
        </w:tc>
      </w:tr>
      <w:tr w14:paraId="2FF7CC3E">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5F125D2D">
            <w:pPr>
              <w:widowControl/>
              <w:rPr>
                <w:rFonts w:hint="eastAsia" w:ascii="仿宋_GB2312" w:hAnsi="仿宋_GB2312" w:eastAsia="仿宋_GB2312" w:cs="仿宋_GB2312"/>
                <w:kern w:val="0"/>
                <w:sz w:val="32"/>
                <w:szCs w:val="32"/>
              </w:rPr>
            </w:pPr>
          </w:p>
        </w:tc>
        <w:tc>
          <w:tcPr>
            <w:tcW w:w="4080" w:type="dxa"/>
            <w:gridSpan w:val="10"/>
            <w:tcBorders>
              <w:top w:val="nil"/>
              <w:left w:val="nil"/>
              <w:bottom w:val="nil"/>
              <w:right w:val="nil"/>
            </w:tcBorders>
            <w:noWrap w:val="0"/>
            <w:vAlign w:val="center"/>
          </w:tcPr>
          <w:p w14:paraId="12777BF6">
            <w:pPr>
              <w:widowControl/>
              <w:jc w:val="left"/>
              <w:rPr>
                <w:rFonts w:hint="eastAsia" w:ascii="仿宋_GB2312" w:hAnsi="仿宋_GB2312" w:eastAsia="仿宋_GB2312" w:cs="仿宋_GB2312"/>
                <w:kern w:val="0"/>
                <w:sz w:val="24"/>
                <w:szCs w:val="24"/>
              </w:rPr>
            </w:pPr>
          </w:p>
        </w:tc>
        <w:tc>
          <w:tcPr>
            <w:tcW w:w="2560" w:type="dxa"/>
            <w:gridSpan w:val="8"/>
            <w:tcBorders>
              <w:top w:val="nil"/>
              <w:left w:val="nil"/>
              <w:bottom w:val="nil"/>
              <w:right w:val="nil"/>
            </w:tcBorders>
            <w:noWrap w:val="0"/>
            <w:vAlign w:val="center"/>
          </w:tcPr>
          <w:p w14:paraId="75B04C97">
            <w:pPr>
              <w:widowControl/>
              <w:jc w:val="left"/>
              <w:rPr>
                <w:rFonts w:hint="eastAsia" w:ascii="仿宋_GB2312" w:hAnsi="仿宋_GB2312" w:eastAsia="仿宋_GB2312" w:cs="仿宋_GB2312"/>
                <w:kern w:val="0"/>
                <w:sz w:val="24"/>
                <w:szCs w:val="24"/>
              </w:rPr>
            </w:pPr>
          </w:p>
        </w:tc>
        <w:tc>
          <w:tcPr>
            <w:tcW w:w="6808" w:type="dxa"/>
            <w:gridSpan w:val="13"/>
            <w:tcBorders>
              <w:top w:val="nil"/>
              <w:left w:val="nil"/>
              <w:bottom w:val="nil"/>
              <w:right w:val="nil"/>
            </w:tcBorders>
            <w:noWrap w:val="0"/>
            <w:vAlign w:val="center"/>
          </w:tcPr>
          <w:p w14:paraId="58A0B5AB">
            <w:pPr>
              <w:widowControl/>
              <w:jc w:val="left"/>
              <w:rPr>
                <w:rFonts w:hint="eastAsia" w:ascii="仿宋_GB2312" w:hAnsi="仿宋_GB2312" w:eastAsia="仿宋_GB2312" w:cs="仿宋_GB2312"/>
                <w:kern w:val="0"/>
                <w:sz w:val="24"/>
                <w:szCs w:val="24"/>
              </w:rPr>
            </w:pPr>
          </w:p>
        </w:tc>
      </w:tr>
      <w:tr w14:paraId="0333CAE8">
        <w:tblPrEx>
          <w:tblCellMar>
            <w:top w:w="0" w:type="dxa"/>
            <w:left w:w="108" w:type="dxa"/>
            <w:bottom w:w="0" w:type="dxa"/>
            <w:right w:w="108" w:type="dxa"/>
          </w:tblCellMar>
        </w:tblPrEx>
        <w:trPr>
          <w:trHeight w:val="705" w:hRule="atLeast"/>
          <w:jc w:val="center"/>
        </w:trPr>
        <w:tc>
          <w:tcPr>
            <w:tcW w:w="15048" w:type="dxa"/>
            <w:gridSpan w:val="34"/>
            <w:tcBorders>
              <w:top w:val="nil"/>
              <w:left w:val="nil"/>
              <w:bottom w:val="nil"/>
              <w:right w:val="nil"/>
            </w:tcBorders>
            <w:noWrap w:val="0"/>
            <w:vAlign w:val="center"/>
          </w:tcPr>
          <w:p w14:paraId="2B623D3E">
            <w:pPr>
              <w:widowControl/>
              <w:jc w:val="center"/>
              <w:rPr>
                <w:rFonts w:hint="eastAsia" w:ascii="方正小标宋简体" w:hAnsi="方正小标宋简体" w:eastAsia="方正小标宋简体" w:cs="方正小标宋简体"/>
                <w:b w:val="0"/>
                <w:bCs w:val="0"/>
                <w:kern w:val="0"/>
                <w:sz w:val="56"/>
                <w:szCs w:val="56"/>
              </w:rPr>
            </w:pPr>
            <w:r>
              <w:rPr>
                <w:rFonts w:hint="eastAsia" w:ascii="方正小标宋简体" w:hAnsi="方正小标宋简体" w:eastAsia="方正小标宋简体" w:cs="方正小标宋简体"/>
                <w:b w:val="0"/>
                <w:bCs w:val="0"/>
                <w:kern w:val="0"/>
                <w:sz w:val="56"/>
                <w:szCs w:val="56"/>
              </w:rPr>
              <w:t>全国义务教育优质均衡发展县（市、区）申报表</w:t>
            </w:r>
          </w:p>
        </w:tc>
      </w:tr>
      <w:tr w14:paraId="3D2AEF3D">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43012753">
            <w:pPr>
              <w:widowControl/>
              <w:rPr>
                <w:rFonts w:hint="eastAsia" w:ascii="仿宋_GB2312" w:hAnsi="仿宋_GB2312" w:eastAsia="仿宋_GB2312" w:cs="仿宋_GB2312"/>
                <w:kern w:val="0"/>
                <w:sz w:val="32"/>
                <w:szCs w:val="32"/>
              </w:rPr>
            </w:pPr>
          </w:p>
        </w:tc>
        <w:tc>
          <w:tcPr>
            <w:tcW w:w="4080" w:type="dxa"/>
            <w:gridSpan w:val="10"/>
            <w:tcBorders>
              <w:top w:val="nil"/>
              <w:left w:val="nil"/>
              <w:bottom w:val="nil"/>
              <w:right w:val="nil"/>
            </w:tcBorders>
            <w:noWrap w:val="0"/>
            <w:vAlign w:val="center"/>
          </w:tcPr>
          <w:p w14:paraId="4355EED6">
            <w:pPr>
              <w:widowControl/>
              <w:jc w:val="left"/>
              <w:rPr>
                <w:rFonts w:hint="eastAsia"/>
              </w:rPr>
            </w:pPr>
          </w:p>
          <w:p w14:paraId="4B102FE1">
            <w:pPr>
              <w:pStyle w:val="2"/>
              <w:rPr>
                <w:rFonts w:hint="eastAsia"/>
              </w:rPr>
            </w:pPr>
          </w:p>
        </w:tc>
        <w:tc>
          <w:tcPr>
            <w:tcW w:w="2560" w:type="dxa"/>
            <w:gridSpan w:val="8"/>
            <w:tcBorders>
              <w:top w:val="nil"/>
              <w:left w:val="nil"/>
              <w:bottom w:val="nil"/>
              <w:right w:val="nil"/>
            </w:tcBorders>
            <w:noWrap w:val="0"/>
            <w:vAlign w:val="center"/>
          </w:tcPr>
          <w:p w14:paraId="0087A847">
            <w:pPr>
              <w:widowControl/>
              <w:jc w:val="left"/>
              <w:rPr>
                <w:rFonts w:hint="eastAsia" w:ascii="仿宋_GB2312" w:hAnsi="仿宋_GB2312" w:eastAsia="仿宋_GB2312" w:cs="仿宋_GB2312"/>
                <w:kern w:val="0"/>
                <w:sz w:val="24"/>
                <w:szCs w:val="24"/>
              </w:rPr>
            </w:pPr>
          </w:p>
        </w:tc>
        <w:tc>
          <w:tcPr>
            <w:tcW w:w="6808" w:type="dxa"/>
            <w:gridSpan w:val="13"/>
            <w:tcBorders>
              <w:top w:val="nil"/>
              <w:left w:val="nil"/>
              <w:bottom w:val="nil"/>
              <w:right w:val="nil"/>
            </w:tcBorders>
            <w:noWrap w:val="0"/>
            <w:vAlign w:val="center"/>
          </w:tcPr>
          <w:p w14:paraId="2D2053A2">
            <w:pPr>
              <w:widowControl/>
              <w:jc w:val="left"/>
              <w:rPr>
                <w:rFonts w:hint="eastAsia" w:ascii="仿宋_GB2312" w:hAnsi="仿宋_GB2312" w:eastAsia="仿宋_GB2312" w:cs="仿宋_GB2312"/>
                <w:kern w:val="0"/>
                <w:sz w:val="24"/>
                <w:szCs w:val="24"/>
              </w:rPr>
            </w:pPr>
          </w:p>
        </w:tc>
      </w:tr>
      <w:tr w14:paraId="123EEC4E">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78F47819">
            <w:pPr>
              <w:widowControl/>
              <w:jc w:val="left"/>
              <w:rPr>
                <w:rFonts w:hint="eastAsia" w:ascii="仿宋_GB2312" w:hAnsi="仿宋_GB2312" w:eastAsia="仿宋_GB2312" w:cs="仿宋_GB2312"/>
                <w:b/>
                <w:bCs/>
                <w:kern w:val="0"/>
                <w:sz w:val="32"/>
                <w:szCs w:val="32"/>
              </w:rPr>
            </w:pPr>
          </w:p>
        </w:tc>
        <w:tc>
          <w:tcPr>
            <w:tcW w:w="6640" w:type="dxa"/>
            <w:gridSpan w:val="18"/>
            <w:tcBorders>
              <w:top w:val="nil"/>
              <w:left w:val="nil"/>
              <w:bottom w:val="nil"/>
              <w:right w:val="nil"/>
            </w:tcBorders>
            <w:noWrap w:val="0"/>
            <w:vAlign w:val="center"/>
          </w:tcPr>
          <w:p w14:paraId="316C4758">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val="en-US" w:eastAsia="zh-CN"/>
              </w:rPr>
              <w:t>广东省</w:t>
            </w:r>
            <w:r>
              <w:rPr>
                <w:rFonts w:hint="eastAsia" w:ascii="仿宋_GB2312" w:hAnsi="仿宋_GB2312" w:eastAsia="仿宋_GB2312" w:cs="仿宋_GB2312"/>
                <w:b/>
                <w:bCs/>
                <w:kern w:val="0"/>
                <w:sz w:val="32"/>
                <w:szCs w:val="32"/>
              </w:rPr>
              <w:t>（自治区、直辖市、兵团）</w:t>
            </w:r>
          </w:p>
        </w:tc>
        <w:tc>
          <w:tcPr>
            <w:tcW w:w="6808" w:type="dxa"/>
            <w:gridSpan w:val="13"/>
            <w:tcBorders>
              <w:top w:val="nil"/>
              <w:left w:val="nil"/>
              <w:bottom w:val="nil"/>
              <w:right w:val="nil"/>
            </w:tcBorders>
            <w:noWrap w:val="0"/>
            <w:vAlign w:val="center"/>
          </w:tcPr>
          <w:p w14:paraId="351166A5">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val="en-US" w:eastAsia="zh-CN"/>
              </w:rPr>
              <w:t>广州</w:t>
            </w:r>
            <w:r>
              <w:rPr>
                <w:rFonts w:hint="eastAsia" w:ascii="仿宋_GB2312" w:hAnsi="仿宋_GB2312" w:eastAsia="仿宋_GB2312" w:cs="仿宋_GB2312"/>
                <w:b/>
                <w:bCs/>
                <w:kern w:val="0"/>
                <w:sz w:val="32"/>
                <w:szCs w:val="32"/>
              </w:rPr>
              <w:t>市（地、州、盟、师）</w:t>
            </w:r>
          </w:p>
        </w:tc>
      </w:tr>
      <w:tr w14:paraId="0E96DFD9">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4F974491">
            <w:pPr>
              <w:widowControl/>
              <w:jc w:val="left"/>
              <w:rPr>
                <w:rFonts w:hint="eastAsia" w:ascii="仿宋_GB2312" w:hAnsi="仿宋_GB2312" w:eastAsia="仿宋_GB2312" w:cs="仿宋_GB2312"/>
                <w:b/>
                <w:bCs/>
                <w:kern w:val="0"/>
                <w:sz w:val="32"/>
                <w:szCs w:val="32"/>
              </w:rPr>
            </w:pPr>
          </w:p>
        </w:tc>
        <w:tc>
          <w:tcPr>
            <w:tcW w:w="6640" w:type="dxa"/>
            <w:gridSpan w:val="18"/>
            <w:tcBorders>
              <w:top w:val="nil"/>
              <w:left w:val="nil"/>
              <w:bottom w:val="nil"/>
              <w:right w:val="nil"/>
            </w:tcBorders>
            <w:noWrap w:val="0"/>
            <w:vAlign w:val="center"/>
          </w:tcPr>
          <w:p w14:paraId="1A54B99C">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val="en-US" w:eastAsia="zh-CN"/>
              </w:rPr>
              <w:t>增城区</w:t>
            </w:r>
            <w:r>
              <w:rPr>
                <w:rFonts w:hint="eastAsia" w:ascii="仿宋_GB2312" w:hAnsi="仿宋_GB2312" w:eastAsia="仿宋_GB2312" w:cs="仿宋_GB2312"/>
                <w:b/>
                <w:bCs/>
                <w:kern w:val="0"/>
                <w:sz w:val="32"/>
                <w:szCs w:val="32"/>
              </w:rPr>
              <w:t>（市、区、旗、团场）</w:t>
            </w:r>
          </w:p>
        </w:tc>
        <w:tc>
          <w:tcPr>
            <w:tcW w:w="6808" w:type="dxa"/>
            <w:gridSpan w:val="13"/>
            <w:tcBorders>
              <w:top w:val="nil"/>
              <w:left w:val="nil"/>
              <w:bottom w:val="nil"/>
              <w:right w:val="nil"/>
            </w:tcBorders>
            <w:noWrap w:val="0"/>
            <w:vAlign w:val="center"/>
          </w:tcPr>
          <w:p w14:paraId="43D300DF">
            <w:pPr>
              <w:widowControl/>
              <w:jc w:val="left"/>
              <w:rPr>
                <w:rFonts w:hint="eastAsia" w:ascii="仿宋_GB2312" w:hAnsi="仿宋_GB2312" w:eastAsia="仿宋_GB2312" w:cs="仿宋_GB2312"/>
                <w:b/>
                <w:bCs/>
                <w:kern w:val="0"/>
                <w:sz w:val="32"/>
                <w:szCs w:val="32"/>
              </w:rPr>
            </w:pPr>
          </w:p>
        </w:tc>
      </w:tr>
      <w:tr w14:paraId="4A2132A0">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7FC0AE82">
            <w:pPr>
              <w:widowControl/>
              <w:rPr>
                <w:rFonts w:hint="eastAsia" w:ascii="仿宋_GB2312" w:hAnsi="仿宋_GB2312" w:eastAsia="仿宋_GB2312" w:cs="仿宋_GB2312"/>
                <w:kern w:val="0"/>
                <w:sz w:val="32"/>
                <w:szCs w:val="32"/>
              </w:rPr>
            </w:pPr>
          </w:p>
        </w:tc>
        <w:tc>
          <w:tcPr>
            <w:tcW w:w="4080" w:type="dxa"/>
            <w:gridSpan w:val="10"/>
            <w:tcBorders>
              <w:top w:val="nil"/>
              <w:left w:val="nil"/>
              <w:bottom w:val="nil"/>
              <w:right w:val="nil"/>
            </w:tcBorders>
            <w:noWrap w:val="0"/>
            <w:vAlign w:val="center"/>
          </w:tcPr>
          <w:p w14:paraId="4E7FB27A">
            <w:pPr>
              <w:widowControl/>
              <w:jc w:val="left"/>
              <w:rPr>
                <w:rFonts w:hint="eastAsia" w:ascii="仿宋_GB2312" w:hAnsi="仿宋_GB2312" w:eastAsia="仿宋_GB2312" w:cs="仿宋_GB2312"/>
                <w:kern w:val="0"/>
                <w:sz w:val="24"/>
                <w:szCs w:val="24"/>
              </w:rPr>
            </w:pPr>
          </w:p>
        </w:tc>
        <w:tc>
          <w:tcPr>
            <w:tcW w:w="2560" w:type="dxa"/>
            <w:gridSpan w:val="8"/>
            <w:tcBorders>
              <w:top w:val="nil"/>
              <w:left w:val="nil"/>
              <w:bottom w:val="nil"/>
              <w:right w:val="nil"/>
            </w:tcBorders>
            <w:noWrap w:val="0"/>
            <w:vAlign w:val="center"/>
          </w:tcPr>
          <w:p w14:paraId="339972DB">
            <w:pPr>
              <w:widowControl/>
              <w:jc w:val="left"/>
              <w:rPr>
                <w:rFonts w:hint="eastAsia"/>
              </w:rPr>
            </w:pPr>
          </w:p>
          <w:p w14:paraId="51D0C050">
            <w:pPr>
              <w:pStyle w:val="2"/>
              <w:rPr>
                <w:rFonts w:hint="eastAsia"/>
              </w:rPr>
            </w:pPr>
          </w:p>
          <w:p w14:paraId="1845136E">
            <w:pPr>
              <w:rPr>
                <w:rFonts w:hint="eastAsia"/>
              </w:rPr>
            </w:pPr>
          </w:p>
          <w:p w14:paraId="435D6A06">
            <w:pPr>
              <w:pStyle w:val="2"/>
              <w:rPr>
                <w:rFonts w:hint="eastAsia"/>
              </w:rPr>
            </w:pPr>
          </w:p>
          <w:p w14:paraId="08EA655B">
            <w:pPr>
              <w:pStyle w:val="2"/>
              <w:rPr>
                <w:rFonts w:hint="eastAsia"/>
              </w:rPr>
            </w:pPr>
          </w:p>
        </w:tc>
        <w:tc>
          <w:tcPr>
            <w:tcW w:w="6808" w:type="dxa"/>
            <w:gridSpan w:val="13"/>
            <w:tcBorders>
              <w:top w:val="nil"/>
              <w:left w:val="nil"/>
              <w:bottom w:val="nil"/>
              <w:right w:val="nil"/>
            </w:tcBorders>
            <w:noWrap w:val="0"/>
            <w:vAlign w:val="center"/>
          </w:tcPr>
          <w:p w14:paraId="62A8D66E">
            <w:pPr>
              <w:widowControl/>
              <w:jc w:val="left"/>
              <w:rPr>
                <w:rFonts w:hint="eastAsia" w:ascii="仿宋_GB2312" w:hAnsi="仿宋_GB2312" w:eastAsia="仿宋_GB2312" w:cs="仿宋_GB2312"/>
                <w:kern w:val="0"/>
                <w:sz w:val="24"/>
                <w:szCs w:val="24"/>
              </w:rPr>
            </w:pPr>
          </w:p>
        </w:tc>
      </w:tr>
      <w:tr w14:paraId="33CECA89">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104277F6">
            <w:pPr>
              <w:widowControl/>
              <w:rPr>
                <w:rFonts w:hint="eastAsia" w:ascii="仿宋_GB2312" w:hAnsi="仿宋_GB2312" w:eastAsia="仿宋_GB2312" w:cs="仿宋_GB2312"/>
                <w:b/>
                <w:bCs/>
                <w:kern w:val="0"/>
                <w:sz w:val="32"/>
                <w:szCs w:val="32"/>
              </w:rPr>
            </w:pPr>
          </w:p>
        </w:tc>
        <w:tc>
          <w:tcPr>
            <w:tcW w:w="4080" w:type="dxa"/>
            <w:gridSpan w:val="10"/>
            <w:tcBorders>
              <w:top w:val="nil"/>
              <w:left w:val="nil"/>
              <w:bottom w:val="nil"/>
              <w:right w:val="nil"/>
            </w:tcBorders>
            <w:noWrap w:val="0"/>
            <w:vAlign w:val="center"/>
          </w:tcPr>
          <w:p w14:paraId="156C42F0">
            <w:pPr>
              <w:widowControl/>
              <w:jc w:val="left"/>
              <w:rPr>
                <w:rFonts w:hint="eastAsia" w:ascii="仿宋_GB2312" w:hAnsi="仿宋_GB2312" w:eastAsia="仿宋_GB2312" w:cs="仿宋_GB2312"/>
                <w:b/>
                <w:bCs/>
                <w:kern w:val="0"/>
                <w:sz w:val="32"/>
                <w:szCs w:val="32"/>
              </w:rPr>
            </w:pPr>
          </w:p>
        </w:tc>
        <w:tc>
          <w:tcPr>
            <w:tcW w:w="2560" w:type="dxa"/>
            <w:gridSpan w:val="8"/>
            <w:tcBorders>
              <w:top w:val="nil"/>
              <w:left w:val="nil"/>
              <w:bottom w:val="nil"/>
              <w:right w:val="nil"/>
            </w:tcBorders>
            <w:noWrap w:val="0"/>
            <w:vAlign w:val="center"/>
          </w:tcPr>
          <w:p w14:paraId="489CA49B">
            <w:pPr>
              <w:widowControl/>
              <w:jc w:val="left"/>
              <w:rPr>
                <w:rFonts w:hint="eastAsia" w:ascii="仿宋_GB2312" w:hAnsi="仿宋_GB2312" w:eastAsia="仿宋_GB2312" w:cs="仿宋_GB2312"/>
                <w:b/>
                <w:bCs/>
                <w:kern w:val="0"/>
                <w:sz w:val="32"/>
                <w:szCs w:val="32"/>
              </w:rPr>
            </w:pPr>
          </w:p>
        </w:tc>
        <w:tc>
          <w:tcPr>
            <w:tcW w:w="6808" w:type="dxa"/>
            <w:gridSpan w:val="13"/>
            <w:tcBorders>
              <w:top w:val="nil"/>
              <w:left w:val="nil"/>
              <w:bottom w:val="nil"/>
              <w:right w:val="nil"/>
            </w:tcBorders>
            <w:noWrap w:val="0"/>
            <w:vAlign w:val="center"/>
          </w:tcPr>
          <w:p w14:paraId="5C5B4F37">
            <w:pPr>
              <w:widowControl/>
              <w:jc w:val="left"/>
              <w:rPr>
                <w:rFonts w:hint="eastAsia" w:ascii="仿宋_GB2312" w:hAnsi="仿宋_GB2312" w:eastAsia="仿宋_GB2312" w:cs="仿宋_GB2312"/>
                <w:b/>
                <w:bCs/>
                <w:kern w:val="0"/>
                <w:sz w:val="32"/>
                <w:szCs w:val="32"/>
              </w:rPr>
            </w:pPr>
          </w:p>
        </w:tc>
      </w:tr>
      <w:tr w14:paraId="5FDC323C">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287DA3A6">
            <w:pPr>
              <w:widowControl/>
              <w:rPr>
                <w:rFonts w:hint="eastAsia" w:ascii="仿宋_GB2312" w:hAnsi="仿宋_GB2312" w:eastAsia="仿宋_GB2312" w:cs="仿宋_GB2312"/>
                <w:b/>
                <w:bCs/>
                <w:kern w:val="0"/>
                <w:sz w:val="32"/>
                <w:szCs w:val="32"/>
              </w:rPr>
            </w:pPr>
          </w:p>
        </w:tc>
        <w:tc>
          <w:tcPr>
            <w:tcW w:w="4080" w:type="dxa"/>
            <w:gridSpan w:val="10"/>
            <w:tcBorders>
              <w:top w:val="nil"/>
              <w:left w:val="nil"/>
              <w:bottom w:val="nil"/>
              <w:right w:val="nil"/>
            </w:tcBorders>
            <w:noWrap w:val="0"/>
            <w:vAlign w:val="center"/>
          </w:tcPr>
          <w:p w14:paraId="50C5C3BC">
            <w:pPr>
              <w:widowControl/>
              <w:jc w:val="left"/>
              <w:rPr>
                <w:rFonts w:hint="eastAsia" w:ascii="仿宋_GB2312" w:hAnsi="仿宋_GB2312" w:eastAsia="仿宋_GB2312" w:cs="仿宋_GB2312"/>
                <w:b/>
                <w:bCs/>
                <w:kern w:val="0"/>
                <w:sz w:val="32"/>
                <w:szCs w:val="32"/>
              </w:rPr>
            </w:pPr>
          </w:p>
        </w:tc>
        <w:tc>
          <w:tcPr>
            <w:tcW w:w="9368" w:type="dxa"/>
            <w:gridSpan w:val="21"/>
            <w:tcBorders>
              <w:top w:val="nil"/>
              <w:left w:val="nil"/>
              <w:bottom w:val="nil"/>
              <w:right w:val="nil"/>
            </w:tcBorders>
            <w:noWrap w:val="0"/>
            <w:vAlign w:val="center"/>
          </w:tcPr>
          <w:p w14:paraId="6D44B5D5">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报送时间：</w:t>
            </w:r>
            <w:r>
              <w:rPr>
                <w:rFonts w:hint="eastAsia" w:ascii="Times New Roman" w:hAnsi="Times New Roman" w:eastAsia="仿宋_GB2312" w:cs="仿宋_GB2312"/>
                <w:b/>
                <w:bCs/>
                <w:kern w:val="0"/>
                <w:sz w:val="32"/>
                <w:szCs w:val="32"/>
                <w:lang w:val="en-US" w:eastAsia="zh-CN"/>
              </w:rPr>
              <w:t>2025</w:t>
            </w:r>
            <w:r>
              <w:rPr>
                <w:rFonts w:hint="eastAsia" w:ascii="仿宋_GB2312" w:hAnsi="仿宋_GB2312" w:eastAsia="仿宋_GB2312" w:cs="仿宋_GB2312"/>
                <w:b/>
                <w:bCs/>
                <w:kern w:val="0"/>
                <w:sz w:val="32"/>
                <w:szCs w:val="32"/>
              </w:rPr>
              <w:t>年</w:t>
            </w:r>
            <w:r>
              <w:rPr>
                <w:rFonts w:hint="eastAsia" w:ascii="Times New Roman" w:hAnsi="Times New Roman" w:eastAsia="仿宋_GB2312" w:cs="仿宋_GB2312"/>
                <w:b/>
                <w:bCs/>
                <w:kern w:val="0"/>
                <w:sz w:val="32"/>
                <w:szCs w:val="32"/>
                <w:lang w:val="en-US" w:eastAsia="zh-CN"/>
              </w:rPr>
              <w:t>10</w:t>
            </w:r>
            <w:r>
              <w:rPr>
                <w:rFonts w:hint="eastAsia" w:ascii="仿宋_GB2312" w:hAnsi="仿宋_GB2312" w:eastAsia="仿宋_GB2312" w:cs="仿宋_GB2312"/>
                <w:b/>
                <w:bCs/>
                <w:kern w:val="0"/>
                <w:sz w:val="32"/>
                <w:szCs w:val="32"/>
                <w:lang w:val="en-US" w:eastAsia="zh-CN"/>
              </w:rPr>
              <w:t>月</w:t>
            </w:r>
            <w:r>
              <w:rPr>
                <w:rFonts w:hint="eastAsia" w:ascii="Times New Roman" w:hAnsi="Times New Roman" w:eastAsia="仿宋_GB2312" w:cs="仿宋_GB2312"/>
                <w:b/>
                <w:bCs/>
                <w:kern w:val="0"/>
                <w:sz w:val="32"/>
                <w:szCs w:val="32"/>
                <w:lang w:val="en-US" w:eastAsia="zh-CN"/>
              </w:rPr>
              <w:t>15</w:t>
            </w:r>
            <w:r>
              <w:rPr>
                <w:rFonts w:hint="eastAsia" w:ascii="仿宋_GB2312" w:hAnsi="仿宋_GB2312" w:eastAsia="仿宋_GB2312" w:cs="仿宋_GB2312"/>
                <w:b/>
                <w:bCs/>
                <w:kern w:val="0"/>
                <w:sz w:val="32"/>
                <w:szCs w:val="32"/>
              </w:rPr>
              <w:t>日</w:t>
            </w:r>
          </w:p>
        </w:tc>
      </w:tr>
      <w:tr w14:paraId="6B3DDF95">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717840AA">
            <w:pPr>
              <w:widowControl/>
              <w:rPr>
                <w:rFonts w:hint="eastAsia" w:ascii="仿宋_GB2312" w:hAnsi="仿宋_GB2312" w:eastAsia="仿宋_GB2312" w:cs="仿宋_GB2312"/>
                <w:b/>
                <w:bCs/>
                <w:kern w:val="0"/>
                <w:sz w:val="32"/>
                <w:szCs w:val="32"/>
              </w:rPr>
            </w:pPr>
          </w:p>
        </w:tc>
        <w:tc>
          <w:tcPr>
            <w:tcW w:w="4080" w:type="dxa"/>
            <w:gridSpan w:val="10"/>
            <w:tcBorders>
              <w:top w:val="nil"/>
              <w:left w:val="nil"/>
              <w:bottom w:val="nil"/>
              <w:right w:val="nil"/>
            </w:tcBorders>
            <w:noWrap w:val="0"/>
            <w:vAlign w:val="center"/>
          </w:tcPr>
          <w:p w14:paraId="4E70D413">
            <w:pPr>
              <w:widowControl/>
              <w:jc w:val="left"/>
              <w:rPr>
                <w:rFonts w:hint="eastAsia" w:ascii="仿宋_GB2312" w:hAnsi="仿宋_GB2312" w:eastAsia="仿宋_GB2312" w:cs="仿宋_GB2312"/>
                <w:b/>
                <w:bCs/>
                <w:kern w:val="0"/>
                <w:sz w:val="32"/>
                <w:szCs w:val="32"/>
              </w:rPr>
            </w:pPr>
          </w:p>
        </w:tc>
        <w:tc>
          <w:tcPr>
            <w:tcW w:w="9368" w:type="dxa"/>
            <w:gridSpan w:val="21"/>
            <w:tcBorders>
              <w:top w:val="nil"/>
              <w:left w:val="nil"/>
              <w:bottom w:val="nil"/>
              <w:right w:val="nil"/>
            </w:tcBorders>
            <w:noWrap w:val="0"/>
            <w:vAlign w:val="center"/>
          </w:tcPr>
          <w:p w14:paraId="7F96AEFE">
            <w:pPr>
              <w:widowControl/>
              <w:jc w:val="left"/>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rPr>
              <w:t>报送单位：</w:t>
            </w:r>
            <w:r>
              <w:rPr>
                <w:rFonts w:hint="eastAsia" w:ascii="仿宋_GB2312" w:hAnsi="仿宋_GB2312" w:eastAsia="仿宋_GB2312" w:cs="仿宋_GB2312"/>
                <w:b/>
                <w:bCs/>
                <w:kern w:val="0"/>
                <w:sz w:val="32"/>
                <w:szCs w:val="32"/>
                <w:lang w:val="en-US" w:eastAsia="zh-CN"/>
              </w:rPr>
              <w:t>增城区人民政府</w:t>
            </w:r>
          </w:p>
        </w:tc>
      </w:tr>
      <w:tr w14:paraId="4EB40912">
        <w:tblPrEx>
          <w:tblCellMar>
            <w:top w:w="0" w:type="dxa"/>
            <w:left w:w="108" w:type="dxa"/>
            <w:bottom w:w="0" w:type="dxa"/>
            <w:right w:w="108" w:type="dxa"/>
          </w:tblCellMar>
        </w:tblPrEx>
        <w:trPr>
          <w:trHeight w:val="405" w:hRule="atLeast"/>
          <w:jc w:val="center"/>
        </w:trPr>
        <w:tc>
          <w:tcPr>
            <w:tcW w:w="1600" w:type="dxa"/>
            <w:gridSpan w:val="3"/>
            <w:tcBorders>
              <w:top w:val="nil"/>
              <w:left w:val="nil"/>
              <w:bottom w:val="nil"/>
              <w:right w:val="nil"/>
            </w:tcBorders>
            <w:noWrap w:val="0"/>
            <w:vAlign w:val="center"/>
          </w:tcPr>
          <w:p w14:paraId="118BBDDC">
            <w:pPr>
              <w:widowControl/>
              <w:jc w:val="center"/>
              <w:rPr>
                <w:rFonts w:hint="eastAsia" w:ascii="仿宋_GB2312" w:hAnsi="仿宋_GB2312" w:eastAsia="仿宋_GB2312" w:cs="仿宋_GB2312"/>
                <w:kern w:val="0"/>
                <w:sz w:val="32"/>
                <w:szCs w:val="32"/>
              </w:rPr>
            </w:pPr>
          </w:p>
        </w:tc>
        <w:tc>
          <w:tcPr>
            <w:tcW w:w="4080" w:type="dxa"/>
            <w:gridSpan w:val="10"/>
            <w:tcBorders>
              <w:top w:val="nil"/>
              <w:left w:val="nil"/>
              <w:bottom w:val="nil"/>
              <w:right w:val="nil"/>
            </w:tcBorders>
            <w:noWrap w:val="0"/>
            <w:vAlign w:val="center"/>
          </w:tcPr>
          <w:p w14:paraId="0B95DAAB">
            <w:pPr>
              <w:widowControl/>
              <w:jc w:val="left"/>
              <w:rPr>
                <w:rFonts w:hint="eastAsia" w:ascii="仿宋_GB2312" w:hAnsi="仿宋_GB2312" w:eastAsia="仿宋_GB2312" w:cs="仿宋_GB2312"/>
                <w:kern w:val="0"/>
                <w:sz w:val="24"/>
                <w:szCs w:val="24"/>
              </w:rPr>
            </w:pPr>
          </w:p>
        </w:tc>
        <w:tc>
          <w:tcPr>
            <w:tcW w:w="2560" w:type="dxa"/>
            <w:gridSpan w:val="8"/>
            <w:tcBorders>
              <w:top w:val="nil"/>
              <w:left w:val="nil"/>
              <w:bottom w:val="nil"/>
              <w:right w:val="nil"/>
            </w:tcBorders>
            <w:noWrap w:val="0"/>
            <w:vAlign w:val="center"/>
          </w:tcPr>
          <w:p w14:paraId="5AA50BA6">
            <w:pPr>
              <w:widowControl/>
              <w:jc w:val="center"/>
              <w:rPr>
                <w:rFonts w:hint="eastAsia" w:ascii="仿宋_GB2312" w:hAnsi="仿宋_GB2312" w:eastAsia="仿宋_GB2312" w:cs="仿宋_GB2312"/>
                <w:kern w:val="0"/>
                <w:sz w:val="32"/>
                <w:szCs w:val="32"/>
              </w:rPr>
            </w:pPr>
          </w:p>
        </w:tc>
        <w:tc>
          <w:tcPr>
            <w:tcW w:w="6808" w:type="dxa"/>
            <w:gridSpan w:val="13"/>
            <w:tcBorders>
              <w:top w:val="nil"/>
              <w:left w:val="nil"/>
              <w:bottom w:val="nil"/>
              <w:right w:val="nil"/>
            </w:tcBorders>
            <w:noWrap w:val="0"/>
            <w:vAlign w:val="center"/>
          </w:tcPr>
          <w:p w14:paraId="3744B22E">
            <w:pPr>
              <w:widowControl/>
              <w:jc w:val="left"/>
              <w:rPr>
                <w:rFonts w:hint="eastAsia" w:ascii="仿宋_GB2312" w:hAnsi="仿宋_GB2312" w:eastAsia="仿宋_GB2312" w:cs="仿宋_GB2312"/>
                <w:kern w:val="0"/>
                <w:sz w:val="24"/>
                <w:szCs w:val="24"/>
              </w:rPr>
            </w:pPr>
          </w:p>
        </w:tc>
      </w:tr>
      <w:tr w14:paraId="0D43D9BA">
        <w:tblPrEx>
          <w:tblCellMar>
            <w:top w:w="0" w:type="dxa"/>
            <w:left w:w="108" w:type="dxa"/>
            <w:bottom w:w="0" w:type="dxa"/>
            <w:right w:w="108" w:type="dxa"/>
          </w:tblCellMar>
        </w:tblPrEx>
        <w:trPr>
          <w:gridAfter w:val="1"/>
          <w:wAfter w:w="48" w:type="dxa"/>
          <w:trHeight w:val="870" w:hRule="atLeast"/>
          <w:jc w:val="center"/>
        </w:trPr>
        <w:tc>
          <w:tcPr>
            <w:tcW w:w="15000" w:type="dxa"/>
            <w:gridSpan w:val="33"/>
            <w:tcBorders>
              <w:top w:val="nil"/>
              <w:left w:val="nil"/>
              <w:bottom w:val="single" w:color="auto" w:sz="4" w:space="0"/>
              <w:right w:val="nil"/>
            </w:tcBorders>
            <w:noWrap w:val="0"/>
            <w:vAlign w:val="center"/>
          </w:tcPr>
          <w:p w14:paraId="16068F60">
            <w:pPr>
              <w:widowControl/>
              <w:jc w:val="center"/>
              <w:rPr>
                <w:rFonts w:hint="eastAsia" w:ascii="黑体" w:hAnsi="黑体" w:eastAsia="黑体" w:cs="黑体"/>
                <w:b w:val="0"/>
                <w:bCs w:val="0"/>
                <w:kern w:val="0"/>
                <w:sz w:val="18"/>
                <w:szCs w:val="18"/>
              </w:rPr>
            </w:pPr>
            <w:r>
              <w:rPr>
                <w:rFonts w:hint="eastAsia" w:ascii="黑体" w:hAnsi="黑体" w:eastAsia="黑体" w:cs="黑体"/>
                <w:kern w:val="0"/>
                <w:sz w:val="32"/>
                <w:szCs w:val="32"/>
              </w:rPr>
              <w:t>表</w:t>
            </w:r>
            <w:r>
              <w:rPr>
                <w:rFonts w:hint="eastAsia" w:ascii="Times New Roman" w:hAnsi="Times New Roman" w:eastAsia="黑体" w:cs="黑体"/>
                <w:kern w:val="0"/>
                <w:sz w:val="32"/>
                <w:szCs w:val="32"/>
              </w:rPr>
              <w:t>I</w:t>
            </w:r>
            <w:r>
              <w:rPr>
                <w:rFonts w:hint="eastAsia" w:ascii="黑体" w:hAnsi="黑体" w:eastAsia="黑体" w:cs="黑体"/>
                <w:kern w:val="0"/>
                <w:sz w:val="32"/>
                <w:szCs w:val="32"/>
              </w:rPr>
              <w:t xml:space="preserve"> 义务教育优质均衡发展县(市、区)基本情况</w:t>
            </w:r>
          </w:p>
        </w:tc>
      </w:tr>
      <w:tr w14:paraId="4B42EC6E">
        <w:tblPrEx>
          <w:tblCellMar>
            <w:top w:w="0" w:type="dxa"/>
            <w:left w:w="108" w:type="dxa"/>
            <w:bottom w:w="0" w:type="dxa"/>
            <w:right w:w="108" w:type="dxa"/>
          </w:tblCellMar>
        </w:tblPrEx>
        <w:trPr>
          <w:gridAfter w:val="1"/>
          <w:wAfter w:w="48" w:type="dxa"/>
          <w:trHeight w:val="870" w:hRule="atLeast"/>
          <w:jc w:val="center"/>
        </w:trPr>
        <w:tc>
          <w:tcPr>
            <w:tcW w:w="528" w:type="dxa"/>
            <w:vMerge w:val="restart"/>
            <w:tcBorders>
              <w:top w:val="single" w:color="auto" w:sz="4" w:space="0"/>
              <w:left w:val="single" w:color="auto" w:sz="4" w:space="0"/>
              <w:bottom w:val="single" w:color="auto" w:sz="4" w:space="0"/>
              <w:right w:val="single" w:color="auto" w:sz="4" w:space="0"/>
            </w:tcBorders>
            <w:noWrap w:val="0"/>
            <w:vAlign w:val="center"/>
          </w:tcPr>
          <w:p w14:paraId="16F89FA7">
            <w:pPr>
              <w:widowControl/>
              <w:jc w:val="center"/>
              <w:rPr>
                <w:rFonts w:hint="eastAsia" w:ascii="黑体" w:hAnsi="黑体" w:eastAsia="黑体" w:cs="黑体"/>
                <w:b w:val="0"/>
                <w:bCs w:val="0"/>
                <w:kern w:val="0"/>
                <w:sz w:val="18"/>
                <w:szCs w:val="18"/>
              </w:rPr>
            </w:pPr>
            <w:bookmarkStart w:id="6" w:name="OLE_LINK1" w:colFirst="0" w:colLast="24"/>
            <w:r>
              <w:rPr>
                <w:rFonts w:hint="eastAsia" w:ascii="黑体" w:hAnsi="黑体" w:eastAsia="黑体" w:cs="黑体"/>
                <w:b w:val="0"/>
                <w:bCs w:val="0"/>
                <w:kern w:val="0"/>
                <w:sz w:val="18"/>
                <w:szCs w:val="18"/>
              </w:rPr>
              <w:t>　</w:t>
            </w:r>
          </w:p>
        </w:tc>
        <w:tc>
          <w:tcPr>
            <w:tcW w:w="2395" w:type="dxa"/>
            <w:gridSpan w:val="7"/>
            <w:tcBorders>
              <w:top w:val="single" w:color="auto" w:sz="4" w:space="0"/>
              <w:left w:val="single" w:color="auto" w:sz="4" w:space="0"/>
              <w:bottom w:val="single" w:color="auto" w:sz="4" w:space="0"/>
              <w:right w:val="single" w:color="auto" w:sz="4" w:space="0"/>
            </w:tcBorders>
            <w:noWrap w:val="0"/>
            <w:vAlign w:val="center"/>
          </w:tcPr>
          <w:p w14:paraId="4839808C">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自然情况</w:t>
            </w:r>
          </w:p>
        </w:tc>
        <w:tc>
          <w:tcPr>
            <w:tcW w:w="2485" w:type="dxa"/>
            <w:gridSpan w:val="4"/>
            <w:tcBorders>
              <w:top w:val="single" w:color="auto" w:sz="4" w:space="0"/>
              <w:left w:val="single" w:color="auto" w:sz="4" w:space="0"/>
              <w:bottom w:val="single" w:color="auto" w:sz="4" w:space="0"/>
              <w:right w:val="single" w:color="auto" w:sz="4" w:space="0"/>
            </w:tcBorders>
            <w:noWrap w:val="0"/>
            <w:vAlign w:val="center"/>
          </w:tcPr>
          <w:p w14:paraId="70CB3A28">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经济情况</w:t>
            </w:r>
          </w:p>
        </w:tc>
        <w:tc>
          <w:tcPr>
            <w:tcW w:w="2906" w:type="dxa"/>
            <w:gridSpan w:val="10"/>
            <w:tcBorders>
              <w:top w:val="single" w:color="auto" w:sz="4" w:space="0"/>
              <w:left w:val="single" w:color="auto" w:sz="4" w:space="0"/>
              <w:bottom w:val="single" w:color="auto" w:sz="4" w:space="0"/>
              <w:right w:val="single" w:color="auto" w:sz="4" w:space="0"/>
            </w:tcBorders>
            <w:noWrap w:val="0"/>
            <w:vAlign w:val="center"/>
          </w:tcPr>
          <w:p w14:paraId="74B2CF97">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普通中小学校数</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(所)</w:t>
            </w:r>
          </w:p>
        </w:tc>
        <w:tc>
          <w:tcPr>
            <w:tcW w:w="811" w:type="dxa"/>
            <w:vMerge w:val="restart"/>
            <w:tcBorders>
              <w:top w:val="single" w:color="auto" w:sz="4" w:space="0"/>
              <w:left w:val="single" w:color="auto" w:sz="4" w:space="0"/>
              <w:bottom w:val="single" w:color="auto" w:sz="4" w:space="0"/>
              <w:right w:val="single" w:color="auto" w:sz="4" w:space="0"/>
            </w:tcBorders>
            <w:noWrap w:val="0"/>
            <w:vAlign w:val="center"/>
          </w:tcPr>
          <w:p w14:paraId="07A61B79">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特殊教育学校</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(所)</w:t>
            </w:r>
          </w:p>
        </w:tc>
        <w:tc>
          <w:tcPr>
            <w:tcW w:w="1264" w:type="dxa"/>
            <w:gridSpan w:val="2"/>
            <w:tcBorders>
              <w:top w:val="single" w:color="auto" w:sz="4" w:space="0"/>
              <w:left w:val="single" w:color="auto" w:sz="4" w:space="0"/>
              <w:bottom w:val="single" w:color="auto" w:sz="4" w:space="0"/>
              <w:right w:val="single" w:color="auto" w:sz="4" w:space="0"/>
            </w:tcBorders>
            <w:noWrap w:val="0"/>
            <w:vAlign w:val="center"/>
          </w:tcPr>
          <w:p w14:paraId="1CCA9B96">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小学教学点数(个)</w:t>
            </w:r>
          </w:p>
        </w:tc>
        <w:tc>
          <w:tcPr>
            <w:tcW w:w="1140" w:type="dxa"/>
            <w:gridSpan w:val="2"/>
            <w:tcBorders>
              <w:top w:val="single" w:color="auto" w:sz="4" w:space="0"/>
              <w:left w:val="single" w:color="auto" w:sz="4" w:space="0"/>
              <w:bottom w:val="single" w:color="auto" w:sz="4" w:space="0"/>
              <w:right w:val="single" w:color="auto" w:sz="4" w:space="0"/>
            </w:tcBorders>
            <w:noWrap w:val="0"/>
            <w:vAlign w:val="center"/>
          </w:tcPr>
          <w:p w14:paraId="6A8351B9">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教学班数</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(个)</w:t>
            </w:r>
          </w:p>
        </w:tc>
        <w:tc>
          <w:tcPr>
            <w:tcW w:w="1195" w:type="dxa"/>
            <w:gridSpan w:val="2"/>
            <w:tcBorders>
              <w:top w:val="single" w:color="auto" w:sz="4" w:space="0"/>
              <w:left w:val="single" w:color="auto" w:sz="4" w:space="0"/>
              <w:bottom w:val="single" w:color="auto" w:sz="4" w:space="0"/>
              <w:right w:val="single" w:color="auto" w:sz="4" w:space="0"/>
            </w:tcBorders>
            <w:noWrap w:val="0"/>
            <w:vAlign w:val="center"/>
          </w:tcPr>
          <w:p w14:paraId="1BE1CF85">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在校学生数(人)</w:t>
            </w:r>
          </w:p>
        </w:tc>
        <w:tc>
          <w:tcPr>
            <w:tcW w:w="2276" w:type="dxa"/>
            <w:gridSpan w:val="4"/>
            <w:tcBorders>
              <w:top w:val="single" w:color="auto" w:sz="4" w:space="0"/>
              <w:left w:val="single" w:color="auto" w:sz="4" w:space="0"/>
              <w:bottom w:val="single" w:color="auto" w:sz="4" w:space="0"/>
              <w:right w:val="single" w:color="auto" w:sz="4" w:space="0"/>
            </w:tcBorders>
            <w:noWrap w:val="0"/>
            <w:vAlign w:val="center"/>
          </w:tcPr>
          <w:p w14:paraId="6005120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教职工数</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(人)</w:t>
            </w:r>
          </w:p>
        </w:tc>
      </w:tr>
      <w:tr w14:paraId="13867772">
        <w:tblPrEx>
          <w:tblCellMar>
            <w:top w:w="0" w:type="dxa"/>
            <w:left w:w="108" w:type="dxa"/>
            <w:bottom w:w="0" w:type="dxa"/>
            <w:right w:w="108" w:type="dxa"/>
          </w:tblCellMar>
        </w:tblPrEx>
        <w:trPr>
          <w:gridAfter w:val="1"/>
          <w:wAfter w:w="48" w:type="dxa"/>
          <w:trHeight w:val="285"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58E0CF40">
            <w:pPr>
              <w:widowControl/>
              <w:jc w:val="left"/>
              <w:rPr>
                <w:rFonts w:hint="eastAsia" w:ascii="黑体" w:hAnsi="黑体" w:eastAsia="黑体" w:cs="黑体"/>
                <w:b w:val="0"/>
                <w:bCs w:val="0"/>
                <w:kern w:val="0"/>
                <w:sz w:val="18"/>
                <w:szCs w:val="18"/>
              </w:rPr>
            </w:pPr>
          </w:p>
        </w:tc>
        <w:tc>
          <w:tcPr>
            <w:tcW w:w="640" w:type="dxa"/>
            <w:vMerge w:val="restart"/>
            <w:tcBorders>
              <w:top w:val="single" w:color="auto" w:sz="4" w:space="0"/>
              <w:left w:val="single" w:color="auto" w:sz="4" w:space="0"/>
              <w:bottom w:val="single" w:color="auto" w:sz="4" w:space="0"/>
              <w:right w:val="single" w:color="auto" w:sz="4" w:space="0"/>
            </w:tcBorders>
            <w:noWrap w:val="0"/>
            <w:vAlign w:val="center"/>
          </w:tcPr>
          <w:p w14:paraId="4FC68BEC">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人口总数</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(万人)</w:t>
            </w:r>
          </w:p>
        </w:tc>
        <w:tc>
          <w:tcPr>
            <w:tcW w:w="556"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29C8CE89">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农业人口数(万人)</w:t>
            </w:r>
          </w:p>
        </w:tc>
        <w:tc>
          <w:tcPr>
            <w:tcW w:w="598"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46CC1D6">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乡</w:t>
            </w:r>
          </w:p>
          <w:p w14:paraId="54CEEBD8">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镇</w:t>
            </w:r>
          </w:p>
          <w:p w14:paraId="54A73A18">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数(个)</w:t>
            </w:r>
          </w:p>
        </w:tc>
        <w:tc>
          <w:tcPr>
            <w:tcW w:w="601" w:type="dxa"/>
            <w:vMerge w:val="restart"/>
            <w:tcBorders>
              <w:top w:val="single" w:color="auto" w:sz="4" w:space="0"/>
              <w:left w:val="single" w:color="auto" w:sz="4" w:space="0"/>
              <w:bottom w:val="single" w:color="auto" w:sz="4" w:space="0"/>
              <w:right w:val="single" w:color="auto" w:sz="4" w:space="0"/>
            </w:tcBorders>
            <w:noWrap w:val="0"/>
            <w:vAlign w:val="center"/>
          </w:tcPr>
          <w:p w14:paraId="51050BB1">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行政村数</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(个)</w:t>
            </w:r>
          </w:p>
        </w:tc>
        <w:tc>
          <w:tcPr>
            <w:tcW w:w="623" w:type="dxa"/>
            <w:vMerge w:val="restart"/>
            <w:tcBorders>
              <w:top w:val="single" w:color="auto" w:sz="4" w:space="0"/>
              <w:left w:val="single" w:color="auto" w:sz="4" w:space="0"/>
              <w:bottom w:val="single" w:color="auto" w:sz="4" w:space="0"/>
              <w:right w:val="single" w:color="auto" w:sz="4" w:space="0"/>
            </w:tcBorders>
            <w:noWrap w:val="0"/>
            <w:vAlign w:val="center"/>
          </w:tcPr>
          <w:p w14:paraId="6DE18591">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年人均国内生产总值</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(元)</w:t>
            </w:r>
          </w:p>
        </w:tc>
        <w:tc>
          <w:tcPr>
            <w:tcW w:w="619" w:type="dxa"/>
            <w:vMerge w:val="restart"/>
            <w:tcBorders>
              <w:top w:val="single" w:color="auto" w:sz="4" w:space="0"/>
              <w:left w:val="single" w:color="auto" w:sz="4" w:space="0"/>
              <w:bottom w:val="single" w:color="auto" w:sz="4" w:space="0"/>
              <w:right w:val="single" w:color="auto" w:sz="4" w:space="0"/>
            </w:tcBorders>
            <w:noWrap w:val="0"/>
            <w:vAlign w:val="center"/>
          </w:tcPr>
          <w:p w14:paraId="0263305A">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年人均地方财政收入</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(元)</w:t>
            </w:r>
          </w:p>
        </w:tc>
        <w:tc>
          <w:tcPr>
            <w:tcW w:w="624" w:type="dxa"/>
            <w:vMerge w:val="restart"/>
            <w:tcBorders>
              <w:top w:val="single" w:color="auto" w:sz="4" w:space="0"/>
              <w:left w:val="single" w:color="auto" w:sz="4" w:space="0"/>
              <w:bottom w:val="single" w:color="auto" w:sz="4" w:space="0"/>
              <w:right w:val="single" w:color="auto" w:sz="4" w:space="0"/>
            </w:tcBorders>
            <w:noWrap w:val="0"/>
            <w:vAlign w:val="center"/>
          </w:tcPr>
          <w:p w14:paraId="2A5C1400">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农民年人均纯收入(元)</w:t>
            </w:r>
          </w:p>
        </w:tc>
        <w:tc>
          <w:tcPr>
            <w:tcW w:w="619" w:type="dxa"/>
            <w:vMerge w:val="restart"/>
            <w:tcBorders>
              <w:top w:val="single" w:color="auto" w:sz="4" w:space="0"/>
              <w:left w:val="single" w:color="auto" w:sz="4" w:space="0"/>
              <w:bottom w:val="single" w:color="auto" w:sz="4" w:space="0"/>
              <w:right w:val="single" w:color="auto" w:sz="4" w:space="0"/>
            </w:tcBorders>
            <w:noWrap w:val="0"/>
            <w:vAlign w:val="center"/>
          </w:tcPr>
          <w:p w14:paraId="7EAD0C5E">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城镇居民年人均可支配收入</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(元)</w:t>
            </w:r>
          </w:p>
        </w:tc>
        <w:tc>
          <w:tcPr>
            <w:tcW w:w="553"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5F317D04">
            <w:pPr>
              <w:widowControl/>
              <w:jc w:val="center"/>
              <w:rPr>
                <w:rFonts w:hint="eastAsia" w:ascii="黑体" w:hAnsi="黑体" w:eastAsia="黑体" w:cs="黑体"/>
                <w:b w:val="0"/>
                <w:bCs w:val="0"/>
                <w:kern w:val="0"/>
                <w:sz w:val="18"/>
                <w:szCs w:val="18"/>
                <w:lang w:val="en-US" w:eastAsia="zh-CN"/>
              </w:rPr>
            </w:pPr>
            <w:r>
              <w:rPr>
                <w:rFonts w:hint="eastAsia" w:ascii="黑体" w:hAnsi="黑体" w:eastAsia="黑体" w:cs="黑体"/>
                <w:b w:val="0"/>
                <w:bCs w:val="0"/>
                <w:kern w:val="0"/>
                <w:sz w:val="18"/>
                <w:szCs w:val="18"/>
              </w:rPr>
              <w:t>小学</w:t>
            </w:r>
            <w:r>
              <w:rPr>
                <w:rFonts w:hint="eastAsia" w:ascii="黑体" w:hAnsi="黑体" w:eastAsia="黑体" w:cs="黑体"/>
                <w:b w:val="0"/>
                <w:bCs w:val="0"/>
                <w:kern w:val="0"/>
                <w:sz w:val="18"/>
                <w:szCs w:val="18"/>
                <w:lang w:val="en-US" w:eastAsia="zh-CN"/>
              </w:rPr>
              <w:t xml:space="preserve"> </w:t>
            </w:r>
          </w:p>
        </w:tc>
        <w:tc>
          <w:tcPr>
            <w:tcW w:w="55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8C9492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九年一贯制学校</w:t>
            </w:r>
          </w:p>
        </w:tc>
        <w:tc>
          <w:tcPr>
            <w:tcW w:w="55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A384258">
            <w:pPr>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初中</w:t>
            </w:r>
          </w:p>
        </w:tc>
        <w:tc>
          <w:tcPr>
            <w:tcW w:w="555" w:type="dxa"/>
            <w:vMerge w:val="restart"/>
            <w:tcBorders>
              <w:top w:val="single" w:color="auto" w:sz="4" w:space="0"/>
              <w:left w:val="single" w:color="auto" w:sz="4" w:space="0"/>
              <w:bottom w:val="single" w:color="auto" w:sz="4" w:space="0"/>
              <w:right w:val="single" w:color="auto" w:sz="4" w:space="0"/>
            </w:tcBorders>
            <w:noWrap w:val="0"/>
            <w:vAlign w:val="center"/>
          </w:tcPr>
          <w:p w14:paraId="616757B7">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完全中学</w:t>
            </w:r>
          </w:p>
        </w:tc>
        <w:tc>
          <w:tcPr>
            <w:tcW w:w="69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2BEE316">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十二年一贯制学校</w:t>
            </w:r>
          </w:p>
        </w:tc>
        <w:tc>
          <w:tcPr>
            <w:tcW w:w="811" w:type="dxa"/>
            <w:vMerge w:val="continue"/>
            <w:tcBorders>
              <w:top w:val="single" w:color="auto" w:sz="4" w:space="0"/>
              <w:left w:val="single" w:color="auto" w:sz="4" w:space="0"/>
              <w:bottom w:val="single" w:color="auto" w:sz="4" w:space="0"/>
              <w:right w:val="single" w:color="auto" w:sz="4" w:space="0"/>
            </w:tcBorders>
            <w:noWrap w:val="0"/>
            <w:vAlign w:val="center"/>
          </w:tcPr>
          <w:p w14:paraId="3AFDE6E5">
            <w:pPr>
              <w:widowControl/>
              <w:jc w:val="left"/>
              <w:rPr>
                <w:rFonts w:hint="eastAsia" w:ascii="黑体" w:hAnsi="黑体" w:eastAsia="黑体" w:cs="黑体"/>
                <w:b w:val="0"/>
                <w:bCs w:val="0"/>
                <w:kern w:val="0"/>
                <w:sz w:val="18"/>
                <w:szCs w:val="18"/>
              </w:rPr>
            </w:pPr>
          </w:p>
        </w:tc>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14:paraId="087CE373">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计</w:t>
            </w:r>
          </w:p>
        </w:tc>
        <w:tc>
          <w:tcPr>
            <w:tcW w:w="724" w:type="dxa"/>
            <w:vMerge w:val="restart"/>
            <w:tcBorders>
              <w:top w:val="single" w:color="auto" w:sz="4" w:space="0"/>
              <w:left w:val="single" w:color="auto" w:sz="4" w:space="0"/>
              <w:bottom w:val="single" w:color="auto" w:sz="4" w:space="0"/>
              <w:right w:val="single" w:color="auto" w:sz="4" w:space="0"/>
            </w:tcBorders>
            <w:noWrap w:val="0"/>
            <w:vAlign w:val="center"/>
          </w:tcPr>
          <w:p w14:paraId="0B42818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其中：</w:t>
            </w:r>
            <w:r>
              <w:rPr>
                <w:rFonts w:hint="eastAsia" w:ascii="Times New Roman" w:hAnsi="Times New Roman" w:eastAsia="黑体" w:cs="黑体"/>
                <w:b w:val="0"/>
                <w:bCs w:val="0"/>
                <w:kern w:val="0"/>
                <w:sz w:val="18"/>
                <w:szCs w:val="18"/>
              </w:rPr>
              <w:t>50</w:t>
            </w:r>
            <w:r>
              <w:rPr>
                <w:rFonts w:hint="eastAsia" w:ascii="黑体" w:hAnsi="黑体" w:eastAsia="黑体" w:cs="黑体"/>
                <w:b w:val="0"/>
                <w:bCs w:val="0"/>
                <w:kern w:val="0"/>
                <w:sz w:val="18"/>
                <w:szCs w:val="18"/>
              </w:rPr>
              <w:t>人及以上</w:t>
            </w:r>
          </w:p>
        </w:tc>
        <w:tc>
          <w:tcPr>
            <w:tcW w:w="650" w:type="dxa"/>
            <w:vMerge w:val="restart"/>
            <w:tcBorders>
              <w:top w:val="single" w:color="auto" w:sz="4" w:space="0"/>
              <w:left w:val="single" w:color="auto" w:sz="4" w:space="0"/>
              <w:bottom w:val="single" w:color="auto" w:sz="4" w:space="0"/>
              <w:right w:val="single" w:color="auto" w:sz="4" w:space="0"/>
            </w:tcBorders>
            <w:noWrap w:val="0"/>
            <w:vAlign w:val="center"/>
          </w:tcPr>
          <w:p w14:paraId="6C1B334A">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小</w:t>
            </w:r>
          </w:p>
          <w:p w14:paraId="23C232CC">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学</w:t>
            </w:r>
          </w:p>
        </w:tc>
        <w:tc>
          <w:tcPr>
            <w:tcW w:w="490" w:type="dxa"/>
            <w:vMerge w:val="restart"/>
            <w:tcBorders>
              <w:top w:val="single" w:color="auto" w:sz="4" w:space="0"/>
              <w:left w:val="single" w:color="auto" w:sz="4" w:space="0"/>
              <w:bottom w:val="single" w:color="auto" w:sz="4" w:space="0"/>
              <w:right w:val="single" w:color="auto" w:sz="4" w:space="0"/>
            </w:tcBorders>
            <w:noWrap w:val="0"/>
            <w:vAlign w:val="center"/>
          </w:tcPr>
          <w:p w14:paraId="1E0E8366">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初中</w:t>
            </w:r>
          </w:p>
        </w:tc>
        <w:tc>
          <w:tcPr>
            <w:tcW w:w="617" w:type="dxa"/>
            <w:vMerge w:val="restart"/>
            <w:tcBorders>
              <w:top w:val="single" w:color="auto" w:sz="4" w:space="0"/>
              <w:left w:val="single" w:color="auto" w:sz="4" w:space="0"/>
              <w:bottom w:val="single" w:color="auto" w:sz="4" w:space="0"/>
              <w:right w:val="single" w:color="auto" w:sz="4" w:space="0"/>
            </w:tcBorders>
            <w:noWrap w:val="0"/>
            <w:vAlign w:val="center"/>
          </w:tcPr>
          <w:p w14:paraId="62E9830B">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小学</w:t>
            </w:r>
          </w:p>
        </w:tc>
        <w:tc>
          <w:tcPr>
            <w:tcW w:w="578" w:type="dxa"/>
            <w:vMerge w:val="restart"/>
            <w:tcBorders>
              <w:top w:val="single" w:color="auto" w:sz="4" w:space="0"/>
              <w:left w:val="single" w:color="auto" w:sz="4" w:space="0"/>
              <w:bottom w:val="single" w:color="auto" w:sz="4" w:space="0"/>
              <w:right w:val="single" w:color="auto" w:sz="4" w:space="0"/>
            </w:tcBorders>
            <w:noWrap w:val="0"/>
            <w:vAlign w:val="center"/>
          </w:tcPr>
          <w:p w14:paraId="1F49133B">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初中</w:t>
            </w:r>
          </w:p>
        </w:tc>
        <w:tc>
          <w:tcPr>
            <w:tcW w:w="1153" w:type="dxa"/>
            <w:gridSpan w:val="2"/>
            <w:tcBorders>
              <w:top w:val="single" w:color="auto" w:sz="4" w:space="0"/>
              <w:left w:val="single" w:color="auto" w:sz="4" w:space="0"/>
              <w:bottom w:val="single" w:color="auto" w:sz="4" w:space="0"/>
              <w:right w:val="single" w:color="auto" w:sz="4" w:space="0"/>
            </w:tcBorders>
            <w:noWrap w:val="0"/>
            <w:vAlign w:val="center"/>
          </w:tcPr>
          <w:p w14:paraId="29819846">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小学</w:t>
            </w:r>
          </w:p>
        </w:tc>
        <w:tc>
          <w:tcPr>
            <w:tcW w:w="1123" w:type="dxa"/>
            <w:gridSpan w:val="2"/>
            <w:tcBorders>
              <w:top w:val="single" w:color="auto" w:sz="4" w:space="0"/>
              <w:left w:val="single" w:color="auto" w:sz="4" w:space="0"/>
              <w:bottom w:val="single" w:color="auto" w:sz="4" w:space="0"/>
              <w:right w:val="single" w:color="auto" w:sz="4" w:space="0"/>
            </w:tcBorders>
            <w:noWrap w:val="0"/>
            <w:vAlign w:val="center"/>
          </w:tcPr>
          <w:p w14:paraId="33CE28A2">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初中</w:t>
            </w:r>
          </w:p>
        </w:tc>
      </w:tr>
      <w:tr w14:paraId="5CF12441">
        <w:tblPrEx>
          <w:tblCellMar>
            <w:top w:w="0" w:type="dxa"/>
            <w:left w:w="108" w:type="dxa"/>
            <w:bottom w:w="0" w:type="dxa"/>
            <w:right w:w="108" w:type="dxa"/>
          </w:tblCellMar>
        </w:tblPrEx>
        <w:trPr>
          <w:gridAfter w:val="1"/>
          <w:wAfter w:w="48" w:type="dxa"/>
          <w:trHeight w:val="1065" w:hRule="atLeast"/>
          <w:jc w:val="center"/>
        </w:trPr>
        <w:tc>
          <w:tcPr>
            <w:tcW w:w="528" w:type="dxa"/>
            <w:vMerge w:val="continue"/>
            <w:tcBorders>
              <w:top w:val="single" w:color="auto" w:sz="4" w:space="0"/>
              <w:left w:val="single" w:color="auto" w:sz="4" w:space="0"/>
              <w:bottom w:val="single" w:color="auto" w:sz="4" w:space="0"/>
              <w:right w:val="single" w:color="auto" w:sz="4" w:space="0"/>
            </w:tcBorders>
            <w:noWrap w:val="0"/>
            <w:vAlign w:val="center"/>
          </w:tcPr>
          <w:p w14:paraId="410E89EE">
            <w:pPr>
              <w:widowControl/>
              <w:jc w:val="left"/>
              <w:rPr>
                <w:rFonts w:hint="eastAsia" w:ascii="黑体" w:hAnsi="黑体" w:eastAsia="黑体" w:cs="黑体"/>
                <w:b w:val="0"/>
                <w:bCs w:val="0"/>
                <w:kern w:val="0"/>
                <w:sz w:val="18"/>
                <w:szCs w:val="18"/>
              </w:rPr>
            </w:pPr>
          </w:p>
        </w:tc>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5ED003A5">
            <w:pPr>
              <w:widowControl/>
              <w:jc w:val="left"/>
              <w:rPr>
                <w:rFonts w:hint="eastAsia" w:ascii="黑体" w:hAnsi="黑体" w:eastAsia="黑体" w:cs="黑体"/>
                <w:b w:val="0"/>
                <w:bCs w:val="0"/>
                <w:kern w:val="0"/>
                <w:sz w:val="18"/>
                <w:szCs w:val="18"/>
              </w:rPr>
            </w:pPr>
          </w:p>
        </w:tc>
        <w:tc>
          <w:tcPr>
            <w:tcW w:w="55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43134A9">
            <w:pPr>
              <w:widowControl/>
              <w:jc w:val="left"/>
              <w:rPr>
                <w:rFonts w:hint="eastAsia" w:ascii="黑体" w:hAnsi="黑体" w:eastAsia="黑体" w:cs="黑体"/>
                <w:b w:val="0"/>
                <w:bCs w:val="0"/>
                <w:kern w:val="0"/>
                <w:sz w:val="18"/>
                <w:szCs w:val="18"/>
              </w:rPr>
            </w:pPr>
          </w:p>
        </w:tc>
        <w:tc>
          <w:tcPr>
            <w:tcW w:w="59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772045">
            <w:pPr>
              <w:widowControl/>
              <w:jc w:val="left"/>
              <w:rPr>
                <w:rFonts w:hint="eastAsia" w:ascii="黑体" w:hAnsi="黑体" w:eastAsia="黑体" w:cs="黑体"/>
                <w:b w:val="0"/>
                <w:bCs w:val="0"/>
                <w:kern w:val="0"/>
                <w:sz w:val="18"/>
                <w:szCs w:val="18"/>
              </w:rPr>
            </w:pPr>
          </w:p>
        </w:tc>
        <w:tc>
          <w:tcPr>
            <w:tcW w:w="601" w:type="dxa"/>
            <w:vMerge w:val="continue"/>
            <w:tcBorders>
              <w:top w:val="single" w:color="auto" w:sz="4" w:space="0"/>
              <w:left w:val="single" w:color="auto" w:sz="4" w:space="0"/>
              <w:bottom w:val="single" w:color="auto" w:sz="4" w:space="0"/>
              <w:right w:val="single" w:color="auto" w:sz="4" w:space="0"/>
            </w:tcBorders>
            <w:noWrap w:val="0"/>
            <w:vAlign w:val="center"/>
          </w:tcPr>
          <w:p w14:paraId="0D85D22D">
            <w:pPr>
              <w:widowControl/>
              <w:jc w:val="left"/>
              <w:rPr>
                <w:rFonts w:hint="eastAsia" w:ascii="黑体" w:hAnsi="黑体" w:eastAsia="黑体" w:cs="黑体"/>
                <w:b w:val="0"/>
                <w:bCs w:val="0"/>
                <w:kern w:val="0"/>
                <w:sz w:val="18"/>
                <w:szCs w:val="18"/>
              </w:rPr>
            </w:pPr>
          </w:p>
        </w:tc>
        <w:tc>
          <w:tcPr>
            <w:tcW w:w="623" w:type="dxa"/>
            <w:vMerge w:val="continue"/>
            <w:tcBorders>
              <w:top w:val="single" w:color="auto" w:sz="4" w:space="0"/>
              <w:left w:val="single" w:color="auto" w:sz="4" w:space="0"/>
              <w:bottom w:val="single" w:color="auto" w:sz="4" w:space="0"/>
              <w:right w:val="single" w:color="auto" w:sz="4" w:space="0"/>
            </w:tcBorders>
            <w:noWrap w:val="0"/>
            <w:vAlign w:val="center"/>
          </w:tcPr>
          <w:p w14:paraId="1324F34C">
            <w:pPr>
              <w:widowControl/>
              <w:jc w:val="left"/>
              <w:rPr>
                <w:rFonts w:hint="eastAsia" w:ascii="黑体" w:hAnsi="黑体" w:eastAsia="黑体" w:cs="黑体"/>
                <w:b w:val="0"/>
                <w:bCs w:val="0"/>
                <w:kern w:val="0"/>
                <w:sz w:val="18"/>
                <w:szCs w:val="18"/>
              </w:rPr>
            </w:pPr>
          </w:p>
        </w:tc>
        <w:tc>
          <w:tcPr>
            <w:tcW w:w="619" w:type="dxa"/>
            <w:vMerge w:val="continue"/>
            <w:tcBorders>
              <w:top w:val="single" w:color="auto" w:sz="4" w:space="0"/>
              <w:left w:val="single" w:color="auto" w:sz="4" w:space="0"/>
              <w:bottom w:val="single" w:color="auto" w:sz="4" w:space="0"/>
              <w:right w:val="single" w:color="auto" w:sz="4" w:space="0"/>
            </w:tcBorders>
            <w:noWrap w:val="0"/>
            <w:vAlign w:val="center"/>
          </w:tcPr>
          <w:p w14:paraId="432883A2">
            <w:pPr>
              <w:widowControl/>
              <w:jc w:val="left"/>
              <w:rPr>
                <w:rFonts w:hint="eastAsia" w:ascii="黑体" w:hAnsi="黑体" w:eastAsia="黑体" w:cs="黑体"/>
                <w:b w:val="0"/>
                <w:bCs w:val="0"/>
                <w:kern w:val="0"/>
                <w:sz w:val="18"/>
                <w:szCs w:val="18"/>
              </w:rPr>
            </w:pPr>
          </w:p>
        </w:tc>
        <w:tc>
          <w:tcPr>
            <w:tcW w:w="624" w:type="dxa"/>
            <w:vMerge w:val="continue"/>
            <w:tcBorders>
              <w:top w:val="single" w:color="auto" w:sz="4" w:space="0"/>
              <w:left w:val="single" w:color="auto" w:sz="4" w:space="0"/>
              <w:bottom w:val="single" w:color="auto" w:sz="4" w:space="0"/>
              <w:right w:val="single" w:color="auto" w:sz="4" w:space="0"/>
            </w:tcBorders>
            <w:noWrap w:val="0"/>
            <w:vAlign w:val="center"/>
          </w:tcPr>
          <w:p w14:paraId="055F17FD">
            <w:pPr>
              <w:widowControl/>
              <w:jc w:val="left"/>
              <w:rPr>
                <w:rFonts w:hint="eastAsia" w:ascii="黑体" w:hAnsi="黑体" w:eastAsia="黑体" w:cs="黑体"/>
                <w:b w:val="0"/>
                <w:bCs w:val="0"/>
                <w:kern w:val="0"/>
                <w:sz w:val="18"/>
                <w:szCs w:val="18"/>
              </w:rPr>
            </w:pPr>
          </w:p>
        </w:tc>
        <w:tc>
          <w:tcPr>
            <w:tcW w:w="619" w:type="dxa"/>
            <w:vMerge w:val="continue"/>
            <w:tcBorders>
              <w:top w:val="single" w:color="auto" w:sz="4" w:space="0"/>
              <w:left w:val="single" w:color="auto" w:sz="4" w:space="0"/>
              <w:bottom w:val="single" w:color="auto" w:sz="4" w:space="0"/>
              <w:right w:val="single" w:color="auto" w:sz="4" w:space="0"/>
            </w:tcBorders>
            <w:noWrap w:val="0"/>
            <w:vAlign w:val="center"/>
          </w:tcPr>
          <w:p w14:paraId="34FE1ACE">
            <w:pPr>
              <w:widowControl/>
              <w:jc w:val="left"/>
              <w:rPr>
                <w:rFonts w:hint="eastAsia" w:ascii="黑体" w:hAnsi="黑体" w:eastAsia="黑体" w:cs="黑体"/>
                <w:b w:val="0"/>
                <w:bCs w:val="0"/>
                <w:kern w:val="0"/>
                <w:sz w:val="18"/>
                <w:szCs w:val="18"/>
              </w:rPr>
            </w:pPr>
          </w:p>
        </w:tc>
        <w:tc>
          <w:tcPr>
            <w:tcW w:w="55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1DA90F6">
            <w:pPr>
              <w:widowControl/>
              <w:jc w:val="left"/>
              <w:rPr>
                <w:rFonts w:hint="eastAsia" w:ascii="黑体" w:hAnsi="黑体" w:eastAsia="黑体" w:cs="黑体"/>
                <w:b w:val="0"/>
                <w:bCs w:val="0"/>
                <w:kern w:val="0"/>
                <w:sz w:val="18"/>
                <w:szCs w:val="18"/>
              </w:rPr>
            </w:pPr>
          </w:p>
        </w:tc>
        <w:tc>
          <w:tcPr>
            <w:tcW w:w="55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135E727">
            <w:pPr>
              <w:widowControl/>
              <w:jc w:val="left"/>
              <w:rPr>
                <w:rFonts w:hint="eastAsia" w:ascii="黑体" w:hAnsi="黑体" w:eastAsia="黑体" w:cs="黑体"/>
                <w:b w:val="0"/>
                <w:bCs w:val="0"/>
                <w:kern w:val="0"/>
                <w:sz w:val="18"/>
                <w:szCs w:val="18"/>
              </w:rPr>
            </w:pPr>
          </w:p>
        </w:tc>
        <w:tc>
          <w:tcPr>
            <w:tcW w:w="553"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2C700167">
            <w:pPr>
              <w:widowControl/>
              <w:jc w:val="left"/>
              <w:rPr>
                <w:rFonts w:hint="eastAsia" w:ascii="黑体" w:hAnsi="黑体" w:eastAsia="黑体" w:cs="黑体"/>
                <w:b w:val="0"/>
                <w:bCs w:val="0"/>
                <w:kern w:val="0"/>
                <w:sz w:val="18"/>
                <w:szCs w:val="18"/>
              </w:rPr>
            </w:pPr>
          </w:p>
        </w:tc>
        <w:tc>
          <w:tcPr>
            <w:tcW w:w="555" w:type="dxa"/>
            <w:vMerge w:val="continue"/>
            <w:tcBorders>
              <w:top w:val="single" w:color="auto" w:sz="4" w:space="0"/>
              <w:left w:val="single" w:color="auto" w:sz="4" w:space="0"/>
              <w:bottom w:val="single" w:color="auto" w:sz="4" w:space="0"/>
              <w:right w:val="single" w:color="auto" w:sz="4" w:space="0"/>
            </w:tcBorders>
            <w:noWrap w:val="0"/>
            <w:vAlign w:val="center"/>
          </w:tcPr>
          <w:p w14:paraId="185DC187">
            <w:pPr>
              <w:widowControl/>
              <w:jc w:val="left"/>
              <w:rPr>
                <w:rFonts w:hint="eastAsia" w:ascii="黑体" w:hAnsi="黑体" w:eastAsia="黑体" w:cs="黑体"/>
                <w:b w:val="0"/>
                <w:bCs w:val="0"/>
                <w:kern w:val="0"/>
                <w:sz w:val="18"/>
                <w:szCs w:val="18"/>
              </w:rPr>
            </w:pPr>
          </w:p>
        </w:tc>
        <w:tc>
          <w:tcPr>
            <w:tcW w:w="69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381E76">
            <w:pPr>
              <w:widowControl/>
              <w:jc w:val="left"/>
              <w:rPr>
                <w:rFonts w:hint="eastAsia" w:ascii="黑体" w:hAnsi="黑体" w:eastAsia="黑体" w:cs="黑体"/>
                <w:b w:val="0"/>
                <w:bCs w:val="0"/>
                <w:kern w:val="0"/>
                <w:sz w:val="18"/>
                <w:szCs w:val="18"/>
              </w:rPr>
            </w:pPr>
          </w:p>
        </w:tc>
        <w:tc>
          <w:tcPr>
            <w:tcW w:w="811" w:type="dxa"/>
            <w:vMerge w:val="continue"/>
            <w:tcBorders>
              <w:top w:val="single" w:color="auto" w:sz="4" w:space="0"/>
              <w:left w:val="single" w:color="auto" w:sz="4" w:space="0"/>
              <w:bottom w:val="single" w:color="auto" w:sz="4" w:space="0"/>
              <w:right w:val="single" w:color="auto" w:sz="4" w:space="0"/>
            </w:tcBorders>
            <w:noWrap w:val="0"/>
            <w:vAlign w:val="center"/>
          </w:tcPr>
          <w:p w14:paraId="4DAD7861">
            <w:pPr>
              <w:widowControl/>
              <w:jc w:val="left"/>
              <w:rPr>
                <w:rFonts w:hint="eastAsia" w:ascii="黑体" w:hAnsi="黑体" w:eastAsia="黑体" w:cs="黑体"/>
                <w:b w:val="0"/>
                <w:bCs w:val="0"/>
                <w:kern w:val="0"/>
                <w:sz w:val="18"/>
                <w:szCs w:val="18"/>
              </w:rPr>
            </w:pPr>
          </w:p>
        </w:tc>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23F7C7B2">
            <w:pPr>
              <w:widowControl/>
              <w:jc w:val="center"/>
              <w:rPr>
                <w:rFonts w:hint="eastAsia" w:ascii="黑体" w:hAnsi="黑体" w:eastAsia="黑体" w:cs="黑体"/>
                <w:b w:val="0"/>
                <w:bCs w:val="0"/>
                <w:kern w:val="0"/>
                <w:sz w:val="18"/>
                <w:szCs w:val="18"/>
              </w:rPr>
            </w:pPr>
          </w:p>
        </w:tc>
        <w:tc>
          <w:tcPr>
            <w:tcW w:w="724" w:type="dxa"/>
            <w:vMerge w:val="continue"/>
            <w:tcBorders>
              <w:top w:val="single" w:color="auto" w:sz="4" w:space="0"/>
              <w:left w:val="single" w:color="auto" w:sz="4" w:space="0"/>
              <w:bottom w:val="single" w:color="auto" w:sz="4" w:space="0"/>
              <w:right w:val="single" w:color="auto" w:sz="4" w:space="0"/>
            </w:tcBorders>
            <w:noWrap w:val="0"/>
            <w:vAlign w:val="center"/>
          </w:tcPr>
          <w:p w14:paraId="34DC2EC5">
            <w:pPr>
              <w:widowControl/>
              <w:jc w:val="center"/>
              <w:rPr>
                <w:rFonts w:hint="eastAsia" w:ascii="黑体" w:hAnsi="黑体" w:eastAsia="黑体" w:cs="黑体"/>
                <w:b w:val="0"/>
                <w:bCs w:val="0"/>
                <w:kern w:val="0"/>
                <w:sz w:val="18"/>
                <w:szCs w:val="18"/>
              </w:rPr>
            </w:pPr>
          </w:p>
        </w:tc>
        <w:tc>
          <w:tcPr>
            <w:tcW w:w="650" w:type="dxa"/>
            <w:vMerge w:val="continue"/>
            <w:tcBorders>
              <w:top w:val="single" w:color="auto" w:sz="4" w:space="0"/>
              <w:left w:val="single" w:color="auto" w:sz="4" w:space="0"/>
              <w:bottom w:val="single" w:color="auto" w:sz="4" w:space="0"/>
              <w:right w:val="single" w:color="auto" w:sz="4" w:space="0"/>
            </w:tcBorders>
            <w:noWrap w:val="0"/>
            <w:vAlign w:val="center"/>
          </w:tcPr>
          <w:p w14:paraId="62D1B3E4">
            <w:pPr>
              <w:widowControl/>
              <w:jc w:val="center"/>
              <w:rPr>
                <w:rFonts w:hint="eastAsia" w:ascii="黑体" w:hAnsi="黑体" w:eastAsia="黑体" w:cs="黑体"/>
                <w:b w:val="0"/>
                <w:bCs w:val="0"/>
                <w:kern w:val="0"/>
                <w:sz w:val="18"/>
                <w:szCs w:val="18"/>
              </w:rPr>
            </w:pPr>
          </w:p>
        </w:tc>
        <w:tc>
          <w:tcPr>
            <w:tcW w:w="490" w:type="dxa"/>
            <w:vMerge w:val="continue"/>
            <w:tcBorders>
              <w:top w:val="single" w:color="auto" w:sz="4" w:space="0"/>
              <w:left w:val="single" w:color="auto" w:sz="4" w:space="0"/>
              <w:bottom w:val="single" w:color="auto" w:sz="4" w:space="0"/>
              <w:right w:val="single" w:color="auto" w:sz="4" w:space="0"/>
            </w:tcBorders>
            <w:noWrap w:val="0"/>
            <w:vAlign w:val="center"/>
          </w:tcPr>
          <w:p w14:paraId="262152C2">
            <w:pPr>
              <w:widowControl/>
              <w:jc w:val="center"/>
              <w:rPr>
                <w:rFonts w:hint="eastAsia" w:ascii="黑体" w:hAnsi="黑体" w:eastAsia="黑体" w:cs="黑体"/>
                <w:b w:val="0"/>
                <w:bCs w:val="0"/>
                <w:kern w:val="0"/>
                <w:sz w:val="18"/>
                <w:szCs w:val="18"/>
              </w:rPr>
            </w:pPr>
          </w:p>
        </w:tc>
        <w:tc>
          <w:tcPr>
            <w:tcW w:w="617" w:type="dxa"/>
            <w:vMerge w:val="continue"/>
            <w:tcBorders>
              <w:top w:val="single" w:color="auto" w:sz="4" w:space="0"/>
              <w:left w:val="single" w:color="auto" w:sz="4" w:space="0"/>
              <w:bottom w:val="single" w:color="auto" w:sz="4" w:space="0"/>
              <w:right w:val="single" w:color="auto" w:sz="4" w:space="0"/>
            </w:tcBorders>
            <w:noWrap w:val="0"/>
            <w:vAlign w:val="center"/>
          </w:tcPr>
          <w:p w14:paraId="4FFD5FEF">
            <w:pPr>
              <w:widowControl/>
              <w:jc w:val="center"/>
              <w:rPr>
                <w:rFonts w:hint="eastAsia" w:ascii="黑体" w:hAnsi="黑体" w:eastAsia="黑体" w:cs="黑体"/>
                <w:b w:val="0"/>
                <w:bCs w:val="0"/>
                <w:kern w:val="0"/>
                <w:sz w:val="18"/>
                <w:szCs w:val="18"/>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14:paraId="0E90FDD0">
            <w:pPr>
              <w:widowControl/>
              <w:jc w:val="center"/>
              <w:rPr>
                <w:rFonts w:hint="eastAsia" w:ascii="黑体" w:hAnsi="黑体" w:eastAsia="黑体" w:cs="黑体"/>
                <w:b w:val="0"/>
                <w:bCs w:val="0"/>
                <w:kern w:val="0"/>
                <w:sz w:val="18"/>
                <w:szCs w:val="18"/>
              </w:rPr>
            </w:pPr>
          </w:p>
        </w:tc>
        <w:tc>
          <w:tcPr>
            <w:tcW w:w="561" w:type="dxa"/>
            <w:tcBorders>
              <w:top w:val="single" w:color="auto" w:sz="4" w:space="0"/>
              <w:left w:val="single" w:color="auto" w:sz="4" w:space="0"/>
              <w:bottom w:val="single" w:color="auto" w:sz="4" w:space="0"/>
              <w:right w:val="single" w:color="auto" w:sz="4" w:space="0"/>
            </w:tcBorders>
            <w:noWrap w:val="0"/>
            <w:vAlign w:val="center"/>
          </w:tcPr>
          <w:p w14:paraId="749FDD6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合计</w:t>
            </w:r>
          </w:p>
        </w:tc>
        <w:tc>
          <w:tcPr>
            <w:tcW w:w="592" w:type="dxa"/>
            <w:tcBorders>
              <w:top w:val="single" w:color="auto" w:sz="4" w:space="0"/>
              <w:left w:val="single" w:color="auto" w:sz="4" w:space="0"/>
              <w:bottom w:val="single" w:color="auto" w:sz="4" w:space="0"/>
              <w:right w:val="single" w:color="auto" w:sz="4" w:space="0"/>
            </w:tcBorders>
            <w:noWrap w:val="0"/>
            <w:vAlign w:val="center"/>
          </w:tcPr>
          <w:p w14:paraId="3D1CAB1A">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其中专任教师</w:t>
            </w:r>
          </w:p>
        </w:tc>
        <w:tc>
          <w:tcPr>
            <w:tcW w:w="561" w:type="dxa"/>
            <w:tcBorders>
              <w:top w:val="single" w:color="auto" w:sz="4" w:space="0"/>
              <w:left w:val="single" w:color="auto" w:sz="4" w:space="0"/>
              <w:bottom w:val="single" w:color="auto" w:sz="4" w:space="0"/>
              <w:right w:val="single" w:color="auto" w:sz="4" w:space="0"/>
            </w:tcBorders>
            <w:noWrap w:val="0"/>
            <w:vAlign w:val="center"/>
          </w:tcPr>
          <w:p w14:paraId="6EF08B9B">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合计</w:t>
            </w:r>
          </w:p>
        </w:tc>
        <w:tc>
          <w:tcPr>
            <w:tcW w:w="562" w:type="dxa"/>
            <w:tcBorders>
              <w:top w:val="single" w:color="auto" w:sz="4" w:space="0"/>
              <w:left w:val="single" w:color="auto" w:sz="4" w:space="0"/>
              <w:bottom w:val="single" w:color="auto" w:sz="4" w:space="0"/>
              <w:right w:val="single" w:color="auto" w:sz="4" w:space="0"/>
            </w:tcBorders>
            <w:noWrap w:val="0"/>
            <w:vAlign w:val="center"/>
          </w:tcPr>
          <w:p w14:paraId="4D075B9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其中专任教师</w:t>
            </w:r>
          </w:p>
        </w:tc>
      </w:tr>
      <w:tr w14:paraId="50E07824">
        <w:tblPrEx>
          <w:tblCellMar>
            <w:top w:w="0" w:type="dxa"/>
            <w:left w:w="108" w:type="dxa"/>
            <w:bottom w:w="0" w:type="dxa"/>
            <w:right w:w="108" w:type="dxa"/>
          </w:tblCellMar>
        </w:tblPrEx>
        <w:trPr>
          <w:gridAfter w:val="1"/>
          <w:wAfter w:w="48" w:type="dxa"/>
          <w:trHeight w:val="570" w:hRule="atLeast"/>
          <w:jc w:val="center"/>
        </w:trPr>
        <w:tc>
          <w:tcPr>
            <w:tcW w:w="528" w:type="dxa"/>
            <w:vMerge w:val="continue"/>
            <w:tcBorders>
              <w:top w:val="single" w:color="auto" w:sz="4" w:space="0"/>
              <w:left w:val="single" w:color="auto" w:sz="4" w:space="0"/>
              <w:bottom w:val="single" w:color="000000" w:sz="4" w:space="0"/>
              <w:right w:val="single" w:color="auto" w:sz="4" w:space="0"/>
            </w:tcBorders>
            <w:noWrap w:val="0"/>
            <w:vAlign w:val="center"/>
          </w:tcPr>
          <w:p w14:paraId="60E845BE">
            <w:pPr>
              <w:widowControl/>
              <w:jc w:val="left"/>
              <w:rPr>
                <w:rFonts w:hint="eastAsia" w:ascii="仿宋_GB2312" w:hAnsi="仿宋_GB2312" w:eastAsia="仿宋_GB2312" w:cs="仿宋_GB2312"/>
                <w:b/>
                <w:bCs/>
                <w:kern w:val="0"/>
                <w:sz w:val="18"/>
                <w:szCs w:val="18"/>
              </w:rPr>
            </w:pPr>
          </w:p>
        </w:tc>
        <w:tc>
          <w:tcPr>
            <w:tcW w:w="640" w:type="dxa"/>
            <w:tcBorders>
              <w:top w:val="single" w:color="auto" w:sz="4" w:space="0"/>
              <w:left w:val="nil"/>
              <w:bottom w:val="single" w:color="auto" w:sz="4" w:space="0"/>
              <w:right w:val="single" w:color="auto" w:sz="4" w:space="0"/>
            </w:tcBorders>
            <w:noWrap w:val="0"/>
            <w:vAlign w:val="center"/>
          </w:tcPr>
          <w:p w14:paraId="6F420EED">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w:t>
            </w:r>
          </w:p>
        </w:tc>
        <w:tc>
          <w:tcPr>
            <w:tcW w:w="556" w:type="dxa"/>
            <w:gridSpan w:val="3"/>
            <w:tcBorders>
              <w:top w:val="single" w:color="auto" w:sz="4" w:space="0"/>
              <w:left w:val="nil"/>
              <w:bottom w:val="single" w:color="auto" w:sz="4" w:space="0"/>
              <w:right w:val="single" w:color="auto" w:sz="4" w:space="0"/>
            </w:tcBorders>
            <w:noWrap w:val="0"/>
            <w:vAlign w:val="center"/>
          </w:tcPr>
          <w:p w14:paraId="63F2CDFB">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L2</w:t>
            </w:r>
          </w:p>
        </w:tc>
        <w:tc>
          <w:tcPr>
            <w:tcW w:w="598" w:type="dxa"/>
            <w:gridSpan w:val="2"/>
            <w:tcBorders>
              <w:top w:val="single" w:color="auto" w:sz="4" w:space="0"/>
              <w:left w:val="nil"/>
              <w:bottom w:val="single" w:color="auto" w:sz="4" w:space="0"/>
              <w:right w:val="single" w:color="auto" w:sz="4" w:space="0"/>
            </w:tcBorders>
            <w:noWrap w:val="0"/>
            <w:vAlign w:val="center"/>
          </w:tcPr>
          <w:p w14:paraId="26EB11DC">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L3</w:t>
            </w:r>
          </w:p>
        </w:tc>
        <w:tc>
          <w:tcPr>
            <w:tcW w:w="601" w:type="dxa"/>
            <w:tcBorders>
              <w:top w:val="single" w:color="auto" w:sz="4" w:space="0"/>
              <w:left w:val="nil"/>
              <w:bottom w:val="single" w:color="auto" w:sz="4" w:space="0"/>
              <w:right w:val="single" w:color="auto" w:sz="4" w:space="0"/>
            </w:tcBorders>
            <w:noWrap w:val="0"/>
            <w:vAlign w:val="center"/>
          </w:tcPr>
          <w:p w14:paraId="6600318B">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L4</w:t>
            </w:r>
          </w:p>
        </w:tc>
        <w:tc>
          <w:tcPr>
            <w:tcW w:w="623" w:type="dxa"/>
            <w:tcBorders>
              <w:top w:val="single" w:color="auto" w:sz="4" w:space="0"/>
              <w:left w:val="nil"/>
              <w:bottom w:val="single" w:color="auto" w:sz="4" w:space="0"/>
              <w:right w:val="single" w:color="auto" w:sz="4" w:space="0"/>
            </w:tcBorders>
            <w:noWrap w:val="0"/>
            <w:vAlign w:val="center"/>
          </w:tcPr>
          <w:p w14:paraId="4FC3B97D">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L5</w:t>
            </w:r>
          </w:p>
        </w:tc>
        <w:tc>
          <w:tcPr>
            <w:tcW w:w="619" w:type="dxa"/>
            <w:tcBorders>
              <w:top w:val="single" w:color="auto" w:sz="4" w:space="0"/>
              <w:left w:val="nil"/>
              <w:bottom w:val="single" w:color="auto" w:sz="4" w:space="0"/>
              <w:right w:val="single" w:color="auto" w:sz="4" w:space="0"/>
            </w:tcBorders>
            <w:noWrap w:val="0"/>
            <w:vAlign w:val="center"/>
          </w:tcPr>
          <w:p w14:paraId="07F06B34">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L6</w:t>
            </w:r>
          </w:p>
        </w:tc>
        <w:tc>
          <w:tcPr>
            <w:tcW w:w="624" w:type="dxa"/>
            <w:tcBorders>
              <w:top w:val="single" w:color="auto" w:sz="4" w:space="0"/>
              <w:left w:val="nil"/>
              <w:bottom w:val="single" w:color="auto" w:sz="4" w:space="0"/>
              <w:right w:val="single" w:color="auto" w:sz="4" w:space="0"/>
            </w:tcBorders>
            <w:noWrap w:val="0"/>
            <w:vAlign w:val="center"/>
          </w:tcPr>
          <w:p w14:paraId="67171E7A">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L7</w:t>
            </w:r>
          </w:p>
        </w:tc>
        <w:tc>
          <w:tcPr>
            <w:tcW w:w="619" w:type="dxa"/>
            <w:tcBorders>
              <w:top w:val="single" w:color="auto" w:sz="4" w:space="0"/>
              <w:left w:val="nil"/>
              <w:bottom w:val="single" w:color="auto" w:sz="4" w:space="0"/>
              <w:right w:val="single" w:color="auto" w:sz="4" w:space="0"/>
            </w:tcBorders>
            <w:noWrap w:val="0"/>
            <w:vAlign w:val="center"/>
          </w:tcPr>
          <w:p w14:paraId="71636433">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L8</w:t>
            </w:r>
          </w:p>
        </w:tc>
        <w:tc>
          <w:tcPr>
            <w:tcW w:w="553" w:type="dxa"/>
            <w:gridSpan w:val="3"/>
            <w:tcBorders>
              <w:top w:val="single" w:color="auto" w:sz="4" w:space="0"/>
              <w:left w:val="nil"/>
              <w:bottom w:val="single" w:color="auto" w:sz="4" w:space="0"/>
              <w:right w:val="single" w:color="auto" w:sz="4" w:space="0"/>
            </w:tcBorders>
            <w:noWrap w:val="0"/>
            <w:vAlign w:val="center"/>
          </w:tcPr>
          <w:p w14:paraId="4E155826">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L9</w:t>
            </w:r>
          </w:p>
        </w:tc>
        <w:tc>
          <w:tcPr>
            <w:tcW w:w="553" w:type="dxa"/>
            <w:gridSpan w:val="2"/>
            <w:tcBorders>
              <w:top w:val="single" w:color="auto" w:sz="4" w:space="0"/>
              <w:left w:val="nil"/>
              <w:bottom w:val="single" w:color="auto" w:sz="4" w:space="0"/>
              <w:right w:val="single" w:color="auto" w:sz="4" w:space="0"/>
            </w:tcBorders>
            <w:noWrap w:val="0"/>
            <w:vAlign w:val="center"/>
          </w:tcPr>
          <w:p w14:paraId="499598D0">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L10</w:t>
            </w:r>
          </w:p>
        </w:tc>
        <w:tc>
          <w:tcPr>
            <w:tcW w:w="553" w:type="dxa"/>
            <w:gridSpan w:val="2"/>
            <w:tcBorders>
              <w:top w:val="single" w:color="auto" w:sz="4" w:space="0"/>
              <w:left w:val="nil"/>
              <w:bottom w:val="single" w:color="auto" w:sz="4" w:space="0"/>
              <w:right w:val="single" w:color="auto" w:sz="4" w:space="0"/>
            </w:tcBorders>
            <w:noWrap w:val="0"/>
            <w:vAlign w:val="center"/>
          </w:tcPr>
          <w:p w14:paraId="3C6C04D9">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L11</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1D7C95D2">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L12</w:t>
            </w:r>
          </w:p>
        </w:tc>
        <w:tc>
          <w:tcPr>
            <w:tcW w:w="692" w:type="dxa"/>
            <w:gridSpan w:val="2"/>
            <w:tcBorders>
              <w:top w:val="single" w:color="auto" w:sz="4" w:space="0"/>
              <w:left w:val="nil"/>
              <w:bottom w:val="single" w:color="auto" w:sz="4" w:space="0"/>
              <w:right w:val="single" w:color="auto" w:sz="4" w:space="0"/>
            </w:tcBorders>
            <w:noWrap w:val="0"/>
            <w:vAlign w:val="center"/>
          </w:tcPr>
          <w:p w14:paraId="67335C79">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L13</w:t>
            </w:r>
          </w:p>
        </w:tc>
        <w:tc>
          <w:tcPr>
            <w:tcW w:w="811" w:type="dxa"/>
            <w:tcBorders>
              <w:top w:val="single" w:color="auto" w:sz="4" w:space="0"/>
              <w:left w:val="nil"/>
              <w:bottom w:val="single" w:color="auto" w:sz="4" w:space="0"/>
              <w:right w:val="single" w:color="auto" w:sz="4" w:space="0"/>
            </w:tcBorders>
            <w:noWrap w:val="0"/>
            <w:vAlign w:val="center"/>
          </w:tcPr>
          <w:p w14:paraId="2E3815F5">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L14</w:t>
            </w:r>
          </w:p>
        </w:tc>
        <w:tc>
          <w:tcPr>
            <w:tcW w:w="540" w:type="dxa"/>
            <w:tcBorders>
              <w:top w:val="single" w:color="auto" w:sz="4" w:space="0"/>
              <w:left w:val="nil"/>
              <w:bottom w:val="single" w:color="auto" w:sz="4" w:space="0"/>
              <w:right w:val="single" w:color="auto" w:sz="4" w:space="0"/>
            </w:tcBorders>
            <w:noWrap w:val="0"/>
            <w:vAlign w:val="center"/>
          </w:tcPr>
          <w:p w14:paraId="454339A3">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L15</w:t>
            </w:r>
          </w:p>
        </w:tc>
        <w:tc>
          <w:tcPr>
            <w:tcW w:w="724" w:type="dxa"/>
            <w:tcBorders>
              <w:top w:val="single" w:color="auto" w:sz="4" w:space="0"/>
              <w:left w:val="nil"/>
              <w:bottom w:val="single" w:color="auto" w:sz="4" w:space="0"/>
              <w:right w:val="single" w:color="auto" w:sz="4" w:space="0"/>
            </w:tcBorders>
            <w:noWrap w:val="0"/>
            <w:vAlign w:val="center"/>
          </w:tcPr>
          <w:p w14:paraId="6BD95253">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L16</w:t>
            </w:r>
          </w:p>
        </w:tc>
        <w:tc>
          <w:tcPr>
            <w:tcW w:w="650" w:type="dxa"/>
            <w:tcBorders>
              <w:top w:val="single" w:color="auto" w:sz="4" w:space="0"/>
              <w:left w:val="nil"/>
              <w:bottom w:val="single" w:color="auto" w:sz="4" w:space="0"/>
              <w:right w:val="single" w:color="auto" w:sz="4" w:space="0"/>
            </w:tcBorders>
            <w:noWrap w:val="0"/>
            <w:vAlign w:val="center"/>
          </w:tcPr>
          <w:p w14:paraId="5060442D">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L17</w:t>
            </w:r>
          </w:p>
        </w:tc>
        <w:tc>
          <w:tcPr>
            <w:tcW w:w="490" w:type="dxa"/>
            <w:tcBorders>
              <w:top w:val="single" w:color="auto" w:sz="4" w:space="0"/>
              <w:left w:val="nil"/>
              <w:bottom w:val="single" w:color="auto" w:sz="4" w:space="0"/>
              <w:right w:val="single" w:color="auto" w:sz="4" w:space="0"/>
            </w:tcBorders>
            <w:noWrap w:val="0"/>
            <w:vAlign w:val="center"/>
          </w:tcPr>
          <w:p w14:paraId="6EB874E3">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L18</w:t>
            </w:r>
          </w:p>
        </w:tc>
        <w:tc>
          <w:tcPr>
            <w:tcW w:w="617" w:type="dxa"/>
            <w:tcBorders>
              <w:top w:val="single" w:color="auto" w:sz="4" w:space="0"/>
              <w:left w:val="nil"/>
              <w:bottom w:val="single" w:color="auto" w:sz="4" w:space="0"/>
              <w:right w:val="single" w:color="auto" w:sz="4" w:space="0"/>
            </w:tcBorders>
            <w:noWrap w:val="0"/>
            <w:vAlign w:val="center"/>
          </w:tcPr>
          <w:p w14:paraId="2F28E4C3">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L19</w:t>
            </w:r>
          </w:p>
        </w:tc>
        <w:tc>
          <w:tcPr>
            <w:tcW w:w="578" w:type="dxa"/>
            <w:tcBorders>
              <w:top w:val="single" w:color="auto" w:sz="4" w:space="0"/>
              <w:left w:val="nil"/>
              <w:bottom w:val="single" w:color="auto" w:sz="4" w:space="0"/>
              <w:right w:val="single" w:color="auto" w:sz="4" w:space="0"/>
            </w:tcBorders>
            <w:noWrap w:val="0"/>
            <w:vAlign w:val="center"/>
          </w:tcPr>
          <w:p w14:paraId="4A156466">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L20</w:t>
            </w:r>
          </w:p>
        </w:tc>
        <w:tc>
          <w:tcPr>
            <w:tcW w:w="561" w:type="dxa"/>
            <w:tcBorders>
              <w:top w:val="single" w:color="auto" w:sz="4" w:space="0"/>
              <w:left w:val="nil"/>
              <w:bottom w:val="single" w:color="auto" w:sz="4" w:space="0"/>
              <w:right w:val="single" w:color="auto" w:sz="4" w:space="0"/>
            </w:tcBorders>
            <w:noWrap w:val="0"/>
            <w:vAlign w:val="center"/>
          </w:tcPr>
          <w:p w14:paraId="326BAAE5">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L21</w:t>
            </w:r>
          </w:p>
        </w:tc>
        <w:tc>
          <w:tcPr>
            <w:tcW w:w="592" w:type="dxa"/>
            <w:tcBorders>
              <w:top w:val="single" w:color="auto" w:sz="4" w:space="0"/>
              <w:left w:val="nil"/>
              <w:bottom w:val="single" w:color="auto" w:sz="4" w:space="0"/>
              <w:right w:val="single" w:color="auto" w:sz="4" w:space="0"/>
            </w:tcBorders>
            <w:noWrap w:val="0"/>
            <w:vAlign w:val="center"/>
          </w:tcPr>
          <w:p w14:paraId="22849776">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L22</w:t>
            </w:r>
          </w:p>
        </w:tc>
        <w:tc>
          <w:tcPr>
            <w:tcW w:w="561" w:type="dxa"/>
            <w:tcBorders>
              <w:top w:val="single" w:color="auto" w:sz="4" w:space="0"/>
              <w:left w:val="nil"/>
              <w:bottom w:val="single" w:color="auto" w:sz="4" w:space="0"/>
              <w:right w:val="single" w:color="auto" w:sz="4" w:space="0"/>
            </w:tcBorders>
            <w:noWrap w:val="0"/>
            <w:vAlign w:val="center"/>
          </w:tcPr>
          <w:p w14:paraId="533C13D5">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L23</w:t>
            </w:r>
          </w:p>
        </w:tc>
        <w:tc>
          <w:tcPr>
            <w:tcW w:w="562" w:type="dxa"/>
            <w:tcBorders>
              <w:top w:val="single" w:color="auto" w:sz="4" w:space="0"/>
              <w:left w:val="nil"/>
              <w:bottom w:val="single" w:color="auto" w:sz="4" w:space="0"/>
              <w:right w:val="single" w:color="auto" w:sz="4" w:space="0"/>
            </w:tcBorders>
            <w:noWrap w:val="0"/>
            <w:vAlign w:val="center"/>
          </w:tcPr>
          <w:p w14:paraId="2A5D8A82">
            <w:pPr>
              <w:widowControl/>
              <w:jc w:val="center"/>
              <w:rPr>
                <w:rFonts w:hint="eastAsia" w:ascii="仿宋_GB2312" w:hAnsi="仿宋_GB2312" w:eastAsia="仿宋_GB2312" w:cs="仿宋_GB2312"/>
                <w:b/>
                <w:bCs/>
                <w:kern w:val="0"/>
                <w:sz w:val="18"/>
                <w:szCs w:val="18"/>
              </w:rPr>
            </w:pPr>
            <w:r>
              <w:rPr>
                <w:rFonts w:hint="eastAsia" w:ascii="Times New Roman" w:hAnsi="Times New Roman" w:eastAsia="仿宋_GB2312" w:cs="仿宋_GB2312"/>
                <w:b/>
                <w:bCs/>
                <w:kern w:val="0"/>
                <w:sz w:val="18"/>
                <w:szCs w:val="18"/>
              </w:rPr>
              <w:t>L24</w:t>
            </w:r>
          </w:p>
        </w:tc>
      </w:tr>
      <w:tr w14:paraId="777B41F7">
        <w:tblPrEx>
          <w:tblCellMar>
            <w:top w:w="0" w:type="dxa"/>
            <w:left w:w="108" w:type="dxa"/>
            <w:bottom w:w="0" w:type="dxa"/>
            <w:right w:w="108" w:type="dxa"/>
          </w:tblCellMar>
        </w:tblPrEx>
        <w:trPr>
          <w:gridAfter w:val="1"/>
          <w:wAfter w:w="48" w:type="dxa"/>
          <w:trHeight w:val="1560" w:hRule="atLeast"/>
          <w:jc w:val="center"/>
        </w:trPr>
        <w:tc>
          <w:tcPr>
            <w:tcW w:w="528" w:type="dxa"/>
            <w:tcBorders>
              <w:top w:val="nil"/>
              <w:left w:val="single" w:color="auto" w:sz="4" w:space="0"/>
              <w:bottom w:val="single" w:color="auto" w:sz="4" w:space="0"/>
              <w:right w:val="single" w:color="auto" w:sz="4" w:space="0"/>
            </w:tcBorders>
            <w:noWrap w:val="0"/>
            <w:vAlign w:val="center"/>
          </w:tcPr>
          <w:p w14:paraId="67B8095E">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全县</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总计</w:t>
            </w:r>
          </w:p>
        </w:tc>
        <w:tc>
          <w:tcPr>
            <w:tcW w:w="640" w:type="dxa"/>
            <w:tcBorders>
              <w:top w:val="nil"/>
              <w:left w:val="nil"/>
              <w:bottom w:val="single" w:color="auto" w:sz="4" w:space="0"/>
              <w:right w:val="single" w:color="auto" w:sz="4" w:space="0"/>
            </w:tcBorders>
            <w:noWrap w:val="0"/>
            <w:vAlign w:val="center"/>
          </w:tcPr>
          <w:p w14:paraId="636AA728">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159</w:t>
            </w:r>
            <w:r>
              <w:rPr>
                <w:rFonts w:hint="eastAsia" w:ascii="仿宋_GB2312" w:hAnsi="仿宋_GB2312" w:eastAsia="仿宋_GB2312" w:cs="仿宋_GB2312"/>
                <w:b/>
                <w:bCs/>
                <w:color w:val="000000"/>
                <w:sz w:val="13"/>
                <w:szCs w:val="13"/>
              </w:rPr>
              <w:t>.</w:t>
            </w:r>
            <w:r>
              <w:rPr>
                <w:rFonts w:hint="eastAsia" w:ascii="Times New Roman" w:hAnsi="Times New Roman" w:eastAsia="仿宋_GB2312" w:cs="仿宋_GB2312"/>
                <w:b/>
                <w:bCs/>
                <w:color w:val="000000"/>
                <w:sz w:val="13"/>
                <w:szCs w:val="13"/>
              </w:rPr>
              <w:t>97</w:t>
            </w:r>
          </w:p>
        </w:tc>
        <w:tc>
          <w:tcPr>
            <w:tcW w:w="556" w:type="dxa"/>
            <w:gridSpan w:val="3"/>
            <w:tcBorders>
              <w:top w:val="nil"/>
              <w:left w:val="nil"/>
              <w:bottom w:val="single" w:color="auto" w:sz="4" w:space="0"/>
              <w:right w:val="single" w:color="auto" w:sz="4" w:space="0"/>
            </w:tcBorders>
            <w:noWrap w:val="0"/>
            <w:vAlign w:val="center"/>
          </w:tcPr>
          <w:p w14:paraId="15525886">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76</w:t>
            </w:r>
          </w:p>
        </w:tc>
        <w:tc>
          <w:tcPr>
            <w:tcW w:w="598" w:type="dxa"/>
            <w:gridSpan w:val="2"/>
            <w:tcBorders>
              <w:top w:val="nil"/>
              <w:left w:val="nil"/>
              <w:bottom w:val="single" w:color="auto" w:sz="4" w:space="0"/>
              <w:right w:val="single" w:color="auto" w:sz="4" w:space="0"/>
            </w:tcBorders>
            <w:noWrap w:val="0"/>
            <w:vAlign w:val="center"/>
          </w:tcPr>
          <w:p w14:paraId="3518E38D">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13</w:t>
            </w:r>
          </w:p>
        </w:tc>
        <w:tc>
          <w:tcPr>
            <w:tcW w:w="601" w:type="dxa"/>
            <w:tcBorders>
              <w:top w:val="nil"/>
              <w:left w:val="nil"/>
              <w:bottom w:val="single" w:color="auto" w:sz="4" w:space="0"/>
              <w:right w:val="single" w:color="auto" w:sz="4" w:space="0"/>
            </w:tcBorders>
            <w:noWrap w:val="0"/>
            <w:vAlign w:val="center"/>
          </w:tcPr>
          <w:p w14:paraId="61DA6178">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285</w:t>
            </w:r>
          </w:p>
        </w:tc>
        <w:tc>
          <w:tcPr>
            <w:tcW w:w="623" w:type="dxa"/>
            <w:tcBorders>
              <w:top w:val="nil"/>
              <w:left w:val="nil"/>
              <w:bottom w:val="single" w:color="auto" w:sz="4" w:space="0"/>
              <w:right w:val="single" w:color="auto" w:sz="4" w:space="0"/>
            </w:tcBorders>
            <w:noWrap w:val="0"/>
            <w:vAlign w:val="center"/>
          </w:tcPr>
          <w:p w14:paraId="7FBDAD88">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88289</w:t>
            </w:r>
          </w:p>
        </w:tc>
        <w:tc>
          <w:tcPr>
            <w:tcW w:w="619" w:type="dxa"/>
            <w:tcBorders>
              <w:top w:val="nil"/>
              <w:left w:val="nil"/>
              <w:bottom w:val="single" w:color="auto" w:sz="4" w:space="0"/>
              <w:right w:val="single" w:color="auto" w:sz="4" w:space="0"/>
            </w:tcBorders>
            <w:noWrap w:val="0"/>
            <w:vAlign w:val="center"/>
          </w:tcPr>
          <w:p w14:paraId="0B49CC63">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5899</w:t>
            </w:r>
          </w:p>
        </w:tc>
        <w:tc>
          <w:tcPr>
            <w:tcW w:w="624" w:type="dxa"/>
            <w:tcBorders>
              <w:top w:val="nil"/>
              <w:left w:val="nil"/>
              <w:bottom w:val="single" w:color="auto" w:sz="4" w:space="0"/>
              <w:right w:val="single" w:color="auto" w:sz="4" w:space="0"/>
            </w:tcBorders>
            <w:noWrap w:val="0"/>
            <w:vAlign w:val="center"/>
          </w:tcPr>
          <w:p w14:paraId="4F7EFDB1">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38207</w:t>
            </w:r>
          </w:p>
        </w:tc>
        <w:tc>
          <w:tcPr>
            <w:tcW w:w="619" w:type="dxa"/>
            <w:tcBorders>
              <w:top w:val="nil"/>
              <w:left w:val="nil"/>
              <w:bottom w:val="single" w:color="auto" w:sz="4" w:space="0"/>
              <w:right w:val="single" w:color="auto" w:sz="4" w:space="0"/>
            </w:tcBorders>
            <w:noWrap w:val="0"/>
            <w:vAlign w:val="center"/>
          </w:tcPr>
          <w:p w14:paraId="7A5EDE74">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66399</w:t>
            </w:r>
          </w:p>
        </w:tc>
        <w:tc>
          <w:tcPr>
            <w:tcW w:w="553" w:type="dxa"/>
            <w:gridSpan w:val="3"/>
            <w:tcBorders>
              <w:top w:val="nil"/>
              <w:left w:val="nil"/>
              <w:bottom w:val="single" w:color="auto" w:sz="4" w:space="0"/>
              <w:right w:val="single" w:color="auto" w:sz="4" w:space="0"/>
            </w:tcBorders>
            <w:noWrap w:val="0"/>
            <w:vAlign w:val="center"/>
          </w:tcPr>
          <w:p w14:paraId="45A49F21">
            <w:pPr>
              <w:spacing w:beforeLines="0" w:afterLines="0"/>
              <w:jc w:val="center"/>
              <w:rPr>
                <w:rFonts w:hint="eastAsia" w:ascii="仿宋_GB2312" w:hAnsi="仿宋_GB2312" w:eastAsia="仿宋_GB2312" w:cs="仿宋_GB2312"/>
                <w:b/>
                <w:bCs/>
                <w:kern w:val="0"/>
                <w:sz w:val="13"/>
                <w:szCs w:val="13"/>
                <w:lang w:val="en-US"/>
              </w:rPr>
            </w:pPr>
            <w:r>
              <w:rPr>
                <w:rFonts w:hint="eastAsia" w:ascii="Times New Roman" w:hAnsi="Times New Roman" w:eastAsia="仿宋_GB2312" w:cs="仿宋_GB2312"/>
                <w:b/>
                <w:bCs/>
                <w:color w:val="000000"/>
                <w:sz w:val="13"/>
                <w:szCs w:val="13"/>
              </w:rPr>
              <w:t>152</w:t>
            </w:r>
          </w:p>
        </w:tc>
        <w:tc>
          <w:tcPr>
            <w:tcW w:w="553" w:type="dxa"/>
            <w:gridSpan w:val="2"/>
            <w:tcBorders>
              <w:top w:val="nil"/>
              <w:left w:val="nil"/>
              <w:bottom w:val="single" w:color="auto" w:sz="4" w:space="0"/>
              <w:right w:val="single" w:color="auto" w:sz="4" w:space="0"/>
            </w:tcBorders>
            <w:noWrap w:val="0"/>
            <w:vAlign w:val="center"/>
          </w:tcPr>
          <w:p w14:paraId="431D1A7A">
            <w:pPr>
              <w:spacing w:beforeLines="0" w:afterLines="0"/>
              <w:jc w:val="center"/>
              <w:rPr>
                <w:rFonts w:hint="eastAsia" w:ascii="仿宋_GB2312" w:hAnsi="仿宋_GB2312" w:eastAsia="仿宋_GB2312" w:cs="仿宋_GB2312"/>
                <w:b/>
                <w:bCs/>
                <w:kern w:val="0"/>
                <w:sz w:val="13"/>
                <w:szCs w:val="13"/>
                <w:lang w:val="en-US" w:eastAsia="zh-CN"/>
              </w:rPr>
            </w:pPr>
            <w:r>
              <w:rPr>
                <w:rFonts w:hint="eastAsia" w:ascii="Times New Roman" w:hAnsi="Times New Roman" w:eastAsia="仿宋_GB2312" w:cs="仿宋_GB2312"/>
                <w:b/>
                <w:bCs/>
                <w:color w:val="000000"/>
                <w:sz w:val="13"/>
                <w:szCs w:val="13"/>
              </w:rPr>
              <w:t>22</w:t>
            </w:r>
          </w:p>
        </w:tc>
        <w:tc>
          <w:tcPr>
            <w:tcW w:w="553" w:type="dxa"/>
            <w:gridSpan w:val="2"/>
            <w:tcBorders>
              <w:top w:val="nil"/>
              <w:left w:val="nil"/>
              <w:bottom w:val="single" w:color="auto" w:sz="4" w:space="0"/>
              <w:right w:val="single" w:color="auto" w:sz="4" w:space="0"/>
            </w:tcBorders>
            <w:noWrap w:val="0"/>
            <w:vAlign w:val="center"/>
          </w:tcPr>
          <w:p w14:paraId="4E160B59">
            <w:pPr>
              <w:spacing w:beforeLines="0" w:afterLines="0"/>
              <w:jc w:val="center"/>
              <w:rPr>
                <w:rFonts w:hint="eastAsia" w:ascii="仿宋_GB2312" w:hAnsi="仿宋_GB2312" w:eastAsia="仿宋_GB2312" w:cs="仿宋_GB2312"/>
                <w:b/>
                <w:bCs/>
                <w:kern w:val="0"/>
                <w:sz w:val="13"/>
                <w:szCs w:val="13"/>
                <w:lang w:val="en-US"/>
              </w:rPr>
            </w:pPr>
            <w:r>
              <w:rPr>
                <w:rFonts w:hint="eastAsia" w:ascii="Times New Roman" w:hAnsi="Times New Roman" w:eastAsia="仿宋_GB2312" w:cs="仿宋_GB2312"/>
                <w:b/>
                <w:bCs/>
                <w:color w:val="000000"/>
                <w:sz w:val="13"/>
                <w:szCs w:val="13"/>
              </w:rPr>
              <w:t>33</w:t>
            </w:r>
          </w:p>
        </w:tc>
        <w:tc>
          <w:tcPr>
            <w:tcW w:w="555" w:type="dxa"/>
            <w:tcBorders>
              <w:top w:val="nil"/>
              <w:left w:val="single" w:color="auto" w:sz="4" w:space="0"/>
              <w:bottom w:val="single" w:color="auto" w:sz="4" w:space="0"/>
              <w:right w:val="single" w:color="auto" w:sz="4" w:space="0"/>
            </w:tcBorders>
            <w:noWrap w:val="0"/>
            <w:vAlign w:val="center"/>
          </w:tcPr>
          <w:p w14:paraId="4BECADC7">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8</w:t>
            </w:r>
          </w:p>
        </w:tc>
        <w:tc>
          <w:tcPr>
            <w:tcW w:w="692" w:type="dxa"/>
            <w:gridSpan w:val="2"/>
            <w:tcBorders>
              <w:top w:val="nil"/>
              <w:left w:val="nil"/>
              <w:bottom w:val="single" w:color="auto" w:sz="4" w:space="0"/>
              <w:right w:val="single" w:color="auto" w:sz="4" w:space="0"/>
            </w:tcBorders>
            <w:noWrap w:val="0"/>
            <w:vAlign w:val="center"/>
          </w:tcPr>
          <w:p w14:paraId="1DB63BF5">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3</w:t>
            </w:r>
          </w:p>
        </w:tc>
        <w:tc>
          <w:tcPr>
            <w:tcW w:w="811" w:type="dxa"/>
            <w:tcBorders>
              <w:top w:val="nil"/>
              <w:left w:val="nil"/>
              <w:bottom w:val="single" w:color="auto" w:sz="4" w:space="0"/>
              <w:right w:val="single" w:color="auto" w:sz="4" w:space="0"/>
            </w:tcBorders>
            <w:noWrap w:val="0"/>
            <w:vAlign w:val="center"/>
          </w:tcPr>
          <w:p w14:paraId="242C84AF">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1</w:t>
            </w:r>
          </w:p>
        </w:tc>
        <w:tc>
          <w:tcPr>
            <w:tcW w:w="540" w:type="dxa"/>
            <w:tcBorders>
              <w:top w:val="nil"/>
              <w:left w:val="nil"/>
              <w:bottom w:val="single" w:color="auto" w:sz="4" w:space="0"/>
              <w:right w:val="single" w:color="auto" w:sz="4" w:space="0"/>
            </w:tcBorders>
            <w:noWrap w:val="0"/>
            <w:vAlign w:val="center"/>
          </w:tcPr>
          <w:p w14:paraId="253BF1F1">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22</w:t>
            </w:r>
          </w:p>
        </w:tc>
        <w:tc>
          <w:tcPr>
            <w:tcW w:w="724" w:type="dxa"/>
            <w:tcBorders>
              <w:top w:val="nil"/>
              <w:left w:val="nil"/>
              <w:bottom w:val="single" w:color="auto" w:sz="4" w:space="0"/>
              <w:right w:val="single" w:color="auto" w:sz="4" w:space="0"/>
            </w:tcBorders>
            <w:noWrap w:val="0"/>
            <w:vAlign w:val="center"/>
          </w:tcPr>
          <w:p w14:paraId="42632171">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21</w:t>
            </w:r>
          </w:p>
        </w:tc>
        <w:tc>
          <w:tcPr>
            <w:tcW w:w="650" w:type="dxa"/>
            <w:tcBorders>
              <w:top w:val="nil"/>
              <w:left w:val="nil"/>
              <w:bottom w:val="single" w:color="auto" w:sz="4" w:space="0"/>
              <w:right w:val="single" w:color="auto" w:sz="4" w:space="0"/>
            </w:tcBorders>
            <w:noWrap w:val="0"/>
            <w:vAlign w:val="center"/>
          </w:tcPr>
          <w:p w14:paraId="0A3CF943">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4093</w:t>
            </w:r>
          </w:p>
        </w:tc>
        <w:tc>
          <w:tcPr>
            <w:tcW w:w="490" w:type="dxa"/>
            <w:tcBorders>
              <w:top w:val="nil"/>
              <w:left w:val="nil"/>
              <w:bottom w:val="single" w:color="auto" w:sz="4" w:space="0"/>
              <w:right w:val="single" w:color="auto" w:sz="4" w:space="0"/>
            </w:tcBorders>
            <w:noWrap w:val="0"/>
            <w:vAlign w:val="center"/>
          </w:tcPr>
          <w:p w14:paraId="706401FB">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1400</w:t>
            </w:r>
          </w:p>
        </w:tc>
        <w:tc>
          <w:tcPr>
            <w:tcW w:w="617" w:type="dxa"/>
            <w:tcBorders>
              <w:top w:val="nil"/>
              <w:left w:val="nil"/>
              <w:bottom w:val="single" w:color="auto" w:sz="4" w:space="0"/>
              <w:right w:val="single" w:color="auto" w:sz="4" w:space="0"/>
            </w:tcBorders>
            <w:noWrap w:val="0"/>
            <w:vAlign w:val="center"/>
          </w:tcPr>
          <w:p w14:paraId="6E73DC65">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163049</w:t>
            </w:r>
          </w:p>
        </w:tc>
        <w:tc>
          <w:tcPr>
            <w:tcW w:w="578" w:type="dxa"/>
            <w:tcBorders>
              <w:top w:val="nil"/>
              <w:left w:val="nil"/>
              <w:bottom w:val="single" w:color="auto" w:sz="4" w:space="0"/>
              <w:right w:val="single" w:color="auto" w:sz="4" w:space="0"/>
            </w:tcBorders>
            <w:noWrap w:val="0"/>
            <w:vAlign w:val="center"/>
          </w:tcPr>
          <w:p w14:paraId="1208234D">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60882</w:t>
            </w:r>
          </w:p>
        </w:tc>
        <w:tc>
          <w:tcPr>
            <w:tcW w:w="561" w:type="dxa"/>
            <w:tcBorders>
              <w:top w:val="nil"/>
              <w:left w:val="nil"/>
              <w:bottom w:val="single" w:color="auto" w:sz="4" w:space="0"/>
              <w:right w:val="single" w:color="auto" w:sz="4" w:space="0"/>
            </w:tcBorders>
            <w:noWrap w:val="0"/>
            <w:vAlign w:val="center"/>
          </w:tcPr>
          <w:p w14:paraId="00310B0A">
            <w:pPr>
              <w:spacing w:beforeLines="0" w:afterLines="0"/>
              <w:jc w:val="center"/>
              <w:rPr>
                <w:rFonts w:hint="eastAsia" w:ascii="仿宋_GB2312" w:hAnsi="仿宋_GB2312" w:eastAsia="仿宋_GB2312" w:cs="仿宋_GB2312"/>
                <w:b/>
                <w:bCs/>
                <w:kern w:val="0"/>
                <w:sz w:val="13"/>
                <w:szCs w:val="13"/>
                <w:lang w:val="en-US"/>
              </w:rPr>
            </w:pPr>
            <w:r>
              <w:rPr>
                <w:rFonts w:hint="eastAsia" w:ascii="Times New Roman" w:hAnsi="Times New Roman" w:eastAsia="仿宋_GB2312" w:cs="仿宋_GB2312"/>
                <w:b/>
                <w:bCs/>
                <w:color w:val="000000"/>
                <w:sz w:val="13"/>
                <w:szCs w:val="13"/>
              </w:rPr>
              <w:t>10179</w:t>
            </w:r>
          </w:p>
        </w:tc>
        <w:tc>
          <w:tcPr>
            <w:tcW w:w="592" w:type="dxa"/>
            <w:tcBorders>
              <w:top w:val="nil"/>
              <w:left w:val="nil"/>
              <w:bottom w:val="single" w:color="auto" w:sz="4" w:space="0"/>
              <w:right w:val="single" w:color="auto" w:sz="4" w:space="0"/>
            </w:tcBorders>
            <w:noWrap w:val="0"/>
            <w:vAlign w:val="center"/>
          </w:tcPr>
          <w:p w14:paraId="4AD1D026">
            <w:pPr>
              <w:spacing w:beforeLines="0" w:afterLines="0"/>
              <w:jc w:val="center"/>
              <w:rPr>
                <w:rFonts w:hint="eastAsia" w:ascii="仿宋_GB2312" w:hAnsi="仿宋_GB2312" w:eastAsia="仿宋_GB2312" w:cs="仿宋_GB2312"/>
                <w:b/>
                <w:bCs/>
                <w:kern w:val="0"/>
                <w:sz w:val="13"/>
                <w:szCs w:val="13"/>
                <w:lang w:val="en-US"/>
              </w:rPr>
            </w:pPr>
            <w:r>
              <w:rPr>
                <w:rFonts w:hint="eastAsia" w:ascii="Times New Roman" w:hAnsi="Times New Roman" w:eastAsia="仿宋_GB2312" w:cs="仿宋_GB2312"/>
                <w:b/>
                <w:bCs/>
                <w:color w:val="000000"/>
                <w:sz w:val="13"/>
                <w:szCs w:val="13"/>
              </w:rPr>
              <w:t>9324</w:t>
            </w:r>
          </w:p>
        </w:tc>
        <w:tc>
          <w:tcPr>
            <w:tcW w:w="561" w:type="dxa"/>
            <w:tcBorders>
              <w:top w:val="nil"/>
              <w:left w:val="nil"/>
              <w:bottom w:val="single" w:color="auto" w:sz="4" w:space="0"/>
              <w:right w:val="single" w:color="auto" w:sz="4" w:space="0"/>
            </w:tcBorders>
            <w:noWrap w:val="0"/>
            <w:vAlign w:val="center"/>
          </w:tcPr>
          <w:p w14:paraId="65B44147">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5269</w:t>
            </w:r>
          </w:p>
        </w:tc>
        <w:tc>
          <w:tcPr>
            <w:tcW w:w="562" w:type="dxa"/>
            <w:tcBorders>
              <w:top w:val="nil"/>
              <w:left w:val="nil"/>
              <w:bottom w:val="single" w:color="auto" w:sz="4" w:space="0"/>
              <w:right w:val="single" w:color="auto" w:sz="4" w:space="0"/>
            </w:tcBorders>
            <w:noWrap w:val="0"/>
            <w:vAlign w:val="center"/>
          </w:tcPr>
          <w:p w14:paraId="5728EEC5">
            <w:pPr>
              <w:spacing w:beforeLines="0" w:afterLines="0"/>
              <w:jc w:val="center"/>
              <w:rPr>
                <w:rFonts w:hint="eastAsia" w:ascii="仿宋_GB2312" w:hAnsi="仿宋_GB2312" w:eastAsia="仿宋_GB2312" w:cs="仿宋_GB2312"/>
                <w:b/>
                <w:bCs/>
                <w:kern w:val="0"/>
                <w:sz w:val="13"/>
                <w:szCs w:val="13"/>
              </w:rPr>
            </w:pPr>
            <w:r>
              <w:rPr>
                <w:rFonts w:hint="eastAsia" w:ascii="Times New Roman" w:hAnsi="Times New Roman" w:eastAsia="仿宋_GB2312" w:cs="仿宋_GB2312"/>
                <w:b/>
                <w:bCs/>
                <w:color w:val="000000"/>
                <w:sz w:val="13"/>
                <w:szCs w:val="13"/>
              </w:rPr>
              <w:t>4730</w:t>
            </w:r>
          </w:p>
        </w:tc>
      </w:tr>
      <w:bookmarkEnd w:id="6"/>
      <w:tr w14:paraId="61588366">
        <w:tblPrEx>
          <w:tblCellMar>
            <w:top w:w="0" w:type="dxa"/>
            <w:left w:w="108" w:type="dxa"/>
            <w:bottom w:w="0" w:type="dxa"/>
            <w:right w:w="108" w:type="dxa"/>
          </w:tblCellMar>
        </w:tblPrEx>
        <w:trPr>
          <w:gridAfter w:val="1"/>
          <w:wAfter w:w="48" w:type="dxa"/>
          <w:trHeight w:val="285" w:hRule="atLeast"/>
          <w:jc w:val="center"/>
        </w:trPr>
        <w:tc>
          <w:tcPr>
            <w:tcW w:w="528" w:type="dxa"/>
            <w:tcBorders>
              <w:top w:val="nil"/>
              <w:left w:val="nil"/>
              <w:bottom w:val="nil"/>
              <w:right w:val="nil"/>
            </w:tcBorders>
            <w:noWrap w:val="0"/>
            <w:vAlign w:val="center"/>
          </w:tcPr>
          <w:p w14:paraId="4BB18865">
            <w:pPr>
              <w:widowControl/>
              <w:jc w:val="center"/>
              <w:rPr>
                <w:rFonts w:hint="eastAsia" w:ascii="仿宋_GB2312" w:hAnsi="仿宋_GB2312" w:eastAsia="仿宋_GB2312" w:cs="仿宋_GB2312"/>
                <w:kern w:val="0"/>
                <w:sz w:val="20"/>
                <w:szCs w:val="20"/>
              </w:rPr>
            </w:pPr>
          </w:p>
        </w:tc>
        <w:tc>
          <w:tcPr>
            <w:tcW w:w="640" w:type="dxa"/>
            <w:tcBorders>
              <w:top w:val="nil"/>
              <w:left w:val="nil"/>
              <w:bottom w:val="nil"/>
              <w:right w:val="nil"/>
            </w:tcBorders>
            <w:noWrap w:val="0"/>
            <w:vAlign w:val="center"/>
          </w:tcPr>
          <w:p w14:paraId="670CE15E">
            <w:pPr>
              <w:widowControl/>
              <w:jc w:val="center"/>
              <w:rPr>
                <w:rFonts w:hint="eastAsia" w:ascii="仿宋_GB2312" w:hAnsi="仿宋_GB2312" w:eastAsia="仿宋_GB2312" w:cs="仿宋_GB2312"/>
                <w:kern w:val="0"/>
                <w:sz w:val="20"/>
                <w:szCs w:val="20"/>
              </w:rPr>
            </w:pPr>
          </w:p>
        </w:tc>
        <w:tc>
          <w:tcPr>
            <w:tcW w:w="518" w:type="dxa"/>
            <w:gridSpan w:val="2"/>
            <w:tcBorders>
              <w:top w:val="nil"/>
              <w:left w:val="nil"/>
              <w:bottom w:val="nil"/>
              <w:right w:val="nil"/>
            </w:tcBorders>
            <w:noWrap w:val="0"/>
            <w:vAlign w:val="center"/>
          </w:tcPr>
          <w:p w14:paraId="149E2FA8">
            <w:pPr>
              <w:widowControl/>
              <w:jc w:val="center"/>
              <w:rPr>
                <w:rFonts w:hint="eastAsia" w:ascii="仿宋_GB2312" w:hAnsi="仿宋_GB2312" w:eastAsia="仿宋_GB2312" w:cs="仿宋_GB2312"/>
                <w:kern w:val="0"/>
                <w:sz w:val="20"/>
                <w:szCs w:val="20"/>
              </w:rPr>
            </w:pPr>
          </w:p>
        </w:tc>
        <w:tc>
          <w:tcPr>
            <w:tcW w:w="618" w:type="dxa"/>
            <w:gridSpan w:val="2"/>
            <w:tcBorders>
              <w:top w:val="nil"/>
              <w:left w:val="nil"/>
              <w:bottom w:val="nil"/>
              <w:right w:val="nil"/>
            </w:tcBorders>
            <w:noWrap w:val="0"/>
            <w:vAlign w:val="center"/>
          </w:tcPr>
          <w:p w14:paraId="5452AA0E">
            <w:pPr>
              <w:widowControl/>
              <w:jc w:val="center"/>
              <w:rPr>
                <w:rFonts w:hint="eastAsia" w:ascii="仿宋_GB2312" w:hAnsi="仿宋_GB2312" w:eastAsia="仿宋_GB2312" w:cs="仿宋_GB2312"/>
                <w:kern w:val="0"/>
                <w:sz w:val="20"/>
                <w:szCs w:val="20"/>
              </w:rPr>
            </w:pPr>
          </w:p>
        </w:tc>
        <w:tc>
          <w:tcPr>
            <w:tcW w:w="619" w:type="dxa"/>
            <w:gridSpan w:val="2"/>
            <w:tcBorders>
              <w:top w:val="nil"/>
              <w:left w:val="nil"/>
              <w:bottom w:val="nil"/>
              <w:right w:val="nil"/>
            </w:tcBorders>
            <w:noWrap w:val="0"/>
            <w:vAlign w:val="center"/>
          </w:tcPr>
          <w:p w14:paraId="640A37E5">
            <w:pPr>
              <w:widowControl/>
              <w:jc w:val="center"/>
              <w:rPr>
                <w:rFonts w:hint="eastAsia" w:ascii="仿宋_GB2312" w:hAnsi="仿宋_GB2312" w:eastAsia="仿宋_GB2312" w:cs="仿宋_GB2312"/>
                <w:kern w:val="0"/>
                <w:sz w:val="20"/>
                <w:szCs w:val="20"/>
              </w:rPr>
            </w:pPr>
          </w:p>
        </w:tc>
        <w:tc>
          <w:tcPr>
            <w:tcW w:w="623" w:type="dxa"/>
            <w:tcBorders>
              <w:top w:val="nil"/>
              <w:left w:val="nil"/>
              <w:bottom w:val="nil"/>
              <w:right w:val="nil"/>
            </w:tcBorders>
            <w:noWrap w:val="0"/>
            <w:vAlign w:val="center"/>
          </w:tcPr>
          <w:p w14:paraId="20E267D6">
            <w:pPr>
              <w:widowControl/>
              <w:jc w:val="center"/>
              <w:rPr>
                <w:rFonts w:hint="eastAsia" w:ascii="仿宋_GB2312" w:hAnsi="仿宋_GB2312" w:eastAsia="仿宋_GB2312" w:cs="仿宋_GB2312"/>
                <w:kern w:val="0"/>
                <w:sz w:val="20"/>
                <w:szCs w:val="20"/>
              </w:rPr>
            </w:pPr>
          </w:p>
        </w:tc>
        <w:tc>
          <w:tcPr>
            <w:tcW w:w="619" w:type="dxa"/>
            <w:tcBorders>
              <w:top w:val="nil"/>
              <w:left w:val="nil"/>
              <w:bottom w:val="nil"/>
              <w:right w:val="nil"/>
            </w:tcBorders>
            <w:noWrap w:val="0"/>
            <w:vAlign w:val="center"/>
          </w:tcPr>
          <w:p w14:paraId="55795B82">
            <w:pPr>
              <w:widowControl/>
              <w:jc w:val="center"/>
              <w:rPr>
                <w:rFonts w:hint="eastAsia" w:ascii="仿宋_GB2312" w:hAnsi="仿宋_GB2312" w:eastAsia="仿宋_GB2312" w:cs="仿宋_GB2312"/>
                <w:kern w:val="0"/>
                <w:sz w:val="20"/>
                <w:szCs w:val="20"/>
              </w:rPr>
            </w:pPr>
          </w:p>
        </w:tc>
        <w:tc>
          <w:tcPr>
            <w:tcW w:w="624" w:type="dxa"/>
            <w:tcBorders>
              <w:top w:val="nil"/>
              <w:left w:val="nil"/>
              <w:bottom w:val="nil"/>
              <w:right w:val="nil"/>
            </w:tcBorders>
            <w:noWrap w:val="0"/>
            <w:vAlign w:val="center"/>
          </w:tcPr>
          <w:p w14:paraId="6DF84833">
            <w:pPr>
              <w:widowControl/>
              <w:jc w:val="center"/>
              <w:rPr>
                <w:rFonts w:hint="eastAsia" w:ascii="仿宋_GB2312" w:hAnsi="仿宋_GB2312" w:eastAsia="仿宋_GB2312" w:cs="仿宋_GB2312"/>
                <w:kern w:val="0"/>
                <w:sz w:val="20"/>
                <w:szCs w:val="20"/>
              </w:rPr>
            </w:pPr>
          </w:p>
        </w:tc>
        <w:tc>
          <w:tcPr>
            <w:tcW w:w="619" w:type="dxa"/>
            <w:tcBorders>
              <w:top w:val="nil"/>
              <w:left w:val="nil"/>
              <w:bottom w:val="nil"/>
              <w:right w:val="nil"/>
            </w:tcBorders>
            <w:noWrap w:val="0"/>
            <w:vAlign w:val="center"/>
          </w:tcPr>
          <w:p w14:paraId="35F5E375">
            <w:pPr>
              <w:widowControl/>
              <w:jc w:val="center"/>
              <w:rPr>
                <w:rFonts w:hint="eastAsia" w:ascii="仿宋_GB2312" w:hAnsi="仿宋_GB2312" w:eastAsia="仿宋_GB2312" w:cs="仿宋_GB2312"/>
                <w:kern w:val="0"/>
                <w:sz w:val="20"/>
                <w:szCs w:val="20"/>
              </w:rPr>
            </w:pPr>
          </w:p>
        </w:tc>
        <w:tc>
          <w:tcPr>
            <w:tcW w:w="531" w:type="dxa"/>
            <w:gridSpan w:val="2"/>
            <w:tcBorders>
              <w:top w:val="nil"/>
              <w:left w:val="nil"/>
              <w:bottom w:val="nil"/>
              <w:right w:val="nil"/>
            </w:tcBorders>
            <w:noWrap w:val="0"/>
            <w:vAlign w:val="center"/>
          </w:tcPr>
          <w:p w14:paraId="6566DE77">
            <w:pPr>
              <w:widowControl/>
              <w:jc w:val="center"/>
              <w:rPr>
                <w:rFonts w:hint="eastAsia" w:ascii="仿宋_GB2312" w:hAnsi="仿宋_GB2312" w:eastAsia="仿宋_GB2312" w:cs="仿宋_GB2312"/>
                <w:kern w:val="0"/>
                <w:sz w:val="20"/>
                <w:szCs w:val="20"/>
              </w:rPr>
            </w:pPr>
          </w:p>
        </w:tc>
        <w:tc>
          <w:tcPr>
            <w:tcW w:w="561" w:type="dxa"/>
            <w:gridSpan w:val="2"/>
            <w:tcBorders>
              <w:top w:val="nil"/>
              <w:left w:val="nil"/>
              <w:bottom w:val="nil"/>
              <w:right w:val="nil"/>
            </w:tcBorders>
            <w:noWrap w:val="0"/>
            <w:vAlign w:val="center"/>
          </w:tcPr>
          <w:p w14:paraId="6DB750A0">
            <w:pPr>
              <w:widowControl/>
              <w:jc w:val="center"/>
              <w:rPr>
                <w:rFonts w:hint="eastAsia" w:ascii="仿宋_GB2312" w:hAnsi="仿宋_GB2312" w:eastAsia="仿宋_GB2312" w:cs="仿宋_GB2312"/>
                <w:kern w:val="0"/>
                <w:sz w:val="20"/>
                <w:szCs w:val="20"/>
              </w:rPr>
            </w:pPr>
          </w:p>
        </w:tc>
        <w:tc>
          <w:tcPr>
            <w:tcW w:w="561" w:type="dxa"/>
            <w:gridSpan w:val="2"/>
            <w:tcBorders>
              <w:top w:val="nil"/>
              <w:left w:val="nil"/>
              <w:bottom w:val="nil"/>
              <w:right w:val="nil"/>
            </w:tcBorders>
            <w:noWrap w:val="0"/>
            <w:vAlign w:val="top"/>
          </w:tcPr>
          <w:p w14:paraId="292E646D">
            <w:pPr>
              <w:widowControl/>
              <w:jc w:val="center"/>
              <w:rPr>
                <w:rFonts w:hint="eastAsia" w:ascii="仿宋_GB2312" w:hAnsi="仿宋_GB2312" w:eastAsia="仿宋_GB2312" w:cs="仿宋_GB2312"/>
                <w:kern w:val="0"/>
                <w:sz w:val="20"/>
                <w:szCs w:val="20"/>
              </w:rPr>
            </w:pPr>
          </w:p>
        </w:tc>
        <w:tc>
          <w:tcPr>
            <w:tcW w:w="561" w:type="dxa"/>
            <w:gridSpan w:val="2"/>
            <w:tcBorders>
              <w:top w:val="nil"/>
              <w:left w:val="nil"/>
              <w:bottom w:val="nil"/>
              <w:right w:val="nil"/>
            </w:tcBorders>
            <w:noWrap w:val="0"/>
            <w:vAlign w:val="center"/>
          </w:tcPr>
          <w:p w14:paraId="45C53D7B">
            <w:pPr>
              <w:widowControl/>
              <w:jc w:val="center"/>
              <w:rPr>
                <w:rFonts w:hint="eastAsia" w:ascii="仿宋_GB2312" w:hAnsi="仿宋_GB2312" w:eastAsia="仿宋_GB2312" w:cs="仿宋_GB2312"/>
                <w:kern w:val="0"/>
                <w:sz w:val="20"/>
                <w:szCs w:val="20"/>
              </w:rPr>
            </w:pPr>
          </w:p>
        </w:tc>
        <w:tc>
          <w:tcPr>
            <w:tcW w:w="692" w:type="dxa"/>
            <w:gridSpan w:val="2"/>
            <w:tcBorders>
              <w:top w:val="nil"/>
              <w:left w:val="nil"/>
              <w:bottom w:val="nil"/>
              <w:right w:val="nil"/>
            </w:tcBorders>
            <w:noWrap w:val="0"/>
            <w:vAlign w:val="center"/>
          </w:tcPr>
          <w:p w14:paraId="5FDAEFF9">
            <w:pPr>
              <w:widowControl/>
              <w:jc w:val="center"/>
              <w:rPr>
                <w:rFonts w:hint="eastAsia" w:ascii="仿宋_GB2312" w:hAnsi="仿宋_GB2312" w:eastAsia="仿宋_GB2312" w:cs="仿宋_GB2312"/>
                <w:kern w:val="0"/>
                <w:sz w:val="20"/>
                <w:szCs w:val="20"/>
              </w:rPr>
            </w:pPr>
          </w:p>
        </w:tc>
        <w:tc>
          <w:tcPr>
            <w:tcW w:w="811" w:type="dxa"/>
            <w:tcBorders>
              <w:top w:val="nil"/>
              <w:left w:val="nil"/>
              <w:bottom w:val="nil"/>
              <w:right w:val="nil"/>
            </w:tcBorders>
            <w:noWrap w:val="0"/>
            <w:vAlign w:val="center"/>
          </w:tcPr>
          <w:p w14:paraId="7DABAF68">
            <w:pPr>
              <w:widowControl/>
              <w:jc w:val="center"/>
              <w:rPr>
                <w:rFonts w:hint="eastAsia" w:ascii="仿宋_GB2312" w:hAnsi="仿宋_GB2312" w:eastAsia="仿宋_GB2312" w:cs="仿宋_GB2312"/>
                <w:kern w:val="0"/>
                <w:sz w:val="20"/>
                <w:szCs w:val="20"/>
              </w:rPr>
            </w:pPr>
          </w:p>
        </w:tc>
        <w:tc>
          <w:tcPr>
            <w:tcW w:w="1264" w:type="dxa"/>
            <w:gridSpan w:val="2"/>
            <w:tcBorders>
              <w:top w:val="nil"/>
              <w:left w:val="nil"/>
              <w:bottom w:val="nil"/>
              <w:right w:val="nil"/>
            </w:tcBorders>
            <w:noWrap w:val="0"/>
            <w:vAlign w:val="center"/>
          </w:tcPr>
          <w:p w14:paraId="489E4899">
            <w:pPr>
              <w:widowControl/>
              <w:jc w:val="center"/>
              <w:rPr>
                <w:rFonts w:hint="eastAsia" w:ascii="仿宋_GB2312" w:hAnsi="仿宋_GB2312" w:eastAsia="仿宋_GB2312" w:cs="仿宋_GB2312"/>
                <w:kern w:val="0"/>
                <w:sz w:val="20"/>
                <w:szCs w:val="20"/>
              </w:rPr>
            </w:pPr>
          </w:p>
        </w:tc>
        <w:tc>
          <w:tcPr>
            <w:tcW w:w="650" w:type="dxa"/>
            <w:tcBorders>
              <w:top w:val="nil"/>
              <w:left w:val="nil"/>
              <w:bottom w:val="nil"/>
              <w:right w:val="nil"/>
            </w:tcBorders>
            <w:noWrap w:val="0"/>
            <w:vAlign w:val="center"/>
          </w:tcPr>
          <w:p w14:paraId="2F2F1771">
            <w:pPr>
              <w:widowControl/>
              <w:jc w:val="center"/>
              <w:rPr>
                <w:rFonts w:hint="eastAsia" w:ascii="仿宋_GB2312" w:hAnsi="仿宋_GB2312" w:eastAsia="仿宋_GB2312" w:cs="仿宋_GB2312"/>
                <w:kern w:val="0"/>
                <w:sz w:val="20"/>
                <w:szCs w:val="20"/>
              </w:rPr>
            </w:pPr>
          </w:p>
        </w:tc>
        <w:tc>
          <w:tcPr>
            <w:tcW w:w="490" w:type="dxa"/>
            <w:tcBorders>
              <w:top w:val="nil"/>
              <w:left w:val="nil"/>
              <w:bottom w:val="nil"/>
              <w:right w:val="nil"/>
            </w:tcBorders>
            <w:noWrap w:val="0"/>
            <w:vAlign w:val="center"/>
          </w:tcPr>
          <w:p w14:paraId="1ACBF6C3">
            <w:pPr>
              <w:widowControl/>
              <w:jc w:val="center"/>
              <w:rPr>
                <w:rFonts w:hint="eastAsia" w:ascii="仿宋_GB2312" w:hAnsi="仿宋_GB2312" w:eastAsia="仿宋_GB2312" w:cs="仿宋_GB2312"/>
                <w:kern w:val="0"/>
                <w:sz w:val="20"/>
                <w:szCs w:val="20"/>
              </w:rPr>
            </w:pPr>
          </w:p>
        </w:tc>
        <w:tc>
          <w:tcPr>
            <w:tcW w:w="617" w:type="dxa"/>
            <w:tcBorders>
              <w:top w:val="nil"/>
              <w:left w:val="nil"/>
              <w:bottom w:val="nil"/>
              <w:right w:val="nil"/>
            </w:tcBorders>
            <w:noWrap w:val="0"/>
            <w:vAlign w:val="center"/>
          </w:tcPr>
          <w:p w14:paraId="083B10C1">
            <w:pPr>
              <w:widowControl/>
              <w:jc w:val="center"/>
              <w:rPr>
                <w:rFonts w:hint="eastAsia" w:ascii="仿宋_GB2312" w:hAnsi="仿宋_GB2312" w:eastAsia="仿宋_GB2312" w:cs="仿宋_GB2312"/>
                <w:kern w:val="0"/>
                <w:sz w:val="20"/>
                <w:szCs w:val="20"/>
              </w:rPr>
            </w:pPr>
          </w:p>
        </w:tc>
        <w:tc>
          <w:tcPr>
            <w:tcW w:w="578" w:type="dxa"/>
            <w:tcBorders>
              <w:top w:val="nil"/>
              <w:left w:val="nil"/>
              <w:bottom w:val="nil"/>
              <w:right w:val="nil"/>
            </w:tcBorders>
            <w:noWrap w:val="0"/>
            <w:vAlign w:val="center"/>
          </w:tcPr>
          <w:p w14:paraId="5898E337">
            <w:pPr>
              <w:widowControl/>
              <w:jc w:val="center"/>
              <w:rPr>
                <w:rFonts w:hint="eastAsia" w:ascii="仿宋_GB2312" w:hAnsi="仿宋_GB2312" w:eastAsia="仿宋_GB2312" w:cs="仿宋_GB2312"/>
                <w:kern w:val="0"/>
                <w:sz w:val="20"/>
                <w:szCs w:val="20"/>
              </w:rPr>
            </w:pPr>
          </w:p>
        </w:tc>
        <w:tc>
          <w:tcPr>
            <w:tcW w:w="561" w:type="dxa"/>
            <w:tcBorders>
              <w:top w:val="nil"/>
              <w:left w:val="nil"/>
              <w:bottom w:val="nil"/>
              <w:right w:val="nil"/>
            </w:tcBorders>
            <w:noWrap w:val="0"/>
            <w:vAlign w:val="center"/>
          </w:tcPr>
          <w:p w14:paraId="11669917">
            <w:pPr>
              <w:widowControl/>
              <w:jc w:val="center"/>
              <w:rPr>
                <w:rFonts w:hint="eastAsia" w:ascii="仿宋_GB2312" w:hAnsi="仿宋_GB2312" w:eastAsia="仿宋_GB2312" w:cs="仿宋_GB2312"/>
                <w:kern w:val="0"/>
                <w:sz w:val="20"/>
                <w:szCs w:val="20"/>
              </w:rPr>
            </w:pPr>
          </w:p>
        </w:tc>
        <w:tc>
          <w:tcPr>
            <w:tcW w:w="592" w:type="dxa"/>
            <w:tcBorders>
              <w:top w:val="nil"/>
              <w:left w:val="nil"/>
              <w:bottom w:val="nil"/>
              <w:right w:val="nil"/>
            </w:tcBorders>
            <w:noWrap w:val="0"/>
            <w:vAlign w:val="center"/>
          </w:tcPr>
          <w:p w14:paraId="19C26E98">
            <w:pPr>
              <w:widowControl/>
              <w:jc w:val="center"/>
              <w:rPr>
                <w:rFonts w:hint="eastAsia" w:ascii="仿宋_GB2312" w:hAnsi="仿宋_GB2312" w:eastAsia="仿宋_GB2312" w:cs="仿宋_GB2312"/>
                <w:kern w:val="0"/>
                <w:sz w:val="20"/>
                <w:szCs w:val="20"/>
              </w:rPr>
            </w:pPr>
          </w:p>
        </w:tc>
        <w:tc>
          <w:tcPr>
            <w:tcW w:w="561" w:type="dxa"/>
            <w:tcBorders>
              <w:top w:val="nil"/>
              <w:left w:val="nil"/>
              <w:bottom w:val="nil"/>
              <w:right w:val="nil"/>
            </w:tcBorders>
            <w:noWrap w:val="0"/>
            <w:vAlign w:val="center"/>
          </w:tcPr>
          <w:p w14:paraId="0702CC88">
            <w:pPr>
              <w:widowControl/>
              <w:jc w:val="center"/>
              <w:rPr>
                <w:rFonts w:hint="eastAsia" w:ascii="仿宋_GB2312" w:hAnsi="仿宋_GB2312" w:eastAsia="仿宋_GB2312" w:cs="仿宋_GB2312"/>
                <w:kern w:val="0"/>
                <w:sz w:val="20"/>
                <w:szCs w:val="20"/>
              </w:rPr>
            </w:pPr>
          </w:p>
        </w:tc>
        <w:tc>
          <w:tcPr>
            <w:tcW w:w="562" w:type="dxa"/>
            <w:tcBorders>
              <w:top w:val="nil"/>
              <w:left w:val="nil"/>
              <w:bottom w:val="nil"/>
              <w:right w:val="nil"/>
            </w:tcBorders>
            <w:noWrap w:val="0"/>
            <w:vAlign w:val="center"/>
          </w:tcPr>
          <w:p w14:paraId="2DE11A66">
            <w:pPr>
              <w:widowControl/>
              <w:jc w:val="center"/>
              <w:rPr>
                <w:rFonts w:hint="eastAsia" w:ascii="仿宋_GB2312" w:hAnsi="仿宋_GB2312" w:eastAsia="仿宋_GB2312" w:cs="仿宋_GB2312"/>
                <w:kern w:val="0"/>
                <w:sz w:val="20"/>
                <w:szCs w:val="20"/>
              </w:rPr>
            </w:pPr>
          </w:p>
        </w:tc>
      </w:tr>
    </w:tbl>
    <w:p w14:paraId="7F40E90E">
      <w:pPr>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注：“人口总数”和“农业人口数”按常住人口统计，数字保留两位小数。</w:t>
      </w:r>
      <w:r>
        <w:rPr>
          <w:rFonts w:hint="eastAsia" w:ascii="Times New Roman" w:hAnsi="Times New Roman" w:eastAsia="仿宋_GB2312" w:cs="仿宋_GB2312"/>
          <w:kern w:val="0"/>
          <w:sz w:val="18"/>
          <w:szCs w:val="18"/>
        </w:rPr>
        <w:t>L5</w:t>
      </w:r>
      <w:r>
        <w:rPr>
          <w:rFonts w:hint="eastAsia" w:ascii="仿宋_GB2312" w:hAnsi="仿宋_GB2312" w:eastAsia="仿宋_GB2312" w:cs="仿宋_GB2312"/>
          <w:kern w:val="0"/>
          <w:sz w:val="18"/>
          <w:szCs w:val="18"/>
        </w:rPr>
        <w:t>-</w:t>
      </w:r>
      <w:r>
        <w:rPr>
          <w:rFonts w:hint="eastAsia" w:ascii="Times New Roman" w:hAnsi="Times New Roman" w:eastAsia="仿宋_GB2312" w:cs="仿宋_GB2312"/>
          <w:kern w:val="0"/>
          <w:sz w:val="18"/>
          <w:szCs w:val="18"/>
        </w:rPr>
        <w:t>L8</w:t>
      </w:r>
      <w:r>
        <w:rPr>
          <w:rFonts w:hint="eastAsia" w:ascii="仿宋_GB2312" w:hAnsi="仿宋_GB2312" w:eastAsia="仿宋_GB2312" w:cs="仿宋_GB2312"/>
          <w:kern w:val="0"/>
          <w:sz w:val="18"/>
          <w:szCs w:val="18"/>
        </w:rPr>
        <w:t>列数字保留整数。</w:t>
      </w:r>
    </w:p>
    <w:p w14:paraId="429501E6">
      <w:pPr>
        <w:jc w:val="center"/>
        <w:rPr>
          <w:rFonts w:hint="eastAsia" w:ascii="仿宋_GB2312" w:hAnsi="仿宋_GB2312" w:eastAsia="仿宋_GB2312" w:cs="仿宋_GB2312"/>
          <w:sz w:val="28"/>
          <w:szCs w:val="28"/>
        </w:rPr>
      </w:pPr>
    </w:p>
    <w:tbl>
      <w:tblPr>
        <w:tblStyle w:val="7"/>
        <w:tblW w:w="14426" w:type="dxa"/>
        <w:jc w:val="center"/>
        <w:tblLayout w:type="fixed"/>
        <w:tblCellMar>
          <w:top w:w="0" w:type="dxa"/>
          <w:left w:w="108" w:type="dxa"/>
          <w:bottom w:w="0" w:type="dxa"/>
          <w:right w:w="108" w:type="dxa"/>
        </w:tblCellMar>
      </w:tblPr>
      <w:tblGrid>
        <w:gridCol w:w="972"/>
        <w:gridCol w:w="2040"/>
        <w:gridCol w:w="1374"/>
        <w:gridCol w:w="1374"/>
        <w:gridCol w:w="1374"/>
        <w:gridCol w:w="1796"/>
        <w:gridCol w:w="1374"/>
        <w:gridCol w:w="1374"/>
        <w:gridCol w:w="1374"/>
        <w:gridCol w:w="952"/>
        <w:gridCol w:w="422"/>
      </w:tblGrid>
      <w:tr w14:paraId="6F7CD6A8">
        <w:tblPrEx>
          <w:tblCellMar>
            <w:top w:w="0" w:type="dxa"/>
            <w:left w:w="108" w:type="dxa"/>
            <w:bottom w:w="0" w:type="dxa"/>
            <w:right w:w="108" w:type="dxa"/>
          </w:tblCellMar>
        </w:tblPrEx>
        <w:trPr>
          <w:gridAfter w:val="1"/>
          <w:wAfter w:w="422" w:type="dxa"/>
          <w:trHeight w:val="285" w:hRule="atLeast"/>
          <w:jc w:val="center"/>
        </w:trPr>
        <w:tc>
          <w:tcPr>
            <w:tcW w:w="14004" w:type="dxa"/>
            <w:gridSpan w:val="10"/>
            <w:tcBorders>
              <w:top w:val="nil"/>
              <w:left w:val="nil"/>
              <w:bottom w:val="nil"/>
              <w:right w:val="nil"/>
            </w:tcBorders>
            <w:noWrap w:val="0"/>
            <w:vAlign w:val="center"/>
          </w:tcPr>
          <w:p w14:paraId="6842A4B7">
            <w:pPr>
              <w:widowControl/>
              <w:jc w:val="center"/>
              <w:rPr>
                <w:rFonts w:hint="eastAsia" w:ascii="黑体" w:hAnsi="黑体" w:eastAsia="黑体" w:cs="黑体"/>
                <w:kern w:val="0"/>
                <w:sz w:val="32"/>
                <w:szCs w:val="32"/>
              </w:rPr>
            </w:pPr>
          </w:p>
          <w:p w14:paraId="7E114C3D">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br w:type="page"/>
            </w:r>
            <w:r>
              <w:rPr>
                <w:rFonts w:hint="eastAsia" w:ascii="黑体" w:hAnsi="黑体" w:eastAsia="黑体" w:cs="黑体"/>
                <w:kern w:val="0"/>
                <w:sz w:val="32"/>
                <w:szCs w:val="32"/>
              </w:rPr>
              <w:t>表Ⅱ-</w:t>
            </w:r>
            <w:r>
              <w:rPr>
                <w:rFonts w:hint="eastAsia" w:ascii="Times New Roman" w:hAnsi="Times New Roman" w:eastAsia="黑体" w:cs="黑体"/>
                <w:kern w:val="0"/>
                <w:sz w:val="32"/>
                <w:szCs w:val="32"/>
              </w:rPr>
              <w:t>1</w:t>
            </w:r>
            <w:r>
              <w:rPr>
                <w:rFonts w:hint="eastAsia" w:ascii="黑体" w:hAnsi="黑体" w:eastAsia="黑体" w:cs="黑体"/>
                <w:kern w:val="0"/>
                <w:sz w:val="32"/>
                <w:szCs w:val="32"/>
              </w:rPr>
              <w:t xml:space="preserve"> 小学、初中资源配置基本情况</w:t>
            </w:r>
          </w:p>
        </w:tc>
      </w:tr>
      <w:tr w14:paraId="733D7A62">
        <w:tblPrEx>
          <w:tblCellMar>
            <w:top w:w="0" w:type="dxa"/>
            <w:left w:w="108" w:type="dxa"/>
            <w:bottom w:w="0" w:type="dxa"/>
            <w:right w:w="108" w:type="dxa"/>
          </w:tblCellMar>
        </w:tblPrEx>
        <w:trPr>
          <w:trHeight w:val="1984" w:hRule="exact"/>
          <w:jc w:val="center"/>
        </w:trPr>
        <w:tc>
          <w:tcPr>
            <w:tcW w:w="301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2B2A679">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　</w:t>
            </w:r>
          </w:p>
        </w:tc>
        <w:tc>
          <w:tcPr>
            <w:tcW w:w="1374" w:type="dxa"/>
            <w:tcBorders>
              <w:top w:val="single" w:color="auto" w:sz="4" w:space="0"/>
              <w:left w:val="nil"/>
              <w:bottom w:val="single" w:color="auto" w:sz="4" w:space="0"/>
              <w:right w:val="single" w:color="auto" w:sz="4" w:space="0"/>
            </w:tcBorders>
            <w:noWrap w:val="0"/>
            <w:vAlign w:val="center"/>
          </w:tcPr>
          <w:p w14:paraId="6B4D74BE">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每百名学生拥有高于规定学历教师数</w:t>
            </w:r>
          </w:p>
        </w:tc>
        <w:tc>
          <w:tcPr>
            <w:tcW w:w="1374" w:type="dxa"/>
            <w:tcBorders>
              <w:top w:val="single" w:color="auto" w:sz="4" w:space="0"/>
              <w:left w:val="nil"/>
              <w:bottom w:val="single" w:color="auto" w:sz="4" w:space="0"/>
              <w:right w:val="single" w:color="auto" w:sz="4" w:space="0"/>
            </w:tcBorders>
            <w:noWrap w:val="0"/>
            <w:vAlign w:val="center"/>
          </w:tcPr>
          <w:p w14:paraId="6EE331D7">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每百名学生拥有县级及以上骨干教师数</w:t>
            </w:r>
          </w:p>
        </w:tc>
        <w:tc>
          <w:tcPr>
            <w:tcW w:w="1374" w:type="dxa"/>
            <w:tcBorders>
              <w:top w:val="single" w:color="auto" w:sz="4" w:space="0"/>
              <w:left w:val="nil"/>
              <w:bottom w:val="single" w:color="auto" w:sz="4" w:space="0"/>
              <w:right w:val="single" w:color="auto" w:sz="4" w:space="0"/>
            </w:tcBorders>
            <w:noWrap w:val="0"/>
            <w:vAlign w:val="center"/>
          </w:tcPr>
          <w:p w14:paraId="3528C982">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每百名学生拥有体育、艺术 (美术、音乐)专任教师数</w:t>
            </w:r>
          </w:p>
        </w:tc>
        <w:tc>
          <w:tcPr>
            <w:tcW w:w="1796" w:type="dxa"/>
            <w:tcBorders>
              <w:top w:val="single" w:color="auto" w:sz="4" w:space="0"/>
              <w:left w:val="nil"/>
              <w:bottom w:val="single" w:color="auto" w:sz="4" w:space="0"/>
              <w:right w:val="single" w:color="auto" w:sz="4" w:space="0"/>
            </w:tcBorders>
            <w:noWrap w:val="0"/>
            <w:vAlign w:val="center"/>
          </w:tcPr>
          <w:p w14:paraId="61A20165">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生均教学及辅助用房面积</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w:t>
            </w:r>
          </w:p>
        </w:tc>
        <w:tc>
          <w:tcPr>
            <w:tcW w:w="1374" w:type="dxa"/>
            <w:tcBorders>
              <w:top w:val="single" w:color="auto" w:sz="4" w:space="0"/>
              <w:left w:val="nil"/>
              <w:bottom w:val="single" w:color="auto" w:sz="4" w:space="0"/>
              <w:right w:val="single" w:color="auto" w:sz="4" w:space="0"/>
            </w:tcBorders>
            <w:noWrap w:val="0"/>
            <w:vAlign w:val="center"/>
          </w:tcPr>
          <w:p w14:paraId="13FF0A79">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生均体育运动场馆面积（㎡）</w:t>
            </w:r>
          </w:p>
        </w:tc>
        <w:tc>
          <w:tcPr>
            <w:tcW w:w="1374" w:type="dxa"/>
            <w:tcBorders>
              <w:top w:val="single" w:color="auto" w:sz="4" w:space="0"/>
              <w:left w:val="nil"/>
              <w:bottom w:val="single" w:color="auto" w:sz="4" w:space="0"/>
              <w:right w:val="single" w:color="auto" w:sz="4" w:space="0"/>
            </w:tcBorders>
            <w:noWrap w:val="0"/>
            <w:vAlign w:val="center"/>
          </w:tcPr>
          <w:p w14:paraId="23D38D3A">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生均教学仪器设备值</w:t>
            </w:r>
          </w:p>
          <w:p w14:paraId="55E1BE8C">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(元)</w:t>
            </w:r>
          </w:p>
        </w:tc>
        <w:tc>
          <w:tcPr>
            <w:tcW w:w="1374" w:type="dxa"/>
            <w:tcBorders>
              <w:top w:val="single" w:color="auto" w:sz="4" w:space="0"/>
              <w:left w:val="nil"/>
              <w:bottom w:val="single" w:color="auto" w:sz="4" w:space="0"/>
              <w:right w:val="single" w:color="auto" w:sz="4" w:space="0"/>
            </w:tcBorders>
            <w:noWrap w:val="0"/>
            <w:vAlign w:val="center"/>
          </w:tcPr>
          <w:p w14:paraId="53376FF7">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每百名学生拥有网络多媒体教室数</w:t>
            </w:r>
          </w:p>
        </w:tc>
        <w:tc>
          <w:tcPr>
            <w:tcW w:w="1374" w:type="dxa"/>
            <w:gridSpan w:val="2"/>
            <w:tcBorders>
              <w:top w:val="single" w:color="auto" w:sz="4" w:space="0"/>
              <w:left w:val="nil"/>
              <w:bottom w:val="single" w:color="auto" w:sz="4" w:space="0"/>
              <w:right w:val="single" w:color="auto" w:sz="4" w:space="0"/>
            </w:tcBorders>
            <w:noWrap w:val="0"/>
            <w:vAlign w:val="center"/>
          </w:tcPr>
          <w:p w14:paraId="42A37B3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综合评估</w:t>
            </w:r>
          </w:p>
        </w:tc>
      </w:tr>
      <w:tr w14:paraId="4198A054">
        <w:tblPrEx>
          <w:tblCellMar>
            <w:top w:w="0" w:type="dxa"/>
            <w:left w:w="108" w:type="dxa"/>
            <w:bottom w:w="0" w:type="dxa"/>
            <w:right w:w="108" w:type="dxa"/>
          </w:tblCellMar>
        </w:tblPrEx>
        <w:trPr>
          <w:trHeight w:val="567" w:hRule="exact"/>
          <w:jc w:val="center"/>
        </w:trPr>
        <w:tc>
          <w:tcPr>
            <w:tcW w:w="301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CB24982">
            <w:pPr>
              <w:widowControl/>
              <w:jc w:val="left"/>
              <w:rPr>
                <w:rFonts w:hint="eastAsia" w:ascii="黑体" w:hAnsi="黑体" w:eastAsia="黑体" w:cs="黑体"/>
                <w:b w:val="0"/>
                <w:bCs w:val="0"/>
                <w:kern w:val="0"/>
                <w:sz w:val="18"/>
                <w:szCs w:val="18"/>
              </w:rPr>
            </w:pPr>
          </w:p>
        </w:tc>
        <w:tc>
          <w:tcPr>
            <w:tcW w:w="1374" w:type="dxa"/>
            <w:tcBorders>
              <w:top w:val="single" w:color="auto" w:sz="4" w:space="0"/>
              <w:left w:val="nil"/>
              <w:bottom w:val="single" w:color="auto" w:sz="4" w:space="0"/>
              <w:right w:val="single" w:color="auto" w:sz="4" w:space="0"/>
            </w:tcBorders>
            <w:noWrap w:val="0"/>
            <w:vAlign w:val="center"/>
          </w:tcPr>
          <w:p w14:paraId="4544CD8F">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L1</w:t>
            </w:r>
          </w:p>
        </w:tc>
        <w:tc>
          <w:tcPr>
            <w:tcW w:w="1374" w:type="dxa"/>
            <w:tcBorders>
              <w:top w:val="single" w:color="auto" w:sz="4" w:space="0"/>
              <w:left w:val="nil"/>
              <w:bottom w:val="single" w:color="auto" w:sz="4" w:space="0"/>
              <w:right w:val="single" w:color="auto" w:sz="4" w:space="0"/>
            </w:tcBorders>
            <w:noWrap w:val="0"/>
            <w:vAlign w:val="center"/>
          </w:tcPr>
          <w:p w14:paraId="16676C1A">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L2</w:t>
            </w:r>
          </w:p>
        </w:tc>
        <w:tc>
          <w:tcPr>
            <w:tcW w:w="1374" w:type="dxa"/>
            <w:tcBorders>
              <w:top w:val="single" w:color="auto" w:sz="4" w:space="0"/>
              <w:left w:val="nil"/>
              <w:bottom w:val="single" w:color="auto" w:sz="4" w:space="0"/>
              <w:right w:val="single" w:color="auto" w:sz="4" w:space="0"/>
            </w:tcBorders>
            <w:noWrap w:val="0"/>
            <w:vAlign w:val="center"/>
          </w:tcPr>
          <w:p w14:paraId="3609547E">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L3</w:t>
            </w:r>
          </w:p>
        </w:tc>
        <w:tc>
          <w:tcPr>
            <w:tcW w:w="1796" w:type="dxa"/>
            <w:tcBorders>
              <w:top w:val="single" w:color="auto" w:sz="4" w:space="0"/>
              <w:left w:val="nil"/>
              <w:bottom w:val="single" w:color="auto" w:sz="4" w:space="0"/>
              <w:right w:val="single" w:color="auto" w:sz="4" w:space="0"/>
            </w:tcBorders>
            <w:noWrap w:val="0"/>
            <w:vAlign w:val="center"/>
          </w:tcPr>
          <w:p w14:paraId="7BA6A798">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L4</w:t>
            </w:r>
          </w:p>
        </w:tc>
        <w:tc>
          <w:tcPr>
            <w:tcW w:w="1374" w:type="dxa"/>
            <w:tcBorders>
              <w:top w:val="single" w:color="auto" w:sz="4" w:space="0"/>
              <w:left w:val="nil"/>
              <w:bottom w:val="single" w:color="auto" w:sz="4" w:space="0"/>
              <w:right w:val="single" w:color="auto" w:sz="4" w:space="0"/>
            </w:tcBorders>
            <w:noWrap w:val="0"/>
            <w:vAlign w:val="center"/>
          </w:tcPr>
          <w:p w14:paraId="129B31A8">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L5</w:t>
            </w:r>
          </w:p>
        </w:tc>
        <w:tc>
          <w:tcPr>
            <w:tcW w:w="1374" w:type="dxa"/>
            <w:tcBorders>
              <w:top w:val="single" w:color="auto" w:sz="4" w:space="0"/>
              <w:left w:val="nil"/>
              <w:bottom w:val="single" w:color="auto" w:sz="4" w:space="0"/>
              <w:right w:val="single" w:color="auto" w:sz="4" w:space="0"/>
            </w:tcBorders>
            <w:noWrap w:val="0"/>
            <w:vAlign w:val="center"/>
          </w:tcPr>
          <w:p w14:paraId="561AD5B8">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L6</w:t>
            </w:r>
          </w:p>
        </w:tc>
        <w:tc>
          <w:tcPr>
            <w:tcW w:w="1374" w:type="dxa"/>
            <w:tcBorders>
              <w:top w:val="single" w:color="auto" w:sz="4" w:space="0"/>
              <w:left w:val="nil"/>
              <w:bottom w:val="single" w:color="auto" w:sz="4" w:space="0"/>
              <w:right w:val="single" w:color="auto" w:sz="4" w:space="0"/>
            </w:tcBorders>
            <w:noWrap w:val="0"/>
            <w:vAlign w:val="center"/>
          </w:tcPr>
          <w:p w14:paraId="72BC9B54">
            <w:pPr>
              <w:widowControl/>
              <w:jc w:val="center"/>
              <w:rPr>
                <w:rFonts w:hint="eastAsia" w:ascii="黑体" w:hAnsi="黑体" w:eastAsia="黑体" w:cs="黑体"/>
                <w:b w:val="0"/>
                <w:bCs w:val="0"/>
                <w:kern w:val="0"/>
                <w:sz w:val="18"/>
                <w:szCs w:val="18"/>
              </w:rPr>
            </w:pPr>
            <w:bookmarkStart w:id="7" w:name="OLE_LINK4"/>
            <w:r>
              <w:rPr>
                <w:rFonts w:hint="eastAsia" w:ascii="Times New Roman" w:hAnsi="Times New Roman" w:eastAsia="黑体" w:cs="黑体"/>
                <w:b w:val="0"/>
                <w:bCs w:val="0"/>
                <w:kern w:val="0"/>
                <w:sz w:val="18"/>
                <w:szCs w:val="18"/>
              </w:rPr>
              <w:t>L7</w:t>
            </w:r>
            <w:bookmarkEnd w:id="7"/>
          </w:p>
        </w:tc>
        <w:tc>
          <w:tcPr>
            <w:tcW w:w="1374" w:type="dxa"/>
            <w:gridSpan w:val="2"/>
            <w:tcBorders>
              <w:top w:val="nil"/>
              <w:left w:val="nil"/>
              <w:bottom w:val="single" w:color="auto" w:sz="4" w:space="0"/>
              <w:right w:val="single" w:color="auto" w:sz="4" w:space="0"/>
            </w:tcBorders>
            <w:noWrap w:val="0"/>
            <w:vAlign w:val="center"/>
          </w:tcPr>
          <w:p w14:paraId="6CB70788">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L8</w:t>
            </w:r>
          </w:p>
        </w:tc>
      </w:tr>
      <w:tr w14:paraId="10C85A56">
        <w:tblPrEx>
          <w:tblCellMar>
            <w:top w:w="0" w:type="dxa"/>
            <w:left w:w="108" w:type="dxa"/>
            <w:bottom w:w="0" w:type="dxa"/>
            <w:right w:w="108" w:type="dxa"/>
          </w:tblCellMar>
        </w:tblPrEx>
        <w:trPr>
          <w:trHeight w:val="873" w:hRule="exact"/>
          <w:jc w:val="center"/>
        </w:trPr>
        <w:tc>
          <w:tcPr>
            <w:tcW w:w="972" w:type="dxa"/>
            <w:vMerge w:val="restart"/>
            <w:tcBorders>
              <w:top w:val="nil"/>
              <w:left w:val="single" w:color="auto" w:sz="4" w:space="0"/>
              <w:bottom w:val="single" w:color="auto" w:sz="4" w:space="0"/>
              <w:right w:val="single" w:color="auto" w:sz="4" w:space="0"/>
            </w:tcBorders>
            <w:noWrap w:val="0"/>
            <w:vAlign w:val="center"/>
          </w:tcPr>
          <w:p w14:paraId="6056C29D">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小学</w:t>
            </w:r>
          </w:p>
        </w:tc>
        <w:tc>
          <w:tcPr>
            <w:tcW w:w="2040" w:type="dxa"/>
            <w:tcBorders>
              <w:top w:val="nil"/>
              <w:left w:val="nil"/>
              <w:bottom w:val="single" w:color="auto" w:sz="4" w:space="0"/>
              <w:right w:val="single" w:color="auto" w:sz="4" w:space="0"/>
            </w:tcBorders>
            <w:noWrap w:val="0"/>
            <w:vAlign w:val="center"/>
          </w:tcPr>
          <w:p w14:paraId="56030230">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达标学校总数</w:t>
            </w:r>
          </w:p>
        </w:tc>
        <w:tc>
          <w:tcPr>
            <w:tcW w:w="1374" w:type="dxa"/>
            <w:tcBorders>
              <w:top w:val="single" w:color="auto" w:sz="4" w:space="0"/>
              <w:left w:val="nil"/>
              <w:bottom w:val="single" w:color="auto" w:sz="4" w:space="0"/>
              <w:right w:val="single" w:color="auto" w:sz="4" w:space="0"/>
            </w:tcBorders>
            <w:noWrap w:val="0"/>
            <w:vAlign w:val="center"/>
          </w:tcPr>
          <w:p w14:paraId="1FD5BB85">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188</w:t>
            </w:r>
          </w:p>
        </w:tc>
        <w:tc>
          <w:tcPr>
            <w:tcW w:w="1374" w:type="dxa"/>
            <w:tcBorders>
              <w:top w:val="single" w:color="auto" w:sz="4" w:space="0"/>
              <w:left w:val="nil"/>
              <w:bottom w:val="single" w:color="auto" w:sz="4" w:space="0"/>
              <w:right w:val="single" w:color="auto" w:sz="4" w:space="0"/>
            </w:tcBorders>
            <w:noWrap w:val="0"/>
            <w:vAlign w:val="center"/>
          </w:tcPr>
          <w:p w14:paraId="775AFBBB">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188</w:t>
            </w:r>
          </w:p>
        </w:tc>
        <w:tc>
          <w:tcPr>
            <w:tcW w:w="1374" w:type="dxa"/>
            <w:tcBorders>
              <w:top w:val="single" w:color="auto" w:sz="4" w:space="0"/>
              <w:left w:val="nil"/>
              <w:bottom w:val="single" w:color="auto" w:sz="4" w:space="0"/>
              <w:right w:val="single" w:color="auto" w:sz="4" w:space="0"/>
            </w:tcBorders>
            <w:noWrap w:val="0"/>
            <w:vAlign w:val="center"/>
          </w:tcPr>
          <w:p w14:paraId="59C432B9">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188</w:t>
            </w:r>
          </w:p>
        </w:tc>
        <w:tc>
          <w:tcPr>
            <w:tcW w:w="1796" w:type="dxa"/>
            <w:tcBorders>
              <w:top w:val="single" w:color="auto" w:sz="4" w:space="0"/>
              <w:left w:val="nil"/>
              <w:bottom w:val="single" w:color="auto" w:sz="4" w:space="0"/>
              <w:right w:val="single" w:color="auto" w:sz="4" w:space="0"/>
            </w:tcBorders>
            <w:noWrap w:val="0"/>
            <w:vAlign w:val="center"/>
          </w:tcPr>
          <w:p w14:paraId="322679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174</w:t>
            </w:r>
          </w:p>
        </w:tc>
        <w:tc>
          <w:tcPr>
            <w:tcW w:w="1374" w:type="dxa"/>
            <w:tcBorders>
              <w:top w:val="single" w:color="auto" w:sz="4" w:space="0"/>
              <w:left w:val="nil"/>
              <w:bottom w:val="single" w:color="auto" w:sz="4" w:space="0"/>
              <w:right w:val="single" w:color="auto" w:sz="4" w:space="0"/>
            </w:tcBorders>
            <w:noWrap w:val="0"/>
            <w:vAlign w:val="center"/>
          </w:tcPr>
          <w:p w14:paraId="6931C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186</w:t>
            </w:r>
          </w:p>
        </w:tc>
        <w:tc>
          <w:tcPr>
            <w:tcW w:w="1374" w:type="dxa"/>
            <w:tcBorders>
              <w:top w:val="single" w:color="auto" w:sz="4" w:space="0"/>
              <w:left w:val="nil"/>
              <w:bottom w:val="single" w:color="auto" w:sz="4" w:space="0"/>
              <w:right w:val="single" w:color="auto" w:sz="4" w:space="0"/>
            </w:tcBorders>
            <w:noWrap w:val="0"/>
            <w:vAlign w:val="center"/>
          </w:tcPr>
          <w:p w14:paraId="115C00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188</w:t>
            </w:r>
          </w:p>
        </w:tc>
        <w:tc>
          <w:tcPr>
            <w:tcW w:w="1374" w:type="dxa"/>
            <w:tcBorders>
              <w:top w:val="single" w:color="auto" w:sz="4" w:space="0"/>
              <w:left w:val="nil"/>
              <w:bottom w:val="single" w:color="auto" w:sz="4" w:space="0"/>
              <w:right w:val="single" w:color="auto" w:sz="4" w:space="0"/>
            </w:tcBorders>
            <w:noWrap w:val="0"/>
            <w:vAlign w:val="center"/>
          </w:tcPr>
          <w:p w14:paraId="3F20BD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188</w:t>
            </w:r>
          </w:p>
        </w:tc>
        <w:tc>
          <w:tcPr>
            <w:tcW w:w="1374" w:type="dxa"/>
            <w:gridSpan w:val="2"/>
            <w:tcBorders>
              <w:top w:val="nil"/>
              <w:left w:val="nil"/>
              <w:bottom w:val="single" w:color="auto" w:sz="4" w:space="0"/>
              <w:right w:val="single" w:color="auto" w:sz="4" w:space="0"/>
            </w:tcBorders>
            <w:noWrap w:val="0"/>
            <w:vAlign w:val="center"/>
          </w:tcPr>
          <w:p w14:paraId="050894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175</w:t>
            </w:r>
          </w:p>
        </w:tc>
      </w:tr>
      <w:tr w14:paraId="773FA1F7">
        <w:tblPrEx>
          <w:tblCellMar>
            <w:top w:w="0" w:type="dxa"/>
            <w:left w:w="108" w:type="dxa"/>
            <w:bottom w:w="0" w:type="dxa"/>
            <w:right w:w="108" w:type="dxa"/>
          </w:tblCellMar>
        </w:tblPrEx>
        <w:trPr>
          <w:trHeight w:val="873" w:hRule="exact"/>
          <w:jc w:val="center"/>
        </w:trPr>
        <w:tc>
          <w:tcPr>
            <w:tcW w:w="972" w:type="dxa"/>
            <w:vMerge w:val="continue"/>
            <w:tcBorders>
              <w:top w:val="nil"/>
              <w:left w:val="single" w:color="auto" w:sz="4" w:space="0"/>
              <w:bottom w:val="single" w:color="auto" w:sz="4" w:space="0"/>
              <w:right w:val="single" w:color="auto" w:sz="4" w:space="0"/>
            </w:tcBorders>
            <w:noWrap w:val="0"/>
            <w:vAlign w:val="center"/>
          </w:tcPr>
          <w:p w14:paraId="554D08DB">
            <w:pPr>
              <w:widowControl/>
              <w:jc w:val="left"/>
              <w:rPr>
                <w:rFonts w:hint="eastAsia" w:asciiTheme="minorEastAsia" w:hAnsiTheme="minorEastAsia" w:eastAsiaTheme="minorEastAsia" w:cstheme="minorEastAsia"/>
                <w:kern w:val="0"/>
                <w:sz w:val="18"/>
                <w:szCs w:val="18"/>
              </w:rPr>
            </w:pPr>
          </w:p>
        </w:tc>
        <w:tc>
          <w:tcPr>
            <w:tcW w:w="2040" w:type="dxa"/>
            <w:tcBorders>
              <w:top w:val="nil"/>
              <w:left w:val="nil"/>
              <w:bottom w:val="single" w:color="auto" w:sz="4" w:space="0"/>
              <w:right w:val="single" w:color="auto" w:sz="4" w:space="0"/>
            </w:tcBorders>
            <w:noWrap w:val="0"/>
            <w:vAlign w:val="center"/>
          </w:tcPr>
          <w:p w14:paraId="51C8CE4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达标学校比例（</w:t>
            </w:r>
            <w:r>
              <w:rPr>
                <w:rFonts w:hint="eastAsia" w:ascii="Times New Roman" w:hAnsi="Times New Roman" w:eastAsiaTheme="minorEastAsia" w:cstheme="minorEastAsia"/>
                <w:kern w:val="0"/>
                <w:sz w:val="18"/>
                <w:szCs w:val="18"/>
              </w:rPr>
              <w:t>%</w:t>
            </w:r>
            <w:r>
              <w:rPr>
                <w:rFonts w:hint="eastAsia" w:asciiTheme="minorEastAsia" w:hAnsiTheme="minorEastAsia" w:eastAsiaTheme="minorEastAsia" w:cstheme="minorEastAsia"/>
                <w:kern w:val="0"/>
                <w:sz w:val="18"/>
                <w:szCs w:val="18"/>
              </w:rPr>
              <w:t>）</w:t>
            </w:r>
          </w:p>
        </w:tc>
        <w:tc>
          <w:tcPr>
            <w:tcW w:w="1374" w:type="dxa"/>
            <w:tcBorders>
              <w:top w:val="single" w:color="auto" w:sz="4" w:space="0"/>
              <w:left w:val="nil"/>
              <w:bottom w:val="single" w:color="auto" w:sz="4" w:space="0"/>
              <w:right w:val="single" w:color="auto" w:sz="4" w:space="0"/>
            </w:tcBorders>
            <w:noWrap w:val="0"/>
            <w:vAlign w:val="center"/>
          </w:tcPr>
          <w:p w14:paraId="77EA3F8C">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tcBorders>
              <w:top w:val="single" w:color="auto" w:sz="4" w:space="0"/>
              <w:left w:val="nil"/>
              <w:bottom w:val="single" w:color="auto" w:sz="4" w:space="0"/>
              <w:right w:val="single" w:color="auto" w:sz="4" w:space="0"/>
            </w:tcBorders>
            <w:noWrap w:val="0"/>
            <w:vAlign w:val="center"/>
          </w:tcPr>
          <w:p w14:paraId="620D5132">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tcBorders>
              <w:top w:val="single" w:color="auto" w:sz="4" w:space="0"/>
              <w:left w:val="nil"/>
              <w:bottom w:val="single" w:color="auto" w:sz="4" w:space="0"/>
              <w:right w:val="single" w:color="auto" w:sz="4" w:space="0"/>
            </w:tcBorders>
            <w:noWrap w:val="0"/>
            <w:vAlign w:val="center"/>
          </w:tcPr>
          <w:p w14:paraId="01731673">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796" w:type="dxa"/>
            <w:tcBorders>
              <w:top w:val="single" w:color="auto" w:sz="4" w:space="0"/>
              <w:left w:val="nil"/>
              <w:bottom w:val="single" w:color="auto" w:sz="4" w:space="0"/>
              <w:right w:val="single" w:color="auto" w:sz="4" w:space="0"/>
            </w:tcBorders>
            <w:noWrap w:val="0"/>
            <w:vAlign w:val="center"/>
          </w:tcPr>
          <w:p w14:paraId="1A9FE3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92</w:t>
            </w:r>
            <w:r>
              <w:rPr>
                <w:rFonts w:hint="eastAsia" w:asciiTheme="minorEastAsia" w:hAnsiTheme="minorEastAsia" w:eastAsiaTheme="minorEastAsia" w:cstheme="minorEastAsia"/>
                <w:i w:val="0"/>
                <w:iCs w:val="0"/>
                <w:color w:val="000000"/>
                <w:kern w:val="0"/>
                <w:sz w:val="22"/>
                <w:szCs w:val="22"/>
                <w:u w:val="none"/>
                <w:lang w:val="en-US" w:eastAsia="zh-CN" w:bidi="ar"/>
              </w:rPr>
              <w:t>.</w:t>
            </w:r>
            <w:r>
              <w:rPr>
                <w:rFonts w:hint="eastAsia" w:ascii="Times New Roman" w:hAnsi="Times New Roman" w:eastAsiaTheme="minorEastAsia" w:cstheme="minorEastAsia"/>
                <w:i w:val="0"/>
                <w:iCs w:val="0"/>
                <w:color w:val="000000"/>
                <w:kern w:val="0"/>
                <w:sz w:val="22"/>
                <w:szCs w:val="22"/>
                <w:u w:val="none"/>
                <w:lang w:val="en-US" w:eastAsia="zh-CN" w:bidi="ar"/>
              </w:rPr>
              <w:t>55</w:t>
            </w:r>
          </w:p>
        </w:tc>
        <w:tc>
          <w:tcPr>
            <w:tcW w:w="1374" w:type="dxa"/>
            <w:tcBorders>
              <w:top w:val="single" w:color="auto" w:sz="4" w:space="0"/>
              <w:left w:val="nil"/>
              <w:bottom w:val="single" w:color="auto" w:sz="4" w:space="0"/>
              <w:right w:val="single" w:color="auto" w:sz="4" w:space="0"/>
            </w:tcBorders>
            <w:noWrap w:val="0"/>
            <w:vAlign w:val="center"/>
          </w:tcPr>
          <w:p w14:paraId="14048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98</w:t>
            </w:r>
            <w:r>
              <w:rPr>
                <w:rFonts w:hint="eastAsia" w:asciiTheme="minorEastAsia" w:hAnsiTheme="minorEastAsia" w:eastAsiaTheme="minorEastAsia" w:cstheme="minorEastAsia"/>
                <w:i w:val="0"/>
                <w:iCs w:val="0"/>
                <w:color w:val="000000"/>
                <w:kern w:val="0"/>
                <w:sz w:val="22"/>
                <w:szCs w:val="22"/>
                <w:u w:val="none"/>
                <w:lang w:val="en-US" w:eastAsia="zh-CN" w:bidi="ar"/>
              </w:rPr>
              <w:t>.</w:t>
            </w:r>
            <w:r>
              <w:rPr>
                <w:rFonts w:hint="eastAsia" w:ascii="Times New Roman" w:hAnsi="Times New Roman" w:eastAsiaTheme="minorEastAsia" w:cstheme="minorEastAsia"/>
                <w:i w:val="0"/>
                <w:iCs w:val="0"/>
                <w:color w:val="000000"/>
                <w:kern w:val="0"/>
                <w:sz w:val="22"/>
                <w:szCs w:val="22"/>
                <w:u w:val="none"/>
                <w:lang w:val="en-US" w:eastAsia="zh-CN" w:bidi="ar"/>
              </w:rPr>
              <w:t>94</w:t>
            </w:r>
          </w:p>
        </w:tc>
        <w:tc>
          <w:tcPr>
            <w:tcW w:w="1374" w:type="dxa"/>
            <w:tcBorders>
              <w:top w:val="single" w:color="auto" w:sz="4" w:space="0"/>
              <w:left w:val="nil"/>
              <w:bottom w:val="single" w:color="auto" w:sz="4" w:space="0"/>
              <w:right w:val="single" w:color="auto" w:sz="4" w:space="0"/>
            </w:tcBorders>
            <w:noWrap w:val="0"/>
            <w:vAlign w:val="center"/>
          </w:tcPr>
          <w:p w14:paraId="11C32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tcBorders>
              <w:top w:val="single" w:color="auto" w:sz="4" w:space="0"/>
              <w:left w:val="nil"/>
              <w:bottom w:val="single" w:color="auto" w:sz="4" w:space="0"/>
              <w:right w:val="single" w:color="auto" w:sz="4" w:space="0"/>
            </w:tcBorders>
            <w:noWrap w:val="0"/>
            <w:vAlign w:val="center"/>
          </w:tcPr>
          <w:p w14:paraId="458EA1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gridSpan w:val="2"/>
            <w:tcBorders>
              <w:top w:val="nil"/>
              <w:left w:val="nil"/>
              <w:bottom w:val="single" w:color="auto" w:sz="4" w:space="0"/>
              <w:right w:val="single" w:color="auto" w:sz="4" w:space="0"/>
            </w:tcBorders>
            <w:noWrap w:val="0"/>
            <w:vAlign w:val="center"/>
          </w:tcPr>
          <w:p w14:paraId="251F0D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93</w:t>
            </w:r>
            <w:r>
              <w:rPr>
                <w:rFonts w:hint="eastAsia" w:asciiTheme="minorEastAsia" w:hAnsiTheme="minorEastAsia" w:eastAsiaTheme="minorEastAsia" w:cstheme="minorEastAsia"/>
                <w:i w:val="0"/>
                <w:iCs w:val="0"/>
                <w:color w:val="000000"/>
                <w:kern w:val="0"/>
                <w:sz w:val="22"/>
                <w:szCs w:val="22"/>
                <w:u w:val="none"/>
                <w:lang w:val="en-US" w:eastAsia="zh-CN" w:bidi="ar"/>
              </w:rPr>
              <w:t>.</w:t>
            </w:r>
            <w:r>
              <w:rPr>
                <w:rFonts w:hint="eastAsia" w:ascii="Times New Roman" w:hAnsi="Times New Roman" w:eastAsiaTheme="minorEastAsia" w:cstheme="minorEastAsia"/>
                <w:i w:val="0"/>
                <w:iCs w:val="0"/>
                <w:color w:val="000000"/>
                <w:kern w:val="0"/>
                <w:sz w:val="22"/>
                <w:szCs w:val="22"/>
                <w:u w:val="none"/>
                <w:lang w:val="en-US" w:eastAsia="zh-CN" w:bidi="ar"/>
              </w:rPr>
              <w:t>09</w:t>
            </w:r>
          </w:p>
        </w:tc>
      </w:tr>
      <w:tr w14:paraId="5004B633">
        <w:tblPrEx>
          <w:tblCellMar>
            <w:top w:w="0" w:type="dxa"/>
            <w:left w:w="108" w:type="dxa"/>
            <w:bottom w:w="0" w:type="dxa"/>
            <w:right w:w="108" w:type="dxa"/>
          </w:tblCellMar>
        </w:tblPrEx>
        <w:trPr>
          <w:trHeight w:val="873" w:hRule="exact"/>
          <w:jc w:val="center"/>
        </w:trPr>
        <w:tc>
          <w:tcPr>
            <w:tcW w:w="972" w:type="dxa"/>
            <w:vMerge w:val="restart"/>
            <w:tcBorders>
              <w:top w:val="nil"/>
              <w:left w:val="single" w:color="auto" w:sz="4" w:space="0"/>
              <w:bottom w:val="single" w:color="auto" w:sz="4" w:space="0"/>
              <w:right w:val="single" w:color="auto" w:sz="4" w:space="0"/>
            </w:tcBorders>
            <w:noWrap w:val="0"/>
            <w:vAlign w:val="center"/>
          </w:tcPr>
          <w:p w14:paraId="64CA42CD">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初中</w:t>
            </w:r>
          </w:p>
        </w:tc>
        <w:tc>
          <w:tcPr>
            <w:tcW w:w="2040" w:type="dxa"/>
            <w:tcBorders>
              <w:top w:val="nil"/>
              <w:left w:val="nil"/>
              <w:bottom w:val="single" w:color="auto" w:sz="4" w:space="0"/>
              <w:right w:val="single" w:color="auto" w:sz="4" w:space="0"/>
            </w:tcBorders>
            <w:noWrap w:val="0"/>
            <w:vAlign w:val="center"/>
          </w:tcPr>
          <w:p w14:paraId="71917A1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达标学校总数</w:t>
            </w:r>
          </w:p>
        </w:tc>
        <w:tc>
          <w:tcPr>
            <w:tcW w:w="1374" w:type="dxa"/>
            <w:tcBorders>
              <w:top w:val="single" w:color="auto" w:sz="4" w:space="0"/>
              <w:left w:val="nil"/>
              <w:bottom w:val="single" w:color="auto" w:sz="4" w:space="0"/>
              <w:right w:val="single" w:color="auto" w:sz="4" w:space="0"/>
            </w:tcBorders>
            <w:noWrap w:val="0"/>
            <w:vAlign w:val="center"/>
          </w:tcPr>
          <w:p w14:paraId="6BAD607C">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67</w:t>
            </w:r>
          </w:p>
        </w:tc>
        <w:tc>
          <w:tcPr>
            <w:tcW w:w="1374" w:type="dxa"/>
            <w:tcBorders>
              <w:top w:val="single" w:color="auto" w:sz="4" w:space="0"/>
              <w:left w:val="nil"/>
              <w:bottom w:val="single" w:color="auto" w:sz="4" w:space="0"/>
              <w:right w:val="single" w:color="auto" w:sz="4" w:space="0"/>
            </w:tcBorders>
            <w:noWrap w:val="0"/>
            <w:vAlign w:val="center"/>
          </w:tcPr>
          <w:p w14:paraId="1DA0C9A2">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67</w:t>
            </w:r>
          </w:p>
        </w:tc>
        <w:tc>
          <w:tcPr>
            <w:tcW w:w="1374" w:type="dxa"/>
            <w:tcBorders>
              <w:top w:val="single" w:color="auto" w:sz="4" w:space="0"/>
              <w:left w:val="nil"/>
              <w:bottom w:val="single" w:color="auto" w:sz="4" w:space="0"/>
              <w:right w:val="single" w:color="auto" w:sz="4" w:space="0"/>
            </w:tcBorders>
            <w:noWrap w:val="0"/>
            <w:vAlign w:val="center"/>
          </w:tcPr>
          <w:p w14:paraId="1BC89817">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67</w:t>
            </w:r>
          </w:p>
        </w:tc>
        <w:tc>
          <w:tcPr>
            <w:tcW w:w="1796" w:type="dxa"/>
            <w:tcBorders>
              <w:top w:val="single" w:color="auto" w:sz="4" w:space="0"/>
              <w:left w:val="nil"/>
              <w:bottom w:val="single" w:color="auto" w:sz="4" w:space="0"/>
              <w:right w:val="single" w:color="auto" w:sz="4" w:space="0"/>
            </w:tcBorders>
            <w:noWrap w:val="0"/>
            <w:vAlign w:val="center"/>
          </w:tcPr>
          <w:p w14:paraId="61D6D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56</w:t>
            </w:r>
          </w:p>
        </w:tc>
        <w:tc>
          <w:tcPr>
            <w:tcW w:w="1374" w:type="dxa"/>
            <w:tcBorders>
              <w:top w:val="single" w:color="auto" w:sz="4" w:space="0"/>
              <w:left w:val="nil"/>
              <w:bottom w:val="single" w:color="auto" w:sz="4" w:space="0"/>
              <w:right w:val="single" w:color="auto" w:sz="4" w:space="0"/>
            </w:tcBorders>
            <w:noWrap w:val="0"/>
            <w:vAlign w:val="center"/>
          </w:tcPr>
          <w:p w14:paraId="0AD54A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62</w:t>
            </w:r>
          </w:p>
        </w:tc>
        <w:tc>
          <w:tcPr>
            <w:tcW w:w="1374" w:type="dxa"/>
            <w:tcBorders>
              <w:top w:val="single" w:color="auto" w:sz="4" w:space="0"/>
              <w:left w:val="nil"/>
              <w:bottom w:val="single" w:color="auto" w:sz="4" w:space="0"/>
              <w:right w:val="single" w:color="auto" w:sz="4" w:space="0"/>
            </w:tcBorders>
            <w:noWrap w:val="0"/>
            <w:vAlign w:val="center"/>
          </w:tcPr>
          <w:p w14:paraId="203857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67</w:t>
            </w:r>
          </w:p>
        </w:tc>
        <w:tc>
          <w:tcPr>
            <w:tcW w:w="1374" w:type="dxa"/>
            <w:tcBorders>
              <w:top w:val="single" w:color="auto" w:sz="4" w:space="0"/>
              <w:left w:val="nil"/>
              <w:bottom w:val="single" w:color="auto" w:sz="4" w:space="0"/>
              <w:right w:val="single" w:color="auto" w:sz="4" w:space="0"/>
            </w:tcBorders>
            <w:noWrap w:val="0"/>
            <w:vAlign w:val="center"/>
          </w:tcPr>
          <w:p w14:paraId="03905A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67</w:t>
            </w:r>
          </w:p>
        </w:tc>
        <w:tc>
          <w:tcPr>
            <w:tcW w:w="1374" w:type="dxa"/>
            <w:gridSpan w:val="2"/>
            <w:tcBorders>
              <w:top w:val="nil"/>
              <w:left w:val="nil"/>
              <w:bottom w:val="single" w:color="auto" w:sz="4" w:space="0"/>
              <w:right w:val="single" w:color="auto" w:sz="4" w:space="0"/>
            </w:tcBorders>
            <w:noWrap w:val="0"/>
            <w:vAlign w:val="center"/>
          </w:tcPr>
          <w:p w14:paraId="4E3F3B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60</w:t>
            </w:r>
          </w:p>
        </w:tc>
      </w:tr>
      <w:tr w14:paraId="53AFA724">
        <w:tblPrEx>
          <w:tblCellMar>
            <w:top w:w="0" w:type="dxa"/>
            <w:left w:w="108" w:type="dxa"/>
            <w:bottom w:w="0" w:type="dxa"/>
            <w:right w:w="108" w:type="dxa"/>
          </w:tblCellMar>
        </w:tblPrEx>
        <w:trPr>
          <w:trHeight w:val="873" w:hRule="exact"/>
          <w:jc w:val="center"/>
        </w:trPr>
        <w:tc>
          <w:tcPr>
            <w:tcW w:w="972" w:type="dxa"/>
            <w:vMerge w:val="continue"/>
            <w:tcBorders>
              <w:top w:val="nil"/>
              <w:left w:val="single" w:color="auto" w:sz="4" w:space="0"/>
              <w:bottom w:val="single" w:color="auto" w:sz="4" w:space="0"/>
              <w:right w:val="single" w:color="auto" w:sz="4" w:space="0"/>
            </w:tcBorders>
            <w:noWrap w:val="0"/>
            <w:vAlign w:val="center"/>
          </w:tcPr>
          <w:p w14:paraId="1356324D">
            <w:pPr>
              <w:widowControl/>
              <w:jc w:val="left"/>
              <w:rPr>
                <w:rFonts w:hint="eastAsia" w:asciiTheme="minorEastAsia" w:hAnsiTheme="minorEastAsia" w:eastAsiaTheme="minorEastAsia" w:cstheme="minorEastAsia"/>
                <w:kern w:val="0"/>
                <w:sz w:val="18"/>
                <w:szCs w:val="18"/>
              </w:rPr>
            </w:pPr>
          </w:p>
        </w:tc>
        <w:tc>
          <w:tcPr>
            <w:tcW w:w="2040" w:type="dxa"/>
            <w:tcBorders>
              <w:top w:val="nil"/>
              <w:left w:val="nil"/>
              <w:bottom w:val="single" w:color="auto" w:sz="4" w:space="0"/>
              <w:right w:val="single" w:color="auto" w:sz="4" w:space="0"/>
            </w:tcBorders>
            <w:noWrap w:val="0"/>
            <w:vAlign w:val="center"/>
          </w:tcPr>
          <w:p w14:paraId="0E3E5D5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达标学校比例（</w:t>
            </w:r>
            <w:r>
              <w:rPr>
                <w:rFonts w:hint="eastAsia" w:ascii="Times New Roman" w:hAnsi="Times New Roman" w:eastAsiaTheme="minorEastAsia" w:cstheme="minorEastAsia"/>
                <w:kern w:val="0"/>
                <w:sz w:val="18"/>
                <w:szCs w:val="18"/>
              </w:rPr>
              <w:t>%</w:t>
            </w:r>
            <w:r>
              <w:rPr>
                <w:rFonts w:hint="eastAsia" w:asciiTheme="minorEastAsia" w:hAnsiTheme="minorEastAsia" w:eastAsiaTheme="minorEastAsia" w:cstheme="minorEastAsia"/>
                <w:kern w:val="0"/>
                <w:sz w:val="18"/>
                <w:szCs w:val="18"/>
              </w:rPr>
              <w:t>）</w:t>
            </w:r>
          </w:p>
        </w:tc>
        <w:tc>
          <w:tcPr>
            <w:tcW w:w="1374" w:type="dxa"/>
            <w:tcBorders>
              <w:top w:val="single" w:color="auto" w:sz="4" w:space="0"/>
              <w:left w:val="nil"/>
              <w:bottom w:val="single" w:color="auto" w:sz="4" w:space="0"/>
              <w:right w:val="single" w:color="auto" w:sz="4" w:space="0"/>
            </w:tcBorders>
            <w:noWrap w:val="0"/>
            <w:vAlign w:val="center"/>
          </w:tcPr>
          <w:p w14:paraId="4AF9487E">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tcBorders>
              <w:top w:val="single" w:color="auto" w:sz="4" w:space="0"/>
              <w:left w:val="nil"/>
              <w:bottom w:val="single" w:color="auto" w:sz="4" w:space="0"/>
              <w:right w:val="single" w:color="auto" w:sz="4" w:space="0"/>
            </w:tcBorders>
            <w:noWrap w:val="0"/>
            <w:vAlign w:val="center"/>
          </w:tcPr>
          <w:p w14:paraId="12939168">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tcBorders>
              <w:top w:val="single" w:color="auto" w:sz="4" w:space="0"/>
              <w:left w:val="nil"/>
              <w:bottom w:val="single" w:color="auto" w:sz="4" w:space="0"/>
              <w:right w:val="single" w:color="auto" w:sz="4" w:space="0"/>
            </w:tcBorders>
            <w:noWrap w:val="0"/>
            <w:vAlign w:val="center"/>
          </w:tcPr>
          <w:p w14:paraId="04869B0B">
            <w:pPr>
              <w:keepNext w:val="0"/>
              <w:keepLines w:val="0"/>
              <w:widowControl/>
              <w:suppressLineNumbers w:val="0"/>
              <w:jc w:val="center"/>
              <w:textAlignment w:val="center"/>
              <w:rPr>
                <w:rFonts w:hint="eastAsia" w:asciiTheme="minorEastAsia" w:hAnsiTheme="minorEastAsia" w:eastAsiaTheme="minorEastAsia" w:cstheme="minorEastAsia"/>
                <w:b/>
                <w:bCs/>
                <w:kern w:val="0"/>
                <w:sz w:val="18"/>
                <w:szCs w:val="18"/>
                <w:lang w:val="en-US"/>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796" w:type="dxa"/>
            <w:tcBorders>
              <w:top w:val="single" w:color="auto" w:sz="4" w:space="0"/>
              <w:left w:val="nil"/>
              <w:bottom w:val="single" w:color="auto" w:sz="4" w:space="0"/>
              <w:right w:val="single" w:color="auto" w:sz="4" w:space="0"/>
            </w:tcBorders>
            <w:noWrap w:val="0"/>
            <w:vAlign w:val="center"/>
          </w:tcPr>
          <w:p w14:paraId="272317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83</w:t>
            </w:r>
            <w:r>
              <w:rPr>
                <w:rFonts w:hint="eastAsia" w:asciiTheme="minorEastAsia" w:hAnsiTheme="minorEastAsia" w:eastAsiaTheme="minorEastAsia" w:cstheme="minorEastAsia"/>
                <w:i w:val="0"/>
                <w:iCs w:val="0"/>
                <w:color w:val="000000"/>
                <w:kern w:val="0"/>
                <w:sz w:val="22"/>
                <w:szCs w:val="22"/>
                <w:u w:val="none"/>
                <w:lang w:val="en-US" w:eastAsia="zh-CN" w:bidi="ar"/>
              </w:rPr>
              <w:t>.</w:t>
            </w:r>
            <w:r>
              <w:rPr>
                <w:rFonts w:hint="eastAsia" w:ascii="Times New Roman" w:hAnsi="Times New Roman" w:eastAsiaTheme="minorEastAsia" w:cstheme="minorEastAsia"/>
                <w:i w:val="0"/>
                <w:iCs w:val="0"/>
                <w:color w:val="000000"/>
                <w:kern w:val="0"/>
                <w:sz w:val="22"/>
                <w:szCs w:val="22"/>
                <w:u w:val="none"/>
                <w:lang w:val="en-US" w:eastAsia="zh-CN" w:bidi="ar"/>
              </w:rPr>
              <w:t>58</w:t>
            </w:r>
          </w:p>
        </w:tc>
        <w:tc>
          <w:tcPr>
            <w:tcW w:w="1374" w:type="dxa"/>
            <w:tcBorders>
              <w:top w:val="single" w:color="auto" w:sz="4" w:space="0"/>
              <w:left w:val="nil"/>
              <w:bottom w:val="single" w:color="auto" w:sz="4" w:space="0"/>
              <w:right w:val="single" w:color="auto" w:sz="4" w:space="0"/>
            </w:tcBorders>
            <w:noWrap w:val="0"/>
            <w:vAlign w:val="center"/>
          </w:tcPr>
          <w:p w14:paraId="2BD3A3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92</w:t>
            </w:r>
            <w:r>
              <w:rPr>
                <w:rFonts w:hint="eastAsia" w:asciiTheme="minorEastAsia" w:hAnsiTheme="minorEastAsia" w:eastAsiaTheme="minorEastAsia" w:cstheme="minorEastAsia"/>
                <w:i w:val="0"/>
                <w:iCs w:val="0"/>
                <w:color w:val="000000"/>
                <w:kern w:val="0"/>
                <w:sz w:val="22"/>
                <w:szCs w:val="22"/>
                <w:u w:val="none"/>
                <w:lang w:val="en-US" w:eastAsia="zh-CN" w:bidi="ar"/>
              </w:rPr>
              <w:t>.</w:t>
            </w:r>
            <w:r>
              <w:rPr>
                <w:rFonts w:hint="eastAsia" w:ascii="Times New Roman" w:hAnsi="Times New Roman" w:eastAsiaTheme="minorEastAsia" w:cstheme="minorEastAsia"/>
                <w:i w:val="0"/>
                <w:iCs w:val="0"/>
                <w:color w:val="000000"/>
                <w:kern w:val="0"/>
                <w:sz w:val="22"/>
                <w:szCs w:val="22"/>
                <w:u w:val="none"/>
                <w:lang w:val="en-US" w:eastAsia="zh-CN" w:bidi="ar"/>
              </w:rPr>
              <w:t>54</w:t>
            </w:r>
          </w:p>
        </w:tc>
        <w:tc>
          <w:tcPr>
            <w:tcW w:w="1374" w:type="dxa"/>
            <w:tcBorders>
              <w:top w:val="single" w:color="auto" w:sz="4" w:space="0"/>
              <w:left w:val="nil"/>
              <w:bottom w:val="single" w:color="auto" w:sz="4" w:space="0"/>
              <w:right w:val="single" w:color="auto" w:sz="4" w:space="0"/>
            </w:tcBorders>
            <w:noWrap w:val="0"/>
            <w:vAlign w:val="center"/>
          </w:tcPr>
          <w:p w14:paraId="117D6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tcBorders>
              <w:top w:val="single" w:color="auto" w:sz="4" w:space="0"/>
              <w:left w:val="nil"/>
              <w:bottom w:val="single" w:color="auto" w:sz="4" w:space="0"/>
              <w:right w:val="single" w:color="auto" w:sz="4" w:space="0"/>
            </w:tcBorders>
            <w:noWrap w:val="0"/>
            <w:vAlign w:val="center"/>
          </w:tcPr>
          <w:p w14:paraId="0EC265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100</w:t>
            </w:r>
          </w:p>
        </w:tc>
        <w:tc>
          <w:tcPr>
            <w:tcW w:w="1374" w:type="dxa"/>
            <w:gridSpan w:val="2"/>
            <w:tcBorders>
              <w:top w:val="nil"/>
              <w:left w:val="nil"/>
              <w:bottom w:val="single" w:color="auto" w:sz="4" w:space="0"/>
              <w:right w:val="single" w:color="auto" w:sz="4" w:space="0"/>
            </w:tcBorders>
            <w:noWrap w:val="0"/>
            <w:vAlign w:val="center"/>
          </w:tcPr>
          <w:p w14:paraId="263B80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imes New Roman" w:hAnsi="Times New Roman" w:eastAsiaTheme="minorEastAsia" w:cstheme="minorEastAsia"/>
                <w:i w:val="0"/>
                <w:iCs w:val="0"/>
                <w:color w:val="000000"/>
                <w:kern w:val="0"/>
                <w:sz w:val="22"/>
                <w:szCs w:val="22"/>
                <w:u w:val="none"/>
                <w:lang w:val="en-US" w:eastAsia="zh-CN" w:bidi="ar"/>
              </w:rPr>
              <w:t>89</w:t>
            </w:r>
            <w:r>
              <w:rPr>
                <w:rFonts w:hint="eastAsia" w:asciiTheme="minorEastAsia" w:hAnsiTheme="minorEastAsia" w:eastAsiaTheme="minorEastAsia" w:cstheme="minorEastAsia"/>
                <w:i w:val="0"/>
                <w:iCs w:val="0"/>
                <w:color w:val="000000"/>
                <w:kern w:val="0"/>
                <w:sz w:val="22"/>
                <w:szCs w:val="22"/>
                <w:u w:val="none"/>
                <w:lang w:val="en-US" w:eastAsia="zh-CN" w:bidi="ar"/>
              </w:rPr>
              <w:t>.</w:t>
            </w:r>
            <w:r>
              <w:rPr>
                <w:rFonts w:hint="eastAsia" w:ascii="Times New Roman" w:hAnsi="Times New Roman" w:eastAsiaTheme="minorEastAsia" w:cstheme="minorEastAsia"/>
                <w:i w:val="0"/>
                <w:iCs w:val="0"/>
                <w:color w:val="000000"/>
                <w:kern w:val="0"/>
                <w:sz w:val="22"/>
                <w:szCs w:val="22"/>
                <w:u w:val="none"/>
                <w:lang w:val="en-US" w:eastAsia="zh-CN" w:bidi="ar"/>
              </w:rPr>
              <w:t>55</w:t>
            </w:r>
          </w:p>
        </w:tc>
      </w:tr>
    </w:tbl>
    <w:p w14:paraId="0D249CB8">
      <w:pPr>
        <w:rPr>
          <w:rFonts w:hint="eastAsia" w:ascii="仿宋_GB2312" w:hAnsi="仿宋_GB2312" w:eastAsia="仿宋_GB2312" w:cs="仿宋_GB2312"/>
          <w:kern w:val="0"/>
          <w:sz w:val="18"/>
          <w:szCs w:val="18"/>
        </w:rPr>
      </w:pPr>
    </w:p>
    <w:p w14:paraId="532EAAF2">
      <w:pPr>
        <w:rPr>
          <w:rFonts w:hint="eastAsia" w:ascii="仿宋_GB2312" w:hAnsi="仿宋_GB2312" w:eastAsia="仿宋_GB2312" w:cs="仿宋_GB2312"/>
          <w:sz w:val="18"/>
          <w:szCs w:val="18"/>
        </w:rPr>
      </w:pPr>
      <w:r>
        <w:rPr>
          <w:rFonts w:hint="eastAsia" w:ascii="仿宋_GB2312" w:hAnsi="仿宋_GB2312" w:eastAsia="仿宋_GB2312" w:cs="仿宋_GB2312"/>
          <w:kern w:val="0"/>
          <w:sz w:val="18"/>
          <w:szCs w:val="18"/>
        </w:rPr>
        <w:t xml:space="preserve"> 注：小学含</w:t>
      </w:r>
      <w:r>
        <w:rPr>
          <w:rFonts w:hint="eastAsia" w:ascii="Times New Roman" w:hAnsi="Times New Roman" w:eastAsia="仿宋_GB2312" w:cs="仿宋_GB2312"/>
          <w:kern w:val="0"/>
          <w:sz w:val="18"/>
          <w:szCs w:val="18"/>
        </w:rPr>
        <w:t>50</w:t>
      </w:r>
      <w:r>
        <w:rPr>
          <w:rFonts w:hint="eastAsia" w:ascii="仿宋_GB2312" w:hAnsi="仿宋_GB2312" w:eastAsia="仿宋_GB2312" w:cs="仿宋_GB2312"/>
          <w:kern w:val="0"/>
          <w:sz w:val="18"/>
          <w:szCs w:val="18"/>
        </w:rPr>
        <w:t>人及以上教学点</w:t>
      </w:r>
      <w:r>
        <w:rPr>
          <w:rFonts w:hint="eastAsia" w:ascii="仿宋_GB2312" w:hAnsi="仿宋_GB2312" w:eastAsia="仿宋_GB2312" w:cs="仿宋_GB2312"/>
          <w:sz w:val="18"/>
          <w:szCs w:val="18"/>
        </w:rPr>
        <w:t>。</w:t>
      </w:r>
    </w:p>
    <w:p w14:paraId="0B92C76E">
      <w:pPr>
        <w:widowControl/>
        <w:jc w:val="center"/>
        <w:rPr>
          <w:rFonts w:hint="eastAsia" w:ascii="仿宋_GB2312" w:hAnsi="仿宋_GB2312" w:eastAsia="仿宋_GB2312" w:cs="仿宋_GB2312"/>
          <w:kern w:val="0"/>
          <w:sz w:val="28"/>
          <w:szCs w:val="28"/>
        </w:rPr>
        <w:sectPr>
          <w:footerReference r:id="rId6" w:type="default"/>
          <w:footerReference r:id="rId7" w:type="even"/>
          <w:pgSz w:w="16838" w:h="11906" w:orient="landscape"/>
          <w:pgMar w:top="1417" w:right="1417" w:bottom="1417" w:left="1417" w:header="851" w:footer="1134" w:gutter="0"/>
          <w:pgBorders>
            <w:top w:val="none" w:sz="0" w:space="0"/>
            <w:left w:val="none" w:sz="0" w:space="0"/>
            <w:bottom w:val="none" w:sz="0" w:space="0"/>
            <w:right w:val="none" w:sz="0" w:space="0"/>
          </w:pgBorders>
          <w:pgNumType w:fmt="decimal" w:start="27"/>
          <w:cols w:space="0" w:num="1"/>
          <w:rtlGutter w:val="0"/>
          <w:docGrid w:type="lines" w:linePitch="453" w:charSpace="0"/>
        </w:sectPr>
      </w:pPr>
    </w:p>
    <w:p w14:paraId="03A7E272">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表Ⅱ-</w:t>
      </w:r>
      <w:r>
        <w:rPr>
          <w:rFonts w:hint="eastAsia" w:ascii="Times New Roman" w:hAnsi="Times New Roman" w:eastAsia="黑体" w:cs="黑体"/>
          <w:kern w:val="0"/>
          <w:sz w:val="32"/>
          <w:szCs w:val="32"/>
        </w:rPr>
        <w:t>2</w:t>
      </w:r>
      <w:r>
        <w:rPr>
          <w:rFonts w:hint="eastAsia" w:ascii="黑体" w:hAnsi="黑体" w:eastAsia="黑体" w:cs="黑体"/>
          <w:kern w:val="0"/>
          <w:sz w:val="32"/>
          <w:szCs w:val="32"/>
        </w:rPr>
        <w:t xml:space="preserve"> 小学、初中资源配置基本情况（分学校）</w:t>
      </w:r>
    </w:p>
    <w:tbl>
      <w:tblPr>
        <w:tblStyle w:val="7"/>
        <w:tblW w:w="144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2"/>
        <w:gridCol w:w="2593"/>
        <w:gridCol w:w="633"/>
        <w:gridCol w:w="673"/>
        <w:gridCol w:w="534"/>
        <w:gridCol w:w="503"/>
        <w:gridCol w:w="868"/>
        <w:gridCol w:w="804"/>
        <w:gridCol w:w="921"/>
        <w:gridCol w:w="847"/>
        <w:gridCol w:w="939"/>
        <w:gridCol w:w="1021"/>
        <w:gridCol w:w="772"/>
        <w:gridCol w:w="735"/>
        <w:gridCol w:w="2051"/>
      </w:tblGrid>
      <w:tr w14:paraId="3E85B74F">
        <w:tblPrEx>
          <w:shd w:val="clear" w:color="auto" w:fill="auto"/>
          <w:tblCellMar>
            <w:top w:w="0" w:type="dxa"/>
            <w:left w:w="108" w:type="dxa"/>
            <w:bottom w:w="0" w:type="dxa"/>
            <w:right w:w="108" w:type="dxa"/>
          </w:tblCellMar>
        </w:tblPrEx>
        <w:trPr>
          <w:trHeight w:val="2760" w:hRule="atLeast"/>
          <w:tblHeader/>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F170D">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序号</w:t>
            </w:r>
          </w:p>
        </w:tc>
        <w:tc>
          <w:tcPr>
            <w:tcW w:w="2593" w:type="dxa"/>
            <w:tcBorders>
              <w:top w:val="single" w:color="000000" w:sz="8" w:space="0"/>
              <w:left w:val="nil"/>
              <w:bottom w:val="single" w:color="000000" w:sz="8" w:space="0"/>
              <w:right w:val="single" w:color="000000" w:sz="8" w:space="0"/>
            </w:tcBorders>
            <w:shd w:val="clear" w:color="auto" w:fill="auto"/>
            <w:vAlign w:val="center"/>
          </w:tcPr>
          <w:p w14:paraId="42CF7F09">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学校名称</w:t>
            </w:r>
          </w:p>
        </w:tc>
        <w:tc>
          <w:tcPr>
            <w:tcW w:w="633" w:type="dxa"/>
            <w:tcBorders>
              <w:top w:val="single" w:color="000000" w:sz="8" w:space="0"/>
              <w:left w:val="nil"/>
              <w:bottom w:val="single" w:color="000000" w:sz="8" w:space="0"/>
              <w:right w:val="single" w:color="000000" w:sz="8" w:space="0"/>
            </w:tcBorders>
            <w:shd w:val="clear" w:color="auto" w:fill="auto"/>
            <w:vAlign w:val="center"/>
          </w:tcPr>
          <w:p w14:paraId="38C114D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举办者类型</w:t>
            </w:r>
          </w:p>
        </w:tc>
        <w:tc>
          <w:tcPr>
            <w:tcW w:w="673" w:type="dxa"/>
            <w:tcBorders>
              <w:top w:val="single" w:color="000000" w:sz="8" w:space="0"/>
              <w:left w:val="nil"/>
              <w:bottom w:val="single" w:color="000000" w:sz="8" w:space="0"/>
              <w:right w:val="single" w:color="000000" w:sz="8" w:space="0"/>
            </w:tcBorders>
            <w:shd w:val="clear" w:color="auto" w:fill="auto"/>
            <w:vAlign w:val="center"/>
          </w:tcPr>
          <w:p w14:paraId="7EED99A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在校生数</w:t>
            </w:r>
          </w:p>
        </w:tc>
        <w:tc>
          <w:tcPr>
            <w:tcW w:w="534" w:type="dxa"/>
            <w:tcBorders>
              <w:top w:val="single" w:color="000000" w:sz="8" w:space="0"/>
              <w:left w:val="nil"/>
              <w:bottom w:val="single" w:color="000000" w:sz="8" w:space="0"/>
              <w:right w:val="single" w:color="000000" w:sz="8" w:space="0"/>
            </w:tcBorders>
            <w:shd w:val="clear" w:color="auto" w:fill="auto"/>
            <w:vAlign w:val="center"/>
          </w:tcPr>
          <w:p w14:paraId="53BB236A">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年级数</w:t>
            </w:r>
          </w:p>
        </w:tc>
        <w:tc>
          <w:tcPr>
            <w:tcW w:w="503" w:type="dxa"/>
            <w:tcBorders>
              <w:top w:val="single" w:color="000000" w:sz="8" w:space="0"/>
              <w:left w:val="nil"/>
              <w:bottom w:val="single" w:color="000000" w:sz="8" w:space="0"/>
              <w:right w:val="single" w:color="000000" w:sz="8" w:space="0"/>
            </w:tcBorders>
            <w:shd w:val="clear" w:color="auto" w:fill="auto"/>
            <w:vAlign w:val="center"/>
          </w:tcPr>
          <w:p w14:paraId="2CF524BB">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班级数</w:t>
            </w:r>
          </w:p>
        </w:tc>
        <w:tc>
          <w:tcPr>
            <w:tcW w:w="868" w:type="dxa"/>
            <w:tcBorders>
              <w:top w:val="single" w:color="000000" w:sz="8" w:space="0"/>
              <w:left w:val="nil"/>
              <w:bottom w:val="single" w:color="000000" w:sz="8" w:space="0"/>
              <w:right w:val="single" w:color="000000" w:sz="8" w:space="0"/>
            </w:tcBorders>
            <w:shd w:val="clear" w:color="auto" w:fill="auto"/>
            <w:vAlign w:val="center"/>
          </w:tcPr>
          <w:p w14:paraId="6E28135A">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每百名学生拥有高于规定学历教师数</w:t>
            </w:r>
          </w:p>
        </w:tc>
        <w:tc>
          <w:tcPr>
            <w:tcW w:w="804" w:type="dxa"/>
            <w:tcBorders>
              <w:top w:val="single" w:color="000000" w:sz="8" w:space="0"/>
              <w:left w:val="nil"/>
              <w:bottom w:val="single" w:color="000000" w:sz="8" w:space="0"/>
              <w:right w:val="single" w:color="000000" w:sz="8" w:space="0"/>
            </w:tcBorders>
            <w:shd w:val="clear" w:color="auto" w:fill="auto"/>
            <w:vAlign w:val="center"/>
          </w:tcPr>
          <w:p w14:paraId="6C8ED273">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每百名学生拥有县级及以上骨干教师数</w:t>
            </w:r>
          </w:p>
        </w:tc>
        <w:tc>
          <w:tcPr>
            <w:tcW w:w="921" w:type="dxa"/>
            <w:tcBorders>
              <w:top w:val="single" w:color="000000" w:sz="8" w:space="0"/>
              <w:left w:val="nil"/>
              <w:bottom w:val="single" w:color="000000" w:sz="8" w:space="0"/>
              <w:right w:val="single" w:color="000000" w:sz="8" w:space="0"/>
            </w:tcBorders>
            <w:shd w:val="clear" w:color="auto" w:fill="auto"/>
            <w:vAlign w:val="center"/>
          </w:tcPr>
          <w:p w14:paraId="48F1FCC3">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每百名学生拥有体育、艺术(美术、音乐)专任教师数</w:t>
            </w:r>
          </w:p>
        </w:tc>
        <w:tc>
          <w:tcPr>
            <w:tcW w:w="847" w:type="dxa"/>
            <w:tcBorders>
              <w:top w:val="single" w:color="000000" w:sz="8" w:space="0"/>
              <w:left w:val="nil"/>
              <w:bottom w:val="single" w:color="000000" w:sz="8" w:space="0"/>
              <w:right w:val="single" w:color="000000" w:sz="8" w:space="0"/>
            </w:tcBorders>
            <w:shd w:val="clear" w:color="auto" w:fill="auto"/>
            <w:vAlign w:val="center"/>
          </w:tcPr>
          <w:p w14:paraId="4C6BF4C7">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生均教学及辅助用房面积（㎡）</w:t>
            </w:r>
          </w:p>
        </w:tc>
        <w:tc>
          <w:tcPr>
            <w:tcW w:w="939" w:type="dxa"/>
            <w:tcBorders>
              <w:top w:val="single" w:color="000000" w:sz="8" w:space="0"/>
              <w:left w:val="nil"/>
              <w:bottom w:val="single" w:color="000000" w:sz="8" w:space="0"/>
              <w:right w:val="single" w:color="000000" w:sz="8" w:space="0"/>
            </w:tcBorders>
            <w:shd w:val="clear" w:color="auto" w:fill="auto"/>
            <w:vAlign w:val="center"/>
          </w:tcPr>
          <w:p w14:paraId="23D8B2BB">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生均体育运动场馆面积（㎡）</w:t>
            </w:r>
          </w:p>
        </w:tc>
        <w:tc>
          <w:tcPr>
            <w:tcW w:w="1021" w:type="dxa"/>
            <w:tcBorders>
              <w:top w:val="single" w:color="000000" w:sz="8" w:space="0"/>
              <w:left w:val="nil"/>
              <w:bottom w:val="single" w:color="000000" w:sz="8" w:space="0"/>
              <w:right w:val="single" w:color="000000" w:sz="8" w:space="0"/>
            </w:tcBorders>
            <w:shd w:val="clear" w:color="auto" w:fill="auto"/>
            <w:vAlign w:val="center"/>
          </w:tcPr>
          <w:p w14:paraId="58114FFA">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生均教学仪器设备值(元)</w:t>
            </w:r>
          </w:p>
        </w:tc>
        <w:tc>
          <w:tcPr>
            <w:tcW w:w="772" w:type="dxa"/>
            <w:tcBorders>
              <w:top w:val="single" w:color="000000" w:sz="8" w:space="0"/>
              <w:left w:val="nil"/>
              <w:bottom w:val="single" w:color="000000" w:sz="8" w:space="0"/>
              <w:right w:val="single" w:color="000000" w:sz="8" w:space="0"/>
            </w:tcBorders>
            <w:shd w:val="clear" w:color="auto" w:fill="auto"/>
            <w:vAlign w:val="center"/>
          </w:tcPr>
          <w:p w14:paraId="50942514">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每百名学生拥有网络多媒体教室数</w:t>
            </w:r>
          </w:p>
        </w:tc>
        <w:tc>
          <w:tcPr>
            <w:tcW w:w="735" w:type="dxa"/>
            <w:tcBorders>
              <w:top w:val="single" w:color="000000" w:sz="8" w:space="0"/>
              <w:left w:val="nil"/>
              <w:bottom w:val="single" w:color="000000" w:sz="8" w:space="0"/>
              <w:right w:val="single" w:color="000000" w:sz="8" w:space="0"/>
            </w:tcBorders>
            <w:shd w:val="clear" w:color="auto" w:fill="auto"/>
            <w:vAlign w:val="center"/>
          </w:tcPr>
          <w:p w14:paraId="11598F6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该校综合评估是否达标</w:t>
            </w:r>
          </w:p>
        </w:tc>
        <w:tc>
          <w:tcPr>
            <w:tcW w:w="2051" w:type="dxa"/>
            <w:tcBorders>
              <w:top w:val="single" w:color="000000" w:sz="8" w:space="0"/>
              <w:left w:val="nil"/>
              <w:bottom w:val="single" w:color="000000" w:sz="8" w:space="0"/>
              <w:right w:val="single" w:color="000000" w:sz="8" w:space="0"/>
            </w:tcBorders>
            <w:shd w:val="clear" w:color="auto" w:fill="auto"/>
            <w:vAlign w:val="center"/>
          </w:tcPr>
          <w:p w14:paraId="513F1E57">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备注（注明有哪几项指标达标，哪几项指标达到</w:t>
            </w:r>
            <w:r>
              <w:rPr>
                <w:rFonts w:hint="eastAsia" w:ascii="Times New Roman" w:hAnsi="Times New Roman" w:eastAsia="黑体" w:cs="黑体"/>
                <w:b w:val="0"/>
                <w:bCs w:val="0"/>
                <w:i w:val="0"/>
                <w:iCs w:val="0"/>
                <w:color w:val="000000"/>
                <w:kern w:val="0"/>
                <w:sz w:val="24"/>
                <w:szCs w:val="24"/>
                <w:u w:val="none"/>
                <w:lang w:val="en-US" w:eastAsia="zh-CN" w:bidi="ar"/>
              </w:rPr>
              <w:t>85%</w:t>
            </w:r>
            <w:r>
              <w:rPr>
                <w:rFonts w:hint="eastAsia" w:ascii="黑体" w:hAnsi="黑体" w:eastAsia="黑体" w:cs="黑体"/>
                <w:b w:val="0"/>
                <w:bCs w:val="0"/>
                <w:i w:val="0"/>
                <w:iCs w:val="0"/>
                <w:color w:val="000000"/>
                <w:kern w:val="0"/>
                <w:sz w:val="24"/>
                <w:szCs w:val="24"/>
                <w:u w:val="none"/>
                <w:lang w:val="en-US" w:eastAsia="zh-CN" w:bidi="ar"/>
              </w:rPr>
              <w:t>）</w:t>
            </w:r>
          </w:p>
        </w:tc>
      </w:tr>
      <w:tr w14:paraId="37A4B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blHeader/>
          <w:jc w:val="center"/>
        </w:trPr>
        <w:tc>
          <w:tcPr>
            <w:tcW w:w="582" w:type="dxa"/>
            <w:tcBorders>
              <w:top w:val="nil"/>
              <w:left w:val="single" w:color="000000" w:sz="8" w:space="0"/>
              <w:bottom w:val="single" w:color="000000" w:sz="8" w:space="0"/>
              <w:right w:val="single" w:color="000000" w:sz="8" w:space="0"/>
            </w:tcBorders>
            <w:shd w:val="clear" w:color="auto" w:fill="auto"/>
            <w:vAlign w:val="center"/>
          </w:tcPr>
          <w:p w14:paraId="65E9611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L1</w:t>
            </w:r>
          </w:p>
        </w:tc>
        <w:tc>
          <w:tcPr>
            <w:tcW w:w="2593" w:type="dxa"/>
            <w:tcBorders>
              <w:top w:val="nil"/>
              <w:left w:val="single" w:color="000000" w:sz="8" w:space="0"/>
              <w:bottom w:val="single" w:color="000000" w:sz="8" w:space="0"/>
              <w:right w:val="single" w:color="000000" w:sz="8" w:space="0"/>
            </w:tcBorders>
            <w:shd w:val="clear" w:color="auto" w:fill="auto"/>
            <w:vAlign w:val="center"/>
          </w:tcPr>
          <w:p w14:paraId="7098333B">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L2</w:t>
            </w:r>
          </w:p>
        </w:tc>
        <w:tc>
          <w:tcPr>
            <w:tcW w:w="633" w:type="dxa"/>
            <w:tcBorders>
              <w:top w:val="nil"/>
              <w:left w:val="nil"/>
              <w:bottom w:val="nil"/>
              <w:right w:val="single" w:color="000000" w:sz="8" w:space="0"/>
            </w:tcBorders>
            <w:shd w:val="clear" w:color="auto" w:fill="auto"/>
            <w:vAlign w:val="center"/>
          </w:tcPr>
          <w:p w14:paraId="4CB9F295">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L3</w:t>
            </w:r>
          </w:p>
        </w:tc>
        <w:tc>
          <w:tcPr>
            <w:tcW w:w="673" w:type="dxa"/>
            <w:tcBorders>
              <w:top w:val="nil"/>
              <w:left w:val="nil"/>
              <w:bottom w:val="nil"/>
              <w:right w:val="single" w:color="000000" w:sz="8" w:space="0"/>
            </w:tcBorders>
            <w:shd w:val="clear" w:color="auto" w:fill="auto"/>
            <w:vAlign w:val="center"/>
          </w:tcPr>
          <w:p w14:paraId="58CA6F9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L4</w:t>
            </w:r>
          </w:p>
        </w:tc>
        <w:tc>
          <w:tcPr>
            <w:tcW w:w="534" w:type="dxa"/>
            <w:tcBorders>
              <w:top w:val="nil"/>
              <w:left w:val="nil"/>
              <w:bottom w:val="nil"/>
              <w:right w:val="single" w:color="000000" w:sz="8" w:space="0"/>
            </w:tcBorders>
            <w:shd w:val="clear" w:color="auto" w:fill="auto"/>
            <w:vAlign w:val="center"/>
          </w:tcPr>
          <w:p w14:paraId="7D690A5F">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L5</w:t>
            </w:r>
          </w:p>
        </w:tc>
        <w:tc>
          <w:tcPr>
            <w:tcW w:w="503" w:type="dxa"/>
            <w:tcBorders>
              <w:top w:val="nil"/>
              <w:left w:val="nil"/>
              <w:bottom w:val="nil"/>
              <w:right w:val="single" w:color="000000" w:sz="8" w:space="0"/>
            </w:tcBorders>
            <w:shd w:val="clear" w:color="auto" w:fill="auto"/>
            <w:vAlign w:val="center"/>
          </w:tcPr>
          <w:p w14:paraId="7750886D">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L6</w:t>
            </w:r>
          </w:p>
        </w:tc>
        <w:tc>
          <w:tcPr>
            <w:tcW w:w="868" w:type="dxa"/>
            <w:tcBorders>
              <w:top w:val="nil"/>
              <w:left w:val="nil"/>
              <w:bottom w:val="nil"/>
              <w:right w:val="single" w:color="000000" w:sz="8" w:space="0"/>
            </w:tcBorders>
            <w:shd w:val="clear" w:color="auto" w:fill="auto"/>
            <w:vAlign w:val="center"/>
          </w:tcPr>
          <w:p w14:paraId="4E8CAE78">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L7</w:t>
            </w:r>
          </w:p>
        </w:tc>
        <w:tc>
          <w:tcPr>
            <w:tcW w:w="804" w:type="dxa"/>
            <w:tcBorders>
              <w:top w:val="nil"/>
              <w:left w:val="nil"/>
              <w:bottom w:val="nil"/>
              <w:right w:val="single" w:color="000000" w:sz="8" w:space="0"/>
            </w:tcBorders>
            <w:shd w:val="clear" w:color="auto" w:fill="auto"/>
            <w:vAlign w:val="center"/>
          </w:tcPr>
          <w:p w14:paraId="4F41FA88">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L8</w:t>
            </w:r>
          </w:p>
        </w:tc>
        <w:tc>
          <w:tcPr>
            <w:tcW w:w="921" w:type="dxa"/>
            <w:tcBorders>
              <w:top w:val="nil"/>
              <w:left w:val="nil"/>
              <w:bottom w:val="nil"/>
              <w:right w:val="single" w:color="000000" w:sz="8" w:space="0"/>
            </w:tcBorders>
            <w:shd w:val="clear" w:color="auto" w:fill="auto"/>
            <w:vAlign w:val="center"/>
          </w:tcPr>
          <w:p w14:paraId="0E8FFC88">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L9</w:t>
            </w:r>
          </w:p>
        </w:tc>
        <w:tc>
          <w:tcPr>
            <w:tcW w:w="847" w:type="dxa"/>
            <w:tcBorders>
              <w:top w:val="nil"/>
              <w:left w:val="nil"/>
              <w:bottom w:val="nil"/>
              <w:right w:val="single" w:color="000000" w:sz="8" w:space="0"/>
            </w:tcBorders>
            <w:shd w:val="clear" w:color="auto" w:fill="auto"/>
            <w:vAlign w:val="center"/>
          </w:tcPr>
          <w:p w14:paraId="386FF73E">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L10</w:t>
            </w:r>
          </w:p>
        </w:tc>
        <w:tc>
          <w:tcPr>
            <w:tcW w:w="939" w:type="dxa"/>
            <w:tcBorders>
              <w:top w:val="single" w:color="000000" w:sz="8" w:space="0"/>
              <w:left w:val="nil"/>
              <w:bottom w:val="single" w:color="000000" w:sz="8" w:space="0"/>
              <w:right w:val="single" w:color="000000" w:sz="8" w:space="0"/>
            </w:tcBorders>
            <w:shd w:val="clear" w:color="auto" w:fill="auto"/>
            <w:vAlign w:val="center"/>
          </w:tcPr>
          <w:p w14:paraId="32BD110B">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L11</w:t>
            </w:r>
          </w:p>
        </w:tc>
        <w:tc>
          <w:tcPr>
            <w:tcW w:w="1021" w:type="dxa"/>
            <w:tcBorders>
              <w:top w:val="nil"/>
              <w:left w:val="nil"/>
              <w:bottom w:val="single" w:color="000000" w:sz="8" w:space="0"/>
              <w:right w:val="single" w:color="000000" w:sz="8" w:space="0"/>
            </w:tcBorders>
            <w:shd w:val="clear" w:color="auto" w:fill="auto"/>
            <w:vAlign w:val="center"/>
          </w:tcPr>
          <w:p w14:paraId="6378B64F">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L12</w:t>
            </w:r>
          </w:p>
        </w:tc>
        <w:tc>
          <w:tcPr>
            <w:tcW w:w="772" w:type="dxa"/>
            <w:tcBorders>
              <w:top w:val="nil"/>
              <w:left w:val="nil"/>
              <w:bottom w:val="single" w:color="000000" w:sz="8" w:space="0"/>
              <w:right w:val="single" w:color="000000" w:sz="8" w:space="0"/>
            </w:tcBorders>
            <w:shd w:val="clear" w:color="auto" w:fill="auto"/>
            <w:vAlign w:val="center"/>
          </w:tcPr>
          <w:p w14:paraId="73216DE2">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L13</w:t>
            </w:r>
          </w:p>
        </w:tc>
        <w:tc>
          <w:tcPr>
            <w:tcW w:w="735" w:type="dxa"/>
            <w:tcBorders>
              <w:top w:val="nil"/>
              <w:left w:val="nil"/>
              <w:bottom w:val="single" w:color="000000" w:sz="8" w:space="0"/>
              <w:right w:val="single" w:color="000000" w:sz="8" w:space="0"/>
            </w:tcBorders>
            <w:shd w:val="clear" w:color="auto" w:fill="auto"/>
            <w:vAlign w:val="center"/>
          </w:tcPr>
          <w:p w14:paraId="57935E9A">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Times New Roman" w:hAnsi="Times New Roman" w:eastAsia="黑体" w:cs="黑体"/>
                <w:b w:val="0"/>
                <w:bCs w:val="0"/>
                <w:i w:val="0"/>
                <w:iCs w:val="0"/>
                <w:color w:val="000000"/>
                <w:kern w:val="0"/>
                <w:sz w:val="24"/>
                <w:szCs w:val="24"/>
                <w:u w:val="none"/>
                <w:lang w:val="en-US" w:eastAsia="zh-CN" w:bidi="ar"/>
              </w:rPr>
              <w:t>L14</w:t>
            </w:r>
          </w:p>
        </w:tc>
        <w:tc>
          <w:tcPr>
            <w:tcW w:w="2051" w:type="dxa"/>
            <w:tcBorders>
              <w:top w:val="nil"/>
              <w:left w:val="nil"/>
              <w:bottom w:val="nil"/>
              <w:right w:val="single" w:color="000000" w:sz="8" w:space="0"/>
            </w:tcBorders>
            <w:shd w:val="clear" w:color="auto" w:fill="auto"/>
            <w:vAlign w:val="center"/>
          </w:tcPr>
          <w:p w14:paraId="7C3C681D">
            <w:pPr>
              <w:jc w:val="left"/>
              <w:rPr>
                <w:rFonts w:hint="eastAsia" w:ascii="黑体" w:hAnsi="黑体" w:eastAsia="黑体" w:cs="黑体"/>
                <w:b w:val="0"/>
                <w:bCs w:val="0"/>
                <w:i w:val="0"/>
                <w:iCs w:val="0"/>
                <w:color w:val="000000"/>
                <w:sz w:val="24"/>
                <w:szCs w:val="24"/>
                <w:u w:val="none"/>
              </w:rPr>
            </w:pPr>
          </w:p>
        </w:tc>
      </w:tr>
      <w:tr w14:paraId="23E9C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582" w:type="dxa"/>
            <w:tcBorders>
              <w:top w:val="nil"/>
              <w:left w:val="single" w:color="000000" w:sz="8" w:space="0"/>
              <w:bottom w:val="single" w:color="000000" w:sz="8" w:space="0"/>
              <w:right w:val="single" w:color="000000" w:sz="8" w:space="0"/>
            </w:tcBorders>
            <w:shd w:val="clear" w:color="auto" w:fill="auto"/>
            <w:noWrap/>
            <w:vAlign w:val="center"/>
          </w:tcPr>
          <w:p w14:paraId="2A21C2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w:t>
            </w:r>
          </w:p>
        </w:tc>
        <w:tc>
          <w:tcPr>
            <w:tcW w:w="2593" w:type="dxa"/>
            <w:tcBorders>
              <w:top w:val="nil"/>
              <w:left w:val="single" w:color="000000" w:sz="8" w:space="0"/>
              <w:bottom w:val="single" w:color="000000" w:sz="8" w:space="0"/>
              <w:right w:val="single" w:color="000000" w:sz="8" w:space="0"/>
            </w:tcBorders>
            <w:shd w:val="clear" w:color="auto" w:fill="auto"/>
            <w:vAlign w:val="center"/>
          </w:tcPr>
          <w:p w14:paraId="12DF6C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广州市增城区朱村街南岗小学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D6925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5FE73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62C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4CE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91A0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61</w:t>
            </w:r>
          </w:p>
        </w:tc>
        <w:tc>
          <w:tcPr>
            <w:tcW w:w="8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68EC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9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813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05</w:t>
            </w:r>
          </w:p>
        </w:tc>
        <w:tc>
          <w:tcPr>
            <w:tcW w:w="847" w:type="dxa"/>
            <w:tcBorders>
              <w:top w:val="single" w:color="000000" w:sz="8" w:space="0"/>
              <w:left w:val="nil"/>
              <w:bottom w:val="nil"/>
              <w:right w:val="nil"/>
            </w:tcBorders>
            <w:shd w:val="clear" w:color="auto" w:fill="FFFFFF" w:themeFill="background1"/>
            <w:noWrap/>
            <w:vAlign w:val="center"/>
          </w:tcPr>
          <w:p w14:paraId="67101A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9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5DF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23</w:t>
            </w:r>
          </w:p>
        </w:tc>
        <w:tc>
          <w:tcPr>
            <w:tcW w:w="10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1AE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53</w:t>
            </w:r>
          </w:p>
        </w:tc>
        <w:tc>
          <w:tcPr>
            <w:tcW w:w="7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6D9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7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1C84B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8B2C8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2E4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5385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0130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广州市增城区朱村街横塱小学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44F1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75F8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482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71B4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D6A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1457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60</w:t>
            </w:r>
          </w:p>
        </w:tc>
        <w:tc>
          <w:tcPr>
            <w:tcW w:w="8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07C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9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AAB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847" w:type="dxa"/>
            <w:tcBorders>
              <w:top w:val="single" w:color="000000" w:sz="8" w:space="0"/>
              <w:left w:val="nil"/>
              <w:bottom w:val="nil"/>
              <w:right w:val="nil"/>
            </w:tcBorders>
            <w:shd w:val="clear" w:color="auto" w:fill="auto"/>
            <w:noWrap/>
            <w:vAlign w:val="center"/>
          </w:tcPr>
          <w:p w14:paraId="434EDE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61</w:t>
            </w:r>
          </w:p>
        </w:tc>
        <w:tc>
          <w:tcPr>
            <w:tcW w:w="9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9E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10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C4E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2029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7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EDB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E11B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6260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ADA4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732C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1F12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广州市增城区新塘镇甘泉小学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A3BC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E58F8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2813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0EE0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244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ACF1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463C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88A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535E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5CD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1AD5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41E4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D712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C214B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DD3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186F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17FD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76973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315AD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1564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1E14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DFB6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676F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B495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FEC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E45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CA47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100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2100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00F9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C305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C885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747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5BC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F45D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广州市增城区新塘镇群星小学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957B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E74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676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5C48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4A9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F34C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767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F0EA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FFFFFF" w:themeFill="background1"/>
            <w:noWrap/>
            <w:vAlign w:val="center"/>
          </w:tcPr>
          <w:p w14:paraId="5A080B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41FB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921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2071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EA5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1063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AF31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67AC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87F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974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广州市增城区新塘镇南安小学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14A6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FCA1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857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AB84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FD7D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0B67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51F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3AA8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94DF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DD09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4C55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2205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E3DC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5829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C20A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2770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DD6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57E0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广州市增城区新塘镇新墩小学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9B94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54E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762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037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7EB8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C58F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0AB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A8D5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832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60E0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4D3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2092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256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B58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BBD08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41E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86CD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7BA9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广州市增城区新塘镇西洲小学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3B571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F125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433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A237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274D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D1C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05D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A553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1021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CB4D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467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838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0C6C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8F2C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F037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7241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79EB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广州市增城区新塘镇唐溪小学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7A672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69C29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446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519F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D76D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6430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83E1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5DD7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0FE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EC3C5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4EBA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2290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D0E2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475E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B60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1251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1B0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10A3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广州市增城区新塘镇白石小学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9BFF0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9BEE9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BB2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BDB9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E753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6BEB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8500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FA78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4C7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0A56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BD20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412B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78A0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F540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3A89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41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广州市增城区新塘镇瑶田小学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90A9E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CB49A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1314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C7F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460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580F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E6D5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3958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EBBE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B75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AB63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2038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331A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EF6D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F1FA9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66E2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9762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2890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广州市增城区新塘镇大敦小学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513AC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B518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785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C94E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C306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F7DA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BF69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76E7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C014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E8A5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4E4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2528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2B7D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5CF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9E9E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E0D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DE9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FE2E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广州市增城区新塘镇久裕小学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CB801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907C1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1102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7B01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201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AB99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5CC6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5290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762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5069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BEF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2245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F58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CA0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1B0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C452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745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A777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广州市增城区永宁街第二小学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F6E3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D82C9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2023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43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BBE4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3BAD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C18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3FAF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ECE7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C119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D9A5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2190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209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DF75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EDAE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443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923D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667D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广州市增城区永宁街中心小学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4A5EA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42953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1374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9CFA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E827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859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25DC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3CB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10D9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21AB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593D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4322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B3F4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E362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D30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5CA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7F1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广州市增城区永宁街长岗小学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601FF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B8B4B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906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AEA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C881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F5F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7D97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9C4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506F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94AB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6A48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2421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967F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5A9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4794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97B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B934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2A02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广州市增城区宁西街九如小学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87F8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8589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546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7FB2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5C8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60A8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0FE8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13C9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FFFFFF" w:themeFill="background1"/>
            <w:noWrap/>
            <w:vAlign w:val="center"/>
          </w:tcPr>
          <w:p w14:paraId="48F1BA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lang w:val="en-US"/>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40D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611E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2025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244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FFFFFF" w:themeFill="background1"/>
            <w:noWrap/>
            <w:vAlign w:val="center"/>
          </w:tcPr>
          <w:p w14:paraId="201E83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18613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0645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02DD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D6B5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2FD3F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6A62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2589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C42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2BE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FEF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7269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614F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FD70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0640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E6C0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2069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D2F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9493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74B75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E87E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F8B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7862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广州市增城区仙村镇蓝山小学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57A09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5209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86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114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95E0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20DF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DB3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A331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A47B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3896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2196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5FBA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92D7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BE61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EC0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187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5CC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广州市增城区新塘镇沙埔小学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7F23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2FBE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1684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FA62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A183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E62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344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D053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FFFFFF" w:themeFill="background1"/>
            <w:noWrap/>
            <w:vAlign w:val="center"/>
          </w:tcPr>
          <w:p w14:paraId="085F6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lang w:val="en-US"/>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40A9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6FFE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2542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DD49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D502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4C91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9E0D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FF35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A3B9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广州市增城区仙村镇基岗小学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4B90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18B4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4DC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314E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C5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9737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F1E0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F11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E77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35F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2822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677E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7DEF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711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C09A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918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7A8F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广州市增城区仙村镇岳湖小学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4C323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0AF62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E1A5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98E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E64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F13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A73E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4AC9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ED2C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9E8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3627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2C16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678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8F66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A9D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472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AF65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广州市增城区仙村镇沙头小学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4E9F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30B63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3214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8BC3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EBB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20FF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DEF6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CDB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98A0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4382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2529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53B8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580A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58089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D43C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9D5C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F4A4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广州市增城区宁西街镇泰学校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84692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6ED7A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1592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82E4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9F98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D66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10E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EEF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E64A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DD4E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7548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2198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C7E2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6A00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7AB6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8B63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865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9307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广州市增城区永宁街第一小学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DD3AE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49AE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1165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1EC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979F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159C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209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7C05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4037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03C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8D4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2441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813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24AEE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227AB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AB98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D49D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F0EC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C5D2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52EB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626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202F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0D63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EB7B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29A3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9A64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B2BB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1F6F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44BD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2374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6668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B341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A590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348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75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4610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广州市增城区新康小学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B841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2FAC0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804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A23D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2801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20F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5EA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E2E7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7836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1DC7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5AD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2658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40C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41E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9821D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B64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9DE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0CBD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0ED6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75E9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1222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970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EE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44A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F761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8CC4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0E86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8B65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73C0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2465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427B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211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0673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6D7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246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6F43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广州市增城区石滩镇岗贝小学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CE3B9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91AD0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373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7F4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1495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184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C26B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069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70B01A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B28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12F7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2535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893B8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BCDE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E5A7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E58D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7A5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B48F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广州市增城区石滩镇元洲小学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A7DC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44E52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81B4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676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11EC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EC0C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921"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08F82D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0BDC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72B347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DD12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2100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C67C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A4C5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8F6E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76A4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3909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774F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广州市增城区石滩镇碧江小学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8FA75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6CC6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42B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2662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DA1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8E2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921"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5B17C1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1746B0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08114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5028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3588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8C8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D0E5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701C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F23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AF2F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2834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广州市增城区石滩镇岳埔小学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AB14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378A0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5CE0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CD13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0AA0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EB6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319C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7B3E2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ADBE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78F0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2444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6E1F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DA57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8C7F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564B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E8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15DB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广州市增城区石滩镇石厦小学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582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AD04B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415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B2F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26C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756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9747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D017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280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FFD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B70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2451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6AF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8A84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457F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364A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4C2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AFDC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广州市增城区石滩镇麻车小学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5DEA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793A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1630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E0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2FB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894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9559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8511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398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3FF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7B90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4305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783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1391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B758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9D29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2237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6F0E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广州市增城区石滩镇石湖小学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B3851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868C6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2022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4553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94E2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E399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7FFB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88A73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3D3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4BD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2831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7E37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B3A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7BA4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2CD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659D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D645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广州市增城区石滩镇旧山吓小学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E02B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C50A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C8F2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BC71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84E9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61</w:t>
            </w:r>
          </w:p>
        </w:tc>
        <w:tc>
          <w:tcPr>
            <w:tcW w:w="804"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54ACC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2F8C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ED7B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CF7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295E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3641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26C8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E41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762F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529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FD9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883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广州市增城区富鹏小学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EA19D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710A5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1702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02A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81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w:t>
            </w:r>
          </w:p>
        </w:tc>
        <w:tc>
          <w:tcPr>
            <w:tcW w:w="868" w:type="dxa"/>
            <w:tcBorders>
              <w:top w:val="single" w:color="000000" w:sz="8" w:space="0"/>
              <w:left w:val="single" w:color="000000" w:sz="8" w:space="0"/>
              <w:bottom w:val="single" w:color="000000" w:sz="8" w:space="0"/>
              <w:right w:val="single" w:color="auto" w:sz="4" w:space="0"/>
            </w:tcBorders>
            <w:shd w:val="clear" w:color="auto" w:fill="auto"/>
            <w:noWrap/>
            <w:vAlign w:val="center"/>
          </w:tcPr>
          <w:p w14:paraId="52EF8F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94</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6D179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921"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339C4D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391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686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6B0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2161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0506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5A42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3266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B089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152C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5C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广州市增城区石滩镇星光小学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DFC8B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1ECED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195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7C5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5E8F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55</w:t>
            </w:r>
          </w:p>
        </w:tc>
        <w:tc>
          <w:tcPr>
            <w:tcW w:w="804" w:type="dxa"/>
            <w:tcBorders>
              <w:top w:val="single" w:color="auto" w:sz="4" w:space="0"/>
              <w:left w:val="nil"/>
              <w:bottom w:val="nil"/>
              <w:right w:val="nil"/>
            </w:tcBorders>
            <w:shd w:val="clear" w:color="FFFFFF" w:themeColor="background1" w:fill="auto"/>
            <w:noWrap/>
            <w:vAlign w:val="center"/>
          </w:tcPr>
          <w:p w14:paraId="22E706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81D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CB10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2230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AAA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2696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B4A5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088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89E16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318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BE0B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05FB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广州市增城区石滩镇桥头小学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53BD6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1AC4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14D5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9334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4633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0831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904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AF2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9DF4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F77B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2749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6337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0190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912EB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F2E0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DAD9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D4A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广州市增城区石滩镇三江小学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995D3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2C7E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8C38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3F8D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772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C92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F5EC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CEC8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63F5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EF5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2117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F47F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D687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EB3F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ECD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F10D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8C02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广州市增城区石滩镇沙头小学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BC3F8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1EE5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CE19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D120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D157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8FCB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C5D3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2A462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E108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556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2470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8313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939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2BD7C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52E9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C1AA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4225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广州市增城区石滩镇江龙学校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FA8EF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70EFC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739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4D48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32AE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D60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D9EF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921"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130645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40B71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3AEA01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ED87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967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DA3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65B02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4F83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14D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A57C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4BEE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ED975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1356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BD99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563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5C3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A08F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B28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2F5CE0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5418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B9E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2033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257A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D219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8346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BD4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169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F5C6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广州市增城区中新镇山美刘庆祺学校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67D7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A6696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8171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AA3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99DF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4708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C30A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FA7A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80E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45FB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2738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513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920A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C712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816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B758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8D5E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广州市增城区中新镇莲塘小学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96F3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9623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348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984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1211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FB3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29A6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B3F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B1B1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E36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F294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B01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2E95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CDC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6668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6AC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618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A580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A25FA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366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F02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432F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4ABD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05E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E9F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210C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4A3C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904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2250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611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C8B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1135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881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E728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CA48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广州市增城区中新镇福和小学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BCB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DB7B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806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CFFA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9D1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3CB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D7A6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E74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64E8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553D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0EC2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2699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78E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27F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1D1E9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B814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E7B5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D718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广州市增城区中新镇福和希望小学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B5DAC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79706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798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1AAF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DBD7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97F4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6F4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6B1E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F55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0944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6574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2244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1D4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4ED4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9151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663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A76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0B0C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广州市增城区中新镇育才小学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6768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5325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E03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0C4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AC6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2F99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C54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E3F4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9742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BD47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3439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B171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97E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D835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21D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4A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8FD3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广州市增城区中新镇福和第一小学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9E86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1A353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653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8A6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1C15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7CC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4213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653E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3439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F3E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18F0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2133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3974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8C6C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0DEA6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D942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02E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A3CD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广州市增城区中新镇合益小学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7F15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FE6A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4C7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14C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31A1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1D4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C410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304D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E25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CDB3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2424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8E7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68B0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A110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0A47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83E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BE91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广州市增城区中新镇五联小学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390E1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AC8F1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297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95B2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91F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B66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9EBC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98D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2F44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2FB0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C85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4047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7584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67A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08DB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50FD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A59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EFA9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广州市增城区正果镇中心小学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677E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BBDE9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1215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0664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D3E0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DA7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470F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A60B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35CE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BDF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F61B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5030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C4DE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6BE7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6EA3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7EF2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E60A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8339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广州市增城区正果镇麻冚小学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29CF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0D93F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BC2B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639F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0A8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432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5ABB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63A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67DA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45F6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5400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70BA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BA6D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9D4C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D02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BAB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AC03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广州市增城区正果镇岳村小学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7094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CFEBD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DEC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C605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9C53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90FE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B40C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02C9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B39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186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762D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1454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95B11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046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E0B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25E5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广州市增城区正果镇光明小学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AB32F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387A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394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2CED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7BC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C6A6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8496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921" w:type="dxa"/>
            <w:tcBorders>
              <w:top w:val="nil"/>
              <w:left w:val="nil"/>
              <w:bottom w:val="nil"/>
              <w:right w:val="nil"/>
            </w:tcBorders>
            <w:shd w:val="clear" w:color="FFFFFF" w:themeColor="background1" w:fill="auto"/>
            <w:noWrap/>
            <w:vAlign w:val="center"/>
          </w:tcPr>
          <w:p w14:paraId="0EEC97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02F0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268E5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0503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2160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D7B9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ED8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04BA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8CD6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B58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804F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广州市增城区正果镇兰溪小学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EDB7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27DA6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F8BE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5DFC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853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8BE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64B2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3499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837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95FB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4907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CBFB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0A0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ABF8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BCD8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88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356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广州市增城区正果镇水围小学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D50E4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514FF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273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DF4F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1DFE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3B5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714B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83C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84E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367B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0170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2098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CDD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717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790B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FA2E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FD3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69DC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9512A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8602F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1975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9272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895E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0F1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16A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05FB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738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2128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3EF6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2480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5336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8628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FE23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DC4F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DABD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4684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广州市增城区派潭镇育英小学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931E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7D70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70CE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503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A0F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5CD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5C6B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847" w:type="dxa"/>
            <w:tcBorders>
              <w:top w:val="nil"/>
              <w:left w:val="nil"/>
              <w:bottom w:val="nil"/>
              <w:right w:val="nil"/>
            </w:tcBorders>
            <w:shd w:val="clear" w:color="FFFFFF" w:themeColor="background1" w:fill="auto"/>
            <w:noWrap/>
            <w:vAlign w:val="center"/>
          </w:tcPr>
          <w:p w14:paraId="3ADC62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3380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3D7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3454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A48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3B9C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574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A343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107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72E3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广州市增城区派潭镇高滩小学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A0A78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C25FB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550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36AE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137E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113E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1477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FC05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7260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8299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F0F6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2048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2E89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C63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E84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B025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653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95EF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广州市增城区派潭镇七境小学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6F53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04FA0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400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4D4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4617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098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FC0B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06A8D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05B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007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ACAE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2349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FA5A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171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A8CB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F8E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E8D5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E0DE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7EBE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8CCA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941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5A4B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F06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9EC5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04"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27F5DE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59</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02EA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847"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6C5442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7CD6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F22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2791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3171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BAA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6AE9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E0B1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8809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4E0C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广州市增城区小楼镇中心小学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27307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DBF43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4EBD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71D1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2B66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116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921" w:type="dxa"/>
            <w:tcBorders>
              <w:top w:val="single" w:color="auto" w:sz="4" w:space="0"/>
              <w:left w:val="nil"/>
              <w:bottom w:val="nil"/>
              <w:right w:val="nil"/>
            </w:tcBorders>
            <w:shd w:val="clear" w:color="FFFFFF" w:themeColor="background1" w:fill="auto"/>
            <w:noWrap/>
            <w:vAlign w:val="center"/>
          </w:tcPr>
          <w:p w14:paraId="76D737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8B1F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1AB6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D71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4807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C32A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C24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5AFE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9E3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8186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49E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广州市增城区小楼镇腊圃小学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83BD9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324E5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741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F184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F9C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9ED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D77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CC2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D9A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E5D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8C50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2242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39FB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40C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16FD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909E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5DF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2FD2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广州市增城区小楼镇沙岗小学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DFB5C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C0FE4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FFE4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D75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622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7EC0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5A6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5A45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47D7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7A1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3135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9450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F8D8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FB8B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901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FF0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6EED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广州市增城区小楼镇竹坑小学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E941D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D6A96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A20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5F11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537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BCA6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489D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8FDA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751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AC98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7C5F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D14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E38AE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922B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BED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D97E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广州市增城区小楼镇长岭麦韵芳小学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B9D58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8BB66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C33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46C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77BD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622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764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0608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A90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FFE9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3924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7DB2C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88E9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6A8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924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7A2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ED1B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广州市增城区小楼镇庙潭小学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37EA9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8BB8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607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D98C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79DF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5F31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79C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AB16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690D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F1E3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E74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B30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85E6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6C3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456E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06D0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D3861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A961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893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3867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31C1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51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03C8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5C9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3E8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E426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962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2365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 xml:space="preserve"> </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677E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8730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3A9B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CD32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CC3E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854F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广州市增城区荔城街第三小学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63DA6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C8F95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414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7CE7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1FD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E72D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653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4486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A3F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C1FD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DEA1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3345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CF3C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FFEA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0685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DF4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EA84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7936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广州市增城区挂绿小学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C9930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BF8FD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2231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720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433A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52D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F50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57F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AE99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D6C6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2C7B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2084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8C1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8B7F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4CF9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5AFA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AD4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4E1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广州市增城区荔城街夏街小学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4829F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F7E83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436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F78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E55D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3D0D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BE16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810B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FBE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D41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88FF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2291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F21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7EB5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B93A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EF2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75E3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5A74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广州市增城区荔城街廖村小学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364EE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B051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2857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7EF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3B1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D59C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6C8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CB18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E702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FADF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3744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275F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2C2D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E280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278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648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C229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广州市增城区荔湖街第一小学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FF06D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B13BA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478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ADC2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AF86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D16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47A4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B83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0CA8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2E97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A66D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8E69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8BC0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316D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8F1D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F55B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6F44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83A35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BA8D5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2198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053B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7138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A31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224B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F91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6D00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4DBD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1E7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2090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2678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073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A43F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02BB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72A7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AE0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广州市增城区荔江小学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206E9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5CA4F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1837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DE5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157F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716C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146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D063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D298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B3DC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417D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2139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E07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189C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886B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026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91F4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68D0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E0173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091B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2907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837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637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941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027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255A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8B24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4E80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1F66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2270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9B20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7A408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39F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4A2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EFD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2C62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广州市增城区清燕小学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C039A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920C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2017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C20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BD0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5DE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B89B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584E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7025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11FB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609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2009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D0E1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D399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CE9C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CC9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C13E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19AD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广州市增城区增江街中心小学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DFB20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82D6E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1072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58EB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8148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E1EB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1A81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A23E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04AF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1936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07F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2681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842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187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383A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B13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5020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E907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广州市增城区增江街第一小学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2A92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45466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1114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6225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71E1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F25D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D04E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27E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A076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FA62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A5A8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2080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4C4E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728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8E4E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521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DBB9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58D1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广州市增城区增江街第二小学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B2D14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20CA4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633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37A0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AF3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2C2A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43D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2201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BC80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0CB8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422D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2199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BA61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1252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47D5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204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39C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D77D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广州市增城区东湖小学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03544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5C07B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1584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3746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3E2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369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764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5F1B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7BD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2EB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D2A0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13E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C6C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70D0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541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913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CEC6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广州市增城区新诚小学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C738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0667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3EB1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AAE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7D7E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BF1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ECD4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C441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CE2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6E18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2864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0C24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92D0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8FFF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074E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872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6788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广州市增城区增江街四丰小学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1F4B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6ED10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A6C5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8653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860E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D5A0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80A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02CD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248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BC6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2165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2999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E9A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BFEC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8CF1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659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19C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广州市增城区朱村街中心小学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AE31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AE098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1590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85B9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BC72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25F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C59A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368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209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1F9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ED4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2092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91D2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391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5981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6DA6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90D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7709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广州市增城区朱村街龙岗小学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61FF9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58C5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426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4D12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039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5A8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CC0C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4180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DB59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A5A5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2889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2018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C34F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6EE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A4A8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0B9B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70EF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EFA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广州市增城区朱村街山田小学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33E76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414A0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444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8C22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D722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4FB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A67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DAE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498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183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0CE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3004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C682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C2F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BEA22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1E4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5A8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C2AD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广州市增城区新塘镇天伦学校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E0E97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3C55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1436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04DA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8933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C69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9738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207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47E1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C08C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175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2760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6B3A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1D7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B79FE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C2FA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EAE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3A7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广州市增城区万博实验学校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93D6D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C47E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798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8757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BB4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1275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6CF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972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CC6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0135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5C4B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4385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3191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4EEB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E0597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6DF6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239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073C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广州市增城开发区小学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27C7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6C53C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1991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E97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9D77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512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38A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41BA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5B19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784E1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5D07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2157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49DE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B755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609D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4708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055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B0C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广州市增城开发区第二小学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BA73B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7C3C8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790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3372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BEF7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4C2D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ABA9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A7E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05FB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FC49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43C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2197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4936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707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AA61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BE3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BE33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690F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广州市增城区南香山小学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70AC5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607F5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2119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D38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52E6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80FD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0525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6F7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FDA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9B2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A724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2365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DE0E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5592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150A9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D9F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D108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A635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广州市增城区合生育才学校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77525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DDC6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1873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FF2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DF0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FF8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9DD7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D51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D9C6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E97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D5BF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F7FC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76F4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D0557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4E73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F81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5F99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广州市增城区凤凰实验小学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A6E35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1BF66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3286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A85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3EE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EFA3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7868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039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903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B860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D7BF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B02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971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2FF1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261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A93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B3BB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2AB22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95497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843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0DAA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8A2F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3F3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3F83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981A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54CB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1D5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D59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0020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61A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82DC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CD6D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C41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CE43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广州市增城区荔城街城丰小学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0814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2B1C9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489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987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5D40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AFB6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F5A3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70BE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FFFFFF" w:themeFill="background1"/>
            <w:noWrap/>
            <w:vAlign w:val="center"/>
          </w:tcPr>
          <w:p w14:paraId="297383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A8AA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B06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F3BE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958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42A72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B3F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A5C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7E3A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BCF69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DAAC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1466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F015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C1C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BC8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9D3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119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FDC4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7C2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BC36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2008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DCB4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820F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FE371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9922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33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35CE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广州市增城区永宁街天誉小学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1693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6B4FD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1761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A92F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CA6B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38B0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20C4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ACF3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847" w:type="dxa"/>
            <w:tcBorders>
              <w:top w:val="nil"/>
              <w:left w:val="nil"/>
              <w:bottom w:val="nil"/>
              <w:right w:val="nil"/>
            </w:tcBorders>
            <w:shd w:val="clear" w:color="FFFFFF" w:themeColor="background1" w:fill="auto"/>
            <w:noWrap/>
            <w:vAlign w:val="center"/>
          </w:tcPr>
          <w:p w14:paraId="66BFB6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D7FC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7204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2198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BFC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1B28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DC98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50F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550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456B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广州市增城区新塘镇第三小学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8E5F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28CB6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1021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2BD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01F6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1457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97E8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67</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205F3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022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94F8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D78D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2081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53DE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776C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FEB5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7A5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9607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CAB4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广州市增城区朱村街西福小学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415D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34B2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1282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6F1E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248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837B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07</w:t>
            </w:r>
          </w:p>
        </w:tc>
        <w:tc>
          <w:tcPr>
            <w:tcW w:w="804"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5BEE6A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4BFDF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847"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200121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F320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61F1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2006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EBB4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101C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49C8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946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3A9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FCB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广州市增城区中新镇第三小学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9865E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F77C5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498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C24E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3F3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FC0B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5AA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7DEACE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C17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9C07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987B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2348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97B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88B1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4F8F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F16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C48A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F498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广州市增城区荔湖小学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2BE55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83C0F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1118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1A9F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757F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CE87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EFA0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1C8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9F28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9A6D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944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2E15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45F5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E22A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DC32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8EE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31D2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8FE8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FE40E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1370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4692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120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002B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0FC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B9D5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BD8B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CFF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324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2050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A57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5CD7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882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DA1D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28F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B299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575F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81F3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647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F1DC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9EC9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C435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7BFB7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D5D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A0B5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0CC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51D2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5717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426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ADAE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7B1E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B81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A8D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43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广州市增城区新塘镇鹤泉小学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8460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4926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3050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B19D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3863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73F7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5DE7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F21C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847" w:type="dxa"/>
            <w:tcBorders>
              <w:top w:val="nil"/>
              <w:left w:val="nil"/>
              <w:bottom w:val="nil"/>
              <w:right w:val="nil"/>
            </w:tcBorders>
            <w:shd w:val="clear" w:color="FFFFFF" w:themeColor="background1" w:fill="auto"/>
            <w:noWrap/>
            <w:vAlign w:val="center"/>
          </w:tcPr>
          <w:p w14:paraId="778C1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1B00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D00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2607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E695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733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C313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8F07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E08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6212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广州市增城中学附属小学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A0A5D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10F18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2367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024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0AFC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6DB4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90B3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732ED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F57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89D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9A7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2630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6A9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EABD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0AB0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048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B958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DF66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广州市增城区凤凰实验第一小学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7874C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DC0EF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482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BD48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AF1F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DA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B1B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1C46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FDD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D746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582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2002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D5A0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D3C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CEE9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D1E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7A1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1B72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广州市增城区朱村街第二小学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EC9C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3D71D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1087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B11D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EEE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F15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A8A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8D3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684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354A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39A7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3964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5F4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BC33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72DCD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018A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0A4F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9CFF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广州市增城区石滩镇翠湖小学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60B60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999C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4BEF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381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E32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E26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61B1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F286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7334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D770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CEA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5F1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BF7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24B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30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B0FF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广州市增城区天恩双语学校（第二校区）</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1C8B2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3C793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2150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32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44F7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6E1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5BE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548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CA5F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875B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A47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F6F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6048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7EDB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079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2A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423D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广州市增城区石滩镇泉湖小学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F3835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117E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671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AC24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1DE1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E4F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7B6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03B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4AD2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C37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2984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BD7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BFE1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5C8F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4B8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DC3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E05E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广州市增城区朱村街凤秀小学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82B7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63936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818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580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0080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4B4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694C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E259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A813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C01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0AB9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2303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FE2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7B6F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7D29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131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D41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5C21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广州市增城区暨南大学附属崇德小学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80324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37A0D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901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40DB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C21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F91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3B45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CB1F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D9B4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564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540C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2259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D00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88E59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5FE7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380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7B93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E650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广州市增城区广附实验小学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A4034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FFBB9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802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B5A2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E4F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B96A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AC7F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16BD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E48E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AB2E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749C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2244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A115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566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9DD64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E1A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ACDA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9D14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广州市增城区华南师范大学附属朱村实验小学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795D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4064B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704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124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0B7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A70E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DFFA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2123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6D7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BE6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B307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3195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8BA8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0C0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0B2F8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2459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7B9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13A0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广州市增城区新泉小学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653D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EAC2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1548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C053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E704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61E5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90FE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785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4C9A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6015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E72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3770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265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A3FD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CA69A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647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D9F2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F03F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广州市增城区新城小学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A73D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3837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569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2B7F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5D65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550E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1D11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0C84D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5F8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523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B45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2319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474C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0F57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30D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ADF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6E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50C2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广州市增城区华南师范大学附属增江实验小学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5A5A4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6744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438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CC3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213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2B5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02</w:t>
            </w:r>
          </w:p>
        </w:tc>
        <w:tc>
          <w:tcPr>
            <w:tcW w:w="804"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2D234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57CF9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847"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09E88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BD1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084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94D6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8B3F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052C8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15EB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4F4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44D5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广州市增城开发区第一小学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CB2A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8D25D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1461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C35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D263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6975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B0A3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50B07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A87F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75A4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1A06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2020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9322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8AB2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3489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950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77B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950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广州市增城区华南师范大学附属中新实验小学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1EFCA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C3A19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459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3C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86B1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4F6B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0F9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035F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9748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18D9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18DF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3186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35E4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CCCE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A3ECB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D2A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753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39D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广州市增城区华南师范大学附属新塘实验小学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E60E5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7FBD2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1049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B28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68A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75BF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42C1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67BF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31B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F3C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250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3908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28CD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DA7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44F6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06F6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DC3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5B9C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广州市增城区第一实验小学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0EED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2A57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1285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A8AD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431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8EE4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55F9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1362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847" w:type="dxa"/>
            <w:tcBorders>
              <w:top w:val="nil"/>
              <w:left w:val="nil"/>
              <w:bottom w:val="nil"/>
              <w:right w:val="nil"/>
            </w:tcBorders>
            <w:shd w:val="clear" w:color="FFFFFF" w:themeColor="background1" w:fill="auto"/>
            <w:noWrap/>
            <w:vAlign w:val="center"/>
          </w:tcPr>
          <w:p w14:paraId="0D480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E96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AE1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2039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40D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409A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98AB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A51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948E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AEC4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广州市增城区永誉学校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488A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1F5B7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1120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651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54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20A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0BE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B81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43B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4D2B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D893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2122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7C94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F6E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6DD59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B20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1AC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13E7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广州市增城区科教城小学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74E0F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66B66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754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45D4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6E5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6E8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F7E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FD55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9471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4DE9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BF15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2055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9B55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86E8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573F0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704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E968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B87D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广州市增城区东华香江学校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7B3A9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E7B0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384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6C54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191E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4BC8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649C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179A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4D9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6FD3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68D9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3032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6F5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FB39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735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4DD1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EE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1DE9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广州市增城区华南师范大学附属永宁实验小学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0EA2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93F15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456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9E36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8B8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10BE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2BB6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6B5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7D7E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0107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286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2140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04D7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84C3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D7ED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1341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D9F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7DE6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广州市增城区中新镇第四小学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D4740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263E5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581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6D7E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631B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440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95E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5C86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F39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5A78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2143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89B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7FE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15D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81BB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5D9C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5AE9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广州市增城区挂绿实验学校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00F3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6608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1007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AD66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1C11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F11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C10D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529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93A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FA1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02CF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2396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37B3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4A4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BC66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AB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B600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9118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广州市增城区荔城街第三中学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51614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2FC7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1541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17D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AAA2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6381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2FE8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03B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1764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213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DDA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3755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CF47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75D3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F76D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5A4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1F9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166B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广州市增城区大鹏小学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AD52D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8E603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1883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A0C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7599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25D7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E2A0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20FD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95E9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4CF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04BD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2021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DCCA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0F9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68FF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855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90E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8765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广州市增城区英才学校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ADF6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AE123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1890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724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32C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ACDC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96B8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A13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A9F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759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52EF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3698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A74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1A1E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B259E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893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4AF2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B3FB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广州市增城区奥体学校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6CCD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F896E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4079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2D6F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220E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2883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943E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6080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8D3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C05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2292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FB83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DCDB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6A0A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159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1F0D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8EB6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广州市增城区水电二局学校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749E9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FBBB2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846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E340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F9F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3EC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C14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2AD5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87B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A0C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327C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2956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D98C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2B42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23CB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D28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9DF5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D3D4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广州市增城区五星学校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A73DD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ECC6D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917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ADE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A538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FBA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13BE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42B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2247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91DA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A066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3722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5C1C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D41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C3F5A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1EAA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BA8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F70E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6BC30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5FCE4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1713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504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C94A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8CA6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3A55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FF88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5D6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2439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D6D1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0C9D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A41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3F6F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6F52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B67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0ED9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广州市增城区新雅新世界实验学校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A747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5CBE3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1087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7C19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70F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4FFA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2793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3A7C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A563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92BA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9289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4060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A304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37E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A9A1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167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4033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C1D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广州市增城区凤凰城中英文学校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1CFC1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742EA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2422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7426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900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3BD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E5B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129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1443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B21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2ED5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2544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4E30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1C7B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E0BA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27A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058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E2A6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广州市增城区新蕾学校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76AC7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B579C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1269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38B6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C188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95F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8B22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CC57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BEAE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9F88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8895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3032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4F2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E52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C4E1D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572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E0D7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208F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广州市增城区春晖学校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83E7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27475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864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A895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D7B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4C56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8A5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B3DA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6D54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99AB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536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3324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3A9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D4E3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0255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D94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522B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63F7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广州市增城区海伦堡学校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1CDF4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C8656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643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5DE8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348C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F3A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0F81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A878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8736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2349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314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4291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6048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A34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F9360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28C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2C0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3452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广州市增城区新晖学校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E9B3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2E560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469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0250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95F8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AD9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879B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E30A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E5AC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3DAF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512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2443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8B2B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E0C9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80E39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DD7C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1E6E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DDB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9330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C8A72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409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3FE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A4F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99A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9A83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AD20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8E61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82A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0E4B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2377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A788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96A9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E442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3943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0096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9C75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广州市增城区天恩双语学校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CD66E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2E3F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1795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1674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3BD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B21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BC79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4C0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33D8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33A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FAA3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5808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D33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0E39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BE77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8F69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4A5B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1403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广州市增城区香江学校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FB6B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CE51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2846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FBB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3C5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0A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3AD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8BDC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87A1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CD8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EAEF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2443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2BC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F141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7A5CD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0537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A7C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3D7A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广州市增城区官湖学校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252E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50A8F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1955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72D4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01D1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37E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4CE3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3D6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E0E4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279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15D0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2670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EFEB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AA2B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B20D2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08EC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D0D0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E56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广州市增城区荔湖城外国语学校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82471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F8109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1026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996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98B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56B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F19C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DCF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49C1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7CA4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27A4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5B4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6A84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2ADB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9933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C32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6CC1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广州市增城区碧桂园学校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0AACE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54F39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1337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5D95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955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2C8D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EB1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EC78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46E0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64E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91C5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2353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4DD3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2DB1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A1CC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3AC6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8CF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49AE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广州市增城区横岭学校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FC327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F6727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578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A6F5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8C61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F73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293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2D62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F501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6BA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374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2283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7609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7492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D077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3A9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8D8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12AE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广州市增城区东园学校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9C7B2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C3FDF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615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54E7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925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BCF8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320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8CF9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045594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BB5C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2E38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2300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C386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29A0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C1B00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35E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AAB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CE18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广州市黄广附属学校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1B057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51B50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2422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AF7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6AB0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69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4A1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921"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674E8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866A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058793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C82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5151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C9E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F76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FDC1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331C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9025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CBEA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广州市增城区华大彦宏学校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E25A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C1DA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763B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01C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82C9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5C0F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9D6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61</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72CEF7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CBA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B1B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2942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B06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442F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2521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A98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EE2E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003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广州理工实验学校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AA31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0D1D5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2276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12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9CB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54BE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3A0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9D01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B0E3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6478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801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5128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0757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7C5F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E5F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EBAB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564F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C4E9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广州市增城区华商外语实验学校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52B1F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01C5E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CD4A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765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7984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F9A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FCA2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87F3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FE5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785C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3658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F6CF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D0E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56821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241A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489B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997A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广州市增城区雨露实验学校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7DA1D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E7A6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35EA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5CCE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A55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57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99C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3EEA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9739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DC86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8909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3776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5D4A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DA19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C886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70DD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A8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8AD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广州市斐特思学校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77E8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90F9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A346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9D40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C61C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B910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BC71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75BD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FEC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B86F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3843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B6DF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8AE3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665BA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056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0C0C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483F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广州市增城区东江外语实验学校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B891D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3C0ED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1068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556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681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F645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CAC4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7AFF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95FE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D3E2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B6B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3061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D7C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B1FE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0790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7F0E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4C16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9119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广州市增城区华南师范大学附属新塘学校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5D95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A1DE1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1390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A5FB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49B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7F6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393A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9B35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1911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CA5C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D00E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2098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50DA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4601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3D45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7A0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FFB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159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3F2F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广州市执信中学增城实验学校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E0ECF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7631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1889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880A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438B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82FB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905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80D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6B36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CF9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CAC9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3124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3886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C675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3555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3DF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8578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189C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广州市增城区暨实学校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E49DE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2656F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574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5F5F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2E7B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A0D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67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5CC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AA1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104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9274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CDB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4275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5BD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E547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3B23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736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E4EA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8F20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华南师范大学附属中学增城学校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F54CE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534B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982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C48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DA5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CC8D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B140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DB15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422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6808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8D74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2018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8CB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2F13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8ABC5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D00E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8626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26AC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广州市增城区华南师范大学附属增江学校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D2D9D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613E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E56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8B9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79B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499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7EA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EB95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FC27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BEA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2327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0F9D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7C4C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3239D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AC53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D95A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E158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广州市增城区永安学校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B9D89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0278D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451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B1E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6469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D2B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664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D28F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E5F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6301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EC1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2293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C16F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1E03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42E3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1659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331E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F55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广州市增城区雅达实验学校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3A422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258EB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338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76A5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FE9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7339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BBF5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8316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B6A8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2C7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2A15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4037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985D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50C2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1666C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8D47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DB7F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E4B5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广州市增城区广东外语外贸大学新塘实验学校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E7C37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68CF8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754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DEA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A84A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0F5D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0CF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D33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5B1A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6EA2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88FD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C546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47EB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A7EE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55A2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12C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0244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广州市增城区荔城街中心小学（滨江校区）</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D54F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62D0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1159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C1E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C1D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CC3C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EEE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17EA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2FED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C92E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85B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2209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EFD0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2AF8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7FD9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087B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E3B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567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广州市增城区新塘镇群星小学（新何分教点）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3EE5D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D72E6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555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C4E2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9BB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A29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D9FF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136C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F9BA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D0EC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103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2303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5F93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D7E1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FF15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CA3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895B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F524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广州市增城区石滩镇碧江小学（凰埔分教点）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EB342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3861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454A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79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1B09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6D5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BC0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49B7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6CFB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0D90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5025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8B82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9407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0947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2535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9FC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3AE6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广州市增城区石滩镇沙头小学（田塘分教点）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7468D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4769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1952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3CD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5169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00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D226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D1B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B78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DB62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9EAE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4427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C48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A24D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3DFC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7350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CBA2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16D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广州市增城区石滩镇沙头小学（溪头分教点）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FCEC2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D597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9672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8A0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8C2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500C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6DC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EDF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CF80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4159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3895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FDD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5CC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2667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4541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5FB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FD93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广州市增城区石滩镇桥头小学（岗尾分教点）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0C9A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44330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C75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1637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155E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6CD1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3E8B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E05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684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C0E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2962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A085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583C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26444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529E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7DB6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0EEC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广州市增城区石滩镇中心小学（塘头分教点）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5BA4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426D4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161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5264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0EC0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D76A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804" w:type="dxa"/>
            <w:tcBorders>
              <w:top w:val="nil"/>
              <w:left w:val="nil"/>
              <w:bottom w:val="nil"/>
              <w:right w:val="nil"/>
            </w:tcBorders>
            <w:shd w:val="clear" w:color="FFFFFF" w:themeColor="background1" w:fill="auto"/>
            <w:noWrap/>
            <w:vAlign w:val="center"/>
          </w:tcPr>
          <w:p w14:paraId="44C307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8392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ACF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AAE1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4327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3711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A83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B5E0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36B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147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2FE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EB72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广州市增城区石滩镇中心小学（郑田分教点）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336D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07D00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2331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FD3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5B32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1CA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2113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DEA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CA88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73F6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3036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9584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3C8B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251E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34F2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58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79C6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广州市增城区派潭镇中心小学（黄洞分教点）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B919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5BA01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2A0F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DD9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0AD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C2D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88</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3F629B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2FB6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D26E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D221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5028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2017E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7FCE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4EA69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F3B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1D6A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FAD0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广州市增城区新塘镇西洲小学（东洲分教点）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DBF0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40590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473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E85C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E6C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ACCA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29</w:t>
            </w:r>
          </w:p>
        </w:tc>
        <w:tc>
          <w:tcPr>
            <w:tcW w:w="804"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0616F6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49BB2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06</w:t>
            </w:r>
          </w:p>
        </w:tc>
        <w:tc>
          <w:tcPr>
            <w:tcW w:w="847"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6556EE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578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2DD57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2245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6F1A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37D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F7C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9DD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82B9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D036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广州市增城区宁西街九如小学（章陂分教点）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6BAD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67DFA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F28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520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3318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09F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0A4C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7B9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1DC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E97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2082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C878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728B9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732D2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F97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633493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177</w:t>
            </w:r>
          </w:p>
        </w:tc>
        <w:tc>
          <w:tcPr>
            <w:tcW w:w="2593" w:type="dxa"/>
            <w:tcBorders>
              <w:top w:val="single" w:color="000000" w:sz="8" w:space="0"/>
              <w:left w:val="single" w:color="000000" w:sz="8" w:space="0"/>
              <w:bottom w:val="single" w:color="auto" w:sz="4" w:space="0"/>
              <w:right w:val="single" w:color="000000" w:sz="8" w:space="0"/>
            </w:tcBorders>
            <w:shd w:val="clear" w:color="auto" w:fill="auto"/>
            <w:vAlign w:val="center"/>
          </w:tcPr>
          <w:p w14:paraId="06E885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广州市增城区增江街中心小学（初溪分教点）</w:t>
            </w:r>
          </w:p>
        </w:tc>
        <w:tc>
          <w:tcPr>
            <w:tcW w:w="633" w:type="dxa"/>
            <w:tcBorders>
              <w:top w:val="single" w:color="000000" w:sz="8" w:space="0"/>
              <w:left w:val="nil"/>
              <w:bottom w:val="single" w:color="auto" w:sz="4" w:space="0"/>
              <w:right w:val="single" w:color="000000" w:sz="8" w:space="0"/>
            </w:tcBorders>
            <w:shd w:val="clear" w:color="auto" w:fill="auto"/>
            <w:noWrap/>
            <w:vAlign w:val="center"/>
          </w:tcPr>
          <w:p w14:paraId="7B6BAE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auto" w:sz="4" w:space="0"/>
              <w:right w:val="single" w:color="000000" w:sz="8" w:space="0"/>
            </w:tcBorders>
            <w:shd w:val="clear" w:color="auto" w:fill="auto"/>
            <w:noWrap/>
            <w:vAlign w:val="center"/>
          </w:tcPr>
          <w:p w14:paraId="1733B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117</w:t>
            </w:r>
          </w:p>
        </w:tc>
        <w:tc>
          <w:tcPr>
            <w:tcW w:w="534"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473EBD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4DF346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06964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82</w:t>
            </w:r>
          </w:p>
        </w:tc>
        <w:tc>
          <w:tcPr>
            <w:tcW w:w="804" w:type="dxa"/>
            <w:tcBorders>
              <w:top w:val="nil"/>
              <w:left w:val="nil"/>
              <w:bottom w:val="single" w:color="auto" w:sz="4" w:space="0"/>
              <w:right w:val="nil"/>
            </w:tcBorders>
            <w:shd w:val="clear" w:color="FFFFFF" w:themeColor="background1" w:fill="auto"/>
            <w:noWrap/>
            <w:vAlign w:val="center"/>
          </w:tcPr>
          <w:p w14:paraId="5D095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6B89C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1EA73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939"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5F55AF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10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227BB9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2889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772"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437D5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735"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433063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auto" w:sz="4" w:space="0"/>
              <w:right w:val="single" w:color="000000" w:sz="8" w:space="0"/>
            </w:tcBorders>
            <w:shd w:val="clear" w:color="auto" w:fill="auto"/>
            <w:vAlign w:val="center"/>
          </w:tcPr>
          <w:p w14:paraId="2A01498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BE0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8F1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178</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28F3C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广州市增城区增江街第一小学（白湖分教点）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ED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6853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107</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A354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4006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843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21</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1CD27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AC7C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4FA02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26</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067B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92</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DC42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4783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BC72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48</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1EE5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69113A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E43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07A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179</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1B5EF5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广州市增城区仙村镇第二小学（十字滘分教点）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116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C17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177</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C5A8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061F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130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78</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69C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45D9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56C2B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65</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8C82A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91</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50A90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2454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88A3E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A8736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35D664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527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97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180</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436DCC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广州市增城区中新镇第二小学（九和分教点）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058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CEAE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279</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1A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16C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F2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38</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7E2A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A3448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25EB4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45</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2A22B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E8CC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4659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2666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47E57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059216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9600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EA3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181</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7FBBCB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广州市增城区中新镇第二小学（乌石分教点）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83B9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F9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175</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5EC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20FF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04A2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86</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3162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F0555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1FBFFD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51</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BAF5A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71</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2D908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2057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14</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CA544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43</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4089B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77C99EF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6F3A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220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182</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483033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广州市增城区中新镇福和希望小学（大安分教点）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C3A5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19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217</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5A6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9DC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138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99</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F83F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4974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38</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E3F85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5CAC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41262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2304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15</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02E6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9615E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18EFD62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80D7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9C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183</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54863E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广州市增城区中新镇福和希望小学（继枚分教点）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A9F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8885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148</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D84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AFA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F492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4FEEE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A2968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164238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84</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13877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50</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6B9C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2027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03</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3D9E1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F0B74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4602F2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4240C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CBB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184</w:t>
            </w:r>
          </w:p>
        </w:tc>
        <w:tc>
          <w:tcPr>
            <w:tcW w:w="2593" w:type="dxa"/>
            <w:tcBorders>
              <w:top w:val="single" w:color="auto" w:sz="4" w:space="0"/>
              <w:left w:val="single" w:color="auto" w:sz="4" w:space="0"/>
              <w:bottom w:val="single" w:color="auto" w:sz="4" w:space="0"/>
              <w:right w:val="single" w:color="auto" w:sz="4" w:space="0"/>
            </w:tcBorders>
            <w:shd w:val="clear" w:color="auto" w:fill="auto"/>
            <w:vAlign w:val="center"/>
          </w:tcPr>
          <w:p w14:paraId="20C689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广州市增城区宁西街九如小学（碧水分教点）</w:t>
            </w:r>
          </w:p>
        </w:tc>
        <w:tc>
          <w:tcPr>
            <w:tcW w:w="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1C8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495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251</w:t>
            </w:r>
          </w:p>
        </w:tc>
        <w:tc>
          <w:tcPr>
            <w:tcW w:w="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74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81B7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F10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77</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B5561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40319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59</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1C5CA6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19</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11960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57</w:t>
            </w:r>
          </w:p>
        </w:tc>
        <w:tc>
          <w:tcPr>
            <w:tcW w:w="10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41D4A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2009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772"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D315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79</w:t>
            </w:r>
          </w:p>
        </w:tc>
        <w:tc>
          <w:tcPr>
            <w:tcW w:w="735"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3F64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auto" w:sz="4" w:space="0"/>
              <w:left w:val="single" w:color="auto" w:sz="4" w:space="0"/>
              <w:bottom w:val="single" w:color="auto" w:sz="4" w:space="0"/>
              <w:right w:val="single" w:color="auto" w:sz="4" w:space="0"/>
            </w:tcBorders>
            <w:shd w:val="clear" w:color="auto" w:fill="auto"/>
            <w:vAlign w:val="center"/>
          </w:tcPr>
          <w:p w14:paraId="4E2534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52C8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179C9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185</w:t>
            </w:r>
          </w:p>
        </w:tc>
        <w:tc>
          <w:tcPr>
            <w:tcW w:w="2593" w:type="dxa"/>
            <w:tcBorders>
              <w:top w:val="single" w:color="auto" w:sz="4" w:space="0"/>
              <w:left w:val="single" w:color="000000" w:sz="8" w:space="0"/>
              <w:bottom w:val="single" w:color="000000" w:sz="8" w:space="0"/>
              <w:right w:val="single" w:color="000000" w:sz="8" w:space="0"/>
            </w:tcBorders>
            <w:shd w:val="clear" w:color="auto" w:fill="auto"/>
            <w:vAlign w:val="center"/>
          </w:tcPr>
          <w:p w14:paraId="5D3650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广州市增城区中新镇福和希望小学（田美分教点）</w:t>
            </w:r>
          </w:p>
        </w:tc>
        <w:tc>
          <w:tcPr>
            <w:tcW w:w="633" w:type="dxa"/>
            <w:tcBorders>
              <w:top w:val="single" w:color="auto" w:sz="4" w:space="0"/>
              <w:left w:val="nil"/>
              <w:bottom w:val="single" w:color="000000" w:sz="8" w:space="0"/>
              <w:right w:val="single" w:color="000000" w:sz="8" w:space="0"/>
            </w:tcBorders>
            <w:shd w:val="clear" w:color="auto" w:fill="auto"/>
            <w:noWrap/>
            <w:vAlign w:val="center"/>
          </w:tcPr>
          <w:p w14:paraId="556EC6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auto" w:sz="4" w:space="0"/>
              <w:left w:val="nil"/>
              <w:bottom w:val="single" w:color="000000" w:sz="8" w:space="0"/>
              <w:right w:val="single" w:color="000000" w:sz="8" w:space="0"/>
            </w:tcBorders>
            <w:shd w:val="clear" w:color="auto" w:fill="auto"/>
            <w:noWrap/>
            <w:vAlign w:val="center"/>
          </w:tcPr>
          <w:p w14:paraId="6F6FDC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213</w:t>
            </w:r>
          </w:p>
        </w:tc>
        <w:tc>
          <w:tcPr>
            <w:tcW w:w="534"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604CBF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6D508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2BCE1B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804"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23E9C5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29</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025B9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114C09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98</w:t>
            </w:r>
          </w:p>
        </w:tc>
        <w:tc>
          <w:tcPr>
            <w:tcW w:w="939"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3C918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96</w:t>
            </w:r>
          </w:p>
        </w:tc>
        <w:tc>
          <w:tcPr>
            <w:tcW w:w="10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16CF31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2075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12</w:t>
            </w:r>
          </w:p>
        </w:tc>
        <w:tc>
          <w:tcPr>
            <w:tcW w:w="772"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04713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82</w:t>
            </w:r>
          </w:p>
        </w:tc>
        <w:tc>
          <w:tcPr>
            <w:tcW w:w="735"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656EA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auto" w:sz="4" w:space="0"/>
              <w:left w:val="single" w:color="000000" w:sz="8" w:space="0"/>
              <w:bottom w:val="single" w:color="000000" w:sz="8" w:space="0"/>
              <w:right w:val="single" w:color="000000" w:sz="8" w:space="0"/>
            </w:tcBorders>
            <w:shd w:val="clear" w:color="auto" w:fill="auto"/>
            <w:vAlign w:val="center"/>
          </w:tcPr>
          <w:p w14:paraId="6F53C8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19E8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B183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9BB6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广州市增城区中新镇五联小学（安良分教点）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8B12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430FF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2D8A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B440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DD21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AEF0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FE9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AE04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9D622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11BC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5564</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080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87AE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DF41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3B9C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2894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08FE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广州市增城区新塘镇群星小学（白江分教点）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4609E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53120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403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0F07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4076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C3B8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70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EE0E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1D7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99</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9202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7990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484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2409</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47B4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F19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77D8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73D6E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072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188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2C26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广州市增城区中新镇中心小学（大田分教点）</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FAFA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C4FF5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245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19E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8E2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0FB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31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541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63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560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CA75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FF78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EF9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3187</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76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C94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D727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5D5A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r w14:paraId="0B38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4476" w:type="dxa"/>
            <w:gridSpan w:val="15"/>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5088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pPr>
          </w:p>
        </w:tc>
      </w:tr>
      <w:tr w14:paraId="38AA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7CDE7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7E9D9">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广州市增城区新塘镇天伦学校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558A9C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A0B1B2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434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DD479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AD8C0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412BA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4EB81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E3783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9BEFF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9B783B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7E41D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3036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5C74BA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4DC6B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CE5C935">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CA52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DD74E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B4081A">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广州市增城区合生育才学校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8CAAD0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1D679B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866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C118C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AFA2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93EBC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7BED0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AD7D87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0E83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7826B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12D22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2621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BBEC4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9F4CD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F5C0DE2">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926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E93A3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9A1F82">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广州市增城区挂绿实验学校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D26A7F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61737A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1324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33F7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A87DE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1BD7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25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7F99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D9E17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191C8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C9DE2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7CF626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2636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2BE79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F0A54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1696EE0">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FAC2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C1EEE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8B5CEB">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广州市增城区华侨中学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D663C5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8386DF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1353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AD7F6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5623A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80204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D64C41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68DED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7D44B3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F1670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357DC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2747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4DD27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C7009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3B72532">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10F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BE20B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545266">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广州市增城区荔城街第二中学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776C9C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C342C1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872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DB2CE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17679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46ACD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03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D51F3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022A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0AE79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A3766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A6B38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3674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95143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D508B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1BFC794B">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A6C7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A48A9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443D9">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广州市增城区新塘镇第三中学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21F43E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1CD88B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1644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FD95C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0F326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89805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D55ED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5561B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AAC49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286AD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21279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2944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57FE1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0413C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18894E4">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54E1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2F40F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215733">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广州市增城区荔城街第三中学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49E63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0AE565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1878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D616C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A77A1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55B5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03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83829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86270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35B96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09354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38ECB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4131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76228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DE7D2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BE3928B">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5F627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7C57E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BB60B0">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广州市增城区荔城街荔景中学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108A54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FAF230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1595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184A1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1C2EA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C85ED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27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78D66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D48CD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2ED63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E8FF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61B79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2620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60D0E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D4570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0ED9C21">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C9B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EF88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092C76">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广州市增城区英才学校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149781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046F18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576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B3941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27F17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BD7C4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950B0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74</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24D5442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6AA3228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8B839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E40CB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4068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B40D3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58C1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144F726">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7787F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7FC98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F7B39">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广州市增城区英华学校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A1ADAF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A57403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1054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2DBF4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18E46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CD5C5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16</w:t>
            </w:r>
          </w:p>
        </w:tc>
        <w:tc>
          <w:tcPr>
            <w:tcW w:w="804"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53F4AFD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52</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5F3B2E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2EDA93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14</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4F4F7E3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E6743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4277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177AB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ED14A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E3549B3">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138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3A792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B5158C">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广州市增城区奥体学校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0AD652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778A1C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149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17B08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25661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FECAC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CB6AF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5B93488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6D66B32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D05B8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8CC07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2521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5F801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AA35E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B46244E">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5B7C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B7A8E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49BC38">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广州市增城区新塘镇菊泉中学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F0C320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53BDF1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791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8837B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7AABE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72C14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45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99658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29A48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9FA5A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F4AA9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5273C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3149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C15A5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C8B9F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405E8CA">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19BF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D7B6D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5B90D5">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广州市增城区第二中学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68557E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097431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2304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B925A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979B6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FB0BB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29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12D30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157DB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022C2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F9AFB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34330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3038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6ECCF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C4610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EF3D88D">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7746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4C75D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3D0E09">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广大附中增城实验中学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08770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A2B6B0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2351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2987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8F3DC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8073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93</w:t>
            </w:r>
          </w:p>
        </w:tc>
        <w:tc>
          <w:tcPr>
            <w:tcW w:w="804"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3EB0DE2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10CECE9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94</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1F08829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0E20C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5EF6C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2676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7C599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14B0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46DD987">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5B38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049BB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54C9CF">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广州市增城区新塘镇第二中学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CF2DB0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173FE1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730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22C91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413CB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w:t>
            </w:r>
          </w:p>
        </w:tc>
        <w:tc>
          <w:tcPr>
            <w:tcW w:w="868" w:type="dxa"/>
            <w:tcBorders>
              <w:top w:val="single" w:color="000000" w:sz="8" w:space="0"/>
              <w:left w:val="single" w:color="000000" w:sz="8" w:space="0"/>
              <w:bottom w:val="single" w:color="000000" w:sz="8" w:space="0"/>
              <w:right w:val="single" w:color="auto" w:sz="4" w:space="0"/>
            </w:tcBorders>
            <w:shd w:val="clear" w:color="auto" w:fill="auto"/>
            <w:noWrap/>
            <w:vAlign w:val="center"/>
          </w:tcPr>
          <w:p w14:paraId="1664AB1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53</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6D9921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64</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02FB4A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37</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CF7CF9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939" w:type="dxa"/>
            <w:tcBorders>
              <w:top w:val="nil"/>
              <w:left w:val="single" w:color="auto" w:sz="4" w:space="0"/>
              <w:bottom w:val="nil"/>
              <w:right w:val="nil"/>
            </w:tcBorders>
            <w:shd w:val="clear" w:color="FFFFFF" w:themeColor="background1" w:fill="auto"/>
            <w:noWrap/>
            <w:vAlign w:val="center"/>
          </w:tcPr>
          <w:p w14:paraId="6EBB549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E699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5410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CAF642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7E76E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BAA60A7">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087C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0F00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78294">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广州市增城区新塘镇大敦中学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9B2BDC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39EC6A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443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75C07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5E3FF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050D5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90</w:t>
            </w:r>
          </w:p>
        </w:tc>
        <w:tc>
          <w:tcPr>
            <w:tcW w:w="804"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42EB95E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773E3A7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3081D5D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F4994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41</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D9DCE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2709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9995B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29C58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1B3322E8">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853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ED9C8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F18321">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广州市增城区永宁街永新中学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60407F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66ED32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1736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B76CB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FE332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8A2C4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26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6A6A9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3169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5CC4E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D72A7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983B2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2531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9D78FE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A7B38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02287217">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265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1FDC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E6B6B3">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广州市增城区五星学校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E3ACE3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64A783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271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4FB99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DDF40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6CB7B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163A6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E89EDB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58BE7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2482E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271AE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4094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638C0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7BE151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0891CA9">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893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FD8D3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C1534D">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AE5313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46D70E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515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F4BFD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AD785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DA81B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01664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C5EF6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96243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DAF4F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600AE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2874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20786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637AE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BC241C1">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0D4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22B54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34909F">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广州市增城区新雅新世界实验学校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21FD70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9958E7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129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FA77A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B5639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48EDC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E6D22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F269A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ABA51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C6B39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C7ED9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4466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F597C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0D592D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51A397C">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7FA9F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0E29F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8DAF2E">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广州市增城区凤凰城中英文学校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83F481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C6EA58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770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DB99D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C4126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BEA7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00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99686B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C721A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3AB0D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D5E95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D0AFF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2798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5ADA4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BD301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205B1BA">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9B83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9F24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C0B66F">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广州市增城区新蕾学校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A7B54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B8B588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266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6B34A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DCA2D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0A533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02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265C0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434D5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5DD8E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BE180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E71D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3336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8E0E6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8F549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6D92AF6">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7F15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7B6EF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A34198">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广州市增城区春晖学校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64F6CA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F3A95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281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6D404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21AC7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29F89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04CAD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13BA35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C345A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0B5EBE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FCCC5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3656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1C6AE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B109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227AB3A">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20C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31174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3A2CF5">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广州市增城区海伦堡学校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EB27F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D9890C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B93F9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07663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94BA7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E48305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33</w:t>
            </w:r>
          </w:p>
        </w:tc>
        <w:tc>
          <w:tcPr>
            <w:tcW w:w="921" w:type="dxa"/>
            <w:tcBorders>
              <w:top w:val="nil"/>
              <w:left w:val="nil"/>
              <w:bottom w:val="nil"/>
              <w:right w:val="nil"/>
            </w:tcBorders>
            <w:shd w:val="clear" w:color="FFFFFF" w:themeColor="background1" w:fill="auto"/>
            <w:noWrap/>
            <w:vAlign w:val="center"/>
          </w:tcPr>
          <w:p w14:paraId="5264D55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E7A5F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6567A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DA6C0D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4720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57AA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C4B1A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B4EF90E">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20AD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CFA58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BCFB42">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广州增城外国语实验中学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6F87C9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D45B15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2980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7E88F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DDCAE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6F16E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16863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87905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3FCBD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3D29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9768D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2932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3AC53A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11834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1C8BA43">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B22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59C86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964846">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广州市增城区石滩镇港侨中学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DBEB1D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58BEED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793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3AE98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75E98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396F3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57</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F3D18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FC544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E47700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FB02E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BB9D7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3609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2E82A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3326AA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E845631">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56BC4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7102B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518B91">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广州市增城区三江中学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F4CB6D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93EA7D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943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BB53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273C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A0E3A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21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64149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42A62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26E95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82A94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23B3E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2883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2D7B6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ABD94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5848C79">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4301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45329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D074C1">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广州市增城区中新镇福和中学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4505B8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45EBE4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1690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8EF3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E3A12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1E224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28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60920C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169F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D642B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9130E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9657A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5337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BADAA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EDF5E7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CB2F960">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7F2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12355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671054">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广州市增城区正果中学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06D637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B85D9F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1214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5291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A7034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A616E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33</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944DA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E5942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15</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67123A5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85F8A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7527A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2774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80AE5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B4A6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F6BD359">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3F7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8E1B2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8CE286">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广州市增城区派潭镇实验学校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BA8299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B0D932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1396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D0123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8C2E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9D84B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78871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58</w:t>
            </w:r>
          </w:p>
        </w:tc>
        <w:tc>
          <w:tcPr>
            <w:tcW w:w="921"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5166F5E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6B829E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06</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53DBD91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74635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2615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43</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9D614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5673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702C733">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FE7F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2BB3C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81C958">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广州市增城区小楼中学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AEB46E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AE3752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1084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9515D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92E0A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2C49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9354A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A02AFD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92</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6BB3EE3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F1AF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0DAA1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3188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222E4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CA29E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BF184C4">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5B985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60524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06B40">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广州市增城区朱村中学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6A9C78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457A1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1732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0DBE8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D7F01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7319E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1C7D7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B003E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21A8E66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628D6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09978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3285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4B435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4CA09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6C03395">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95A9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CACEE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BF015">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广州市增城区官湖学校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B2D5A3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DA0497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333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C4C50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6A782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D6872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6A185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333A2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20</w:t>
            </w:r>
          </w:p>
        </w:tc>
        <w:tc>
          <w:tcPr>
            <w:tcW w:w="847" w:type="dxa"/>
            <w:tcBorders>
              <w:top w:val="single" w:color="auto" w:sz="4" w:space="0"/>
              <w:left w:val="single" w:color="000000" w:sz="8" w:space="0"/>
              <w:bottom w:val="single" w:color="auto" w:sz="4" w:space="0"/>
              <w:right w:val="single" w:color="000000" w:sz="8" w:space="0"/>
            </w:tcBorders>
            <w:shd w:val="clear" w:color="FFFFFF" w:themeColor="background1" w:fill="auto"/>
            <w:noWrap/>
            <w:vAlign w:val="center"/>
          </w:tcPr>
          <w:p w14:paraId="2705FF4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39"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387D725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CAC0B3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2938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1EB88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B1272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3CB9BE1">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985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59BC4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78DC8E">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广州市增城区荔湖城外国语学校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D6ACDD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D68B73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934A3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0C52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0963B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41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CD9F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60</w:t>
            </w:r>
          </w:p>
        </w:tc>
        <w:tc>
          <w:tcPr>
            <w:tcW w:w="921"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662552A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07</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334085D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82</w:t>
            </w:r>
          </w:p>
        </w:tc>
        <w:tc>
          <w:tcPr>
            <w:tcW w:w="939"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254C777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1021"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46DF8E6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4192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99E19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B6F23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96604C6">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EAA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98F37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981036">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广州市增城区香江学校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869DBE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CBEEF8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370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40FA8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E39E0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CD813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385BD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5D158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847"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7451762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36</w:t>
            </w:r>
          </w:p>
        </w:tc>
        <w:tc>
          <w:tcPr>
            <w:tcW w:w="939"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0A46B87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0C7D5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2687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A1EFE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9F570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6318D84">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26CE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0A6A0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634C03">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广州市增城区碧桂园学校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26B6F5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30DD7E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432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D2BC6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9EAC2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3F3EE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1DF56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16</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14455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9EB71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46966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D2F049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2588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6680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D8591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3A9F45C">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B2F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DDC6A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CF35B9">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广州市增城区横岭学校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922513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BE75FA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191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5DBDD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744CE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D1122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E54759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0B69C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57</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1CC41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C9260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9DF53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F9511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ABE6E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EE05381">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76AA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68C1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49C01">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广州市增城区东园学校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6B01A6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ADA91C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215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0B8B3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13CFD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A9E0B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9356E1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BA5543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C2719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F9C38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17BC5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2530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02E4B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EC3EC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D8EB506">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EB39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C8729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BB55DF">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广州市黄广附属学校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BEBCAE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288098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940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3D4E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621EE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C6943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13FAC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0A390F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3C682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7DBF1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CA25F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5666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4C1338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79CE5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29C68ED">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BE1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B7F41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865483">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广州市增城区华大彦宏学校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7A90E6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103C67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547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2803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4B612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5AD34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68</w:t>
            </w:r>
          </w:p>
        </w:tc>
        <w:tc>
          <w:tcPr>
            <w:tcW w:w="804"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18621E4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769873A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847"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2F96C26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5ADBE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566CB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3236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73D5B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CDF63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1B34A8D6">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2E0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2B398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4E205">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广州理工实验学校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8607E6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059089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892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8801B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4A2FB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23</w:t>
            </w:r>
          </w:p>
        </w:tc>
        <w:tc>
          <w:tcPr>
            <w:tcW w:w="868" w:type="dxa"/>
            <w:tcBorders>
              <w:top w:val="single" w:color="000000" w:sz="8" w:space="0"/>
              <w:left w:val="single" w:color="000000" w:sz="8" w:space="0"/>
              <w:bottom w:val="single" w:color="000000" w:sz="8" w:space="0"/>
              <w:right w:val="single" w:color="auto" w:sz="4" w:space="0"/>
            </w:tcBorders>
            <w:shd w:val="clear" w:color="auto" w:fill="auto"/>
            <w:noWrap/>
            <w:vAlign w:val="center"/>
          </w:tcPr>
          <w:p w14:paraId="6D40A5A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74</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7EC5442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57</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6C987E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847"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0F954CE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19</w:t>
            </w:r>
          </w:p>
        </w:tc>
        <w:tc>
          <w:tcPr>
            <w:tcW w:w="939"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75A738C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86503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5641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990D7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E90AF2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51A7985">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4AF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2175B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883CD6">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广州市增城区应元学校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21867B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6448B2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1950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7556F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65F0A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2C34D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44</w:t>
            </w:r>
          </w:p>
        </w:tc>
        <w:tc>
          <w:tcPr>
            <w:tcW w:w="804"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11D744D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60E6ADC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97</w:t>
            </w:r>
          </w:p>
        </w:tc>
        <w:tc>
          <w:tcPr>
            <w:tcW w:w="847" w:type="dxa"/>
            <w:tcBorders>
              <w:top w:val="single" w:color="auto" w:sz="4" w:space="0"/>
              <w:left w:val="nil"/>
              <w:bottom w:val="single" w:color="000000" w:sz="8" w:space="0"/>
              <w:right w:val="nil"/>
            </w:tcBorders>
            <w:shd w:val="clear" w:color="FFFFFF" w:themeColor="background1" w:fill="auto"/>
            <w:noWrap/>
            <w:vAlign w:val="center"/>
          </w:tcPr>
          <w:p w14:paraId="7CACAF6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846E0E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F1675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2994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F0DFA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615C7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CE716BC">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BE15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FB3BA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99C9ED">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广州市增城区华商外语实验学校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0028760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B61689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538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CE3DE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607C7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BA743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85EED5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9E3F9D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847" w:type="dxa"/>
            <w:tcBorders>
              <w:top w:val="single" w:color="000000" w:sz="8" w:space="0"/>
              <w:left w:val="nil"/>
              <w:bottom w:val="single" w:color="000000" w:sz="8" w:space="0"/>
              <w:right w:val="nil"/>
            </w:tcBorders>
            <w:shd w:val="clear" w:color="FFFFFF" w:themeColor="background1" w:fill="auto"/>
            <w:noWrap/>
            <w:vAlign w:val="center"/>
          </w:tcPr>
          <w:p w14:paraId="5C5B52D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330787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67C0F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4024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BFB259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8578E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5C8BED9">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4092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1C005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A8E249">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广州市增城区水电二局学校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FFE5D9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8D6B07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247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9FB9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8ADFD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DDB44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AB9BC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00D69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4E148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BE7FC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F3211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3251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4FF4A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1F1506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0E263EEF">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C448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6DAD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EF4C74">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广州市增城区雨露实验学校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759DFA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D3EA62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683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1B226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22672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18</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41409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AB302F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2196C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A0E6A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73</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E3447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BF98B5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4153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6F266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3059D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6D4F1157">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0A4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676775">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985295">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广州市增城区新塘镇沙埔中学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7E8BFD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5F5AC0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1116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38CFD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5AD3C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DA103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5C16F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798DB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597F23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79CBF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91F93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4119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C33E6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ACBFE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BD46670">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5E0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6E91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DEB71E">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广州市斐特思学校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7952F2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79493AD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6269F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A62F4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5F274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23</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DBC59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6B614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C77B7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48507D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BD56F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4227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9725C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B33DE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25ACBD42">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AF4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CB697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13FA12">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广州市增城区东江外语实验学校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3918D1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3E9F78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861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9FF1F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90B92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22</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CD73F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06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0D6B7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8AB324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6ECB6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ACD9EB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28531D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3368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2FC47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11</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30FBAE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037655E0">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4920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71F49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252BB1">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广州市增城区华南师范大学附属新塘学校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A822232">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F7F65B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622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F1F097">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66012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E7A09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56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B4FD5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B9CB48">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C16CD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70241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AB4B76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2617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BE4381E">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B133BA1">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12C28B86">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D5A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A1195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AB07EC">
            <w:pPr>
              <w:keepNext w:val="0"/>
              <w:keepLines w:val="0"/>
              <w:pageBreakBefore w:val="0"/>
              <w:kinsoku/>
              <w:wordWrap/>
              <w:overflowPunct/>
              <w:topLinePunct w:val="0"/>
              <w:autoSpaceDE/>
              <w:autoSpaceDN/>
              <w:bidi w:val="0"/>
              <w:adjustRightInd/>
              <w:snapToGrid/>
              <w:spacing w:line="28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广州市执信中学增城实验学校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20C3D04">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1AF594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1756</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053860">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3F8ED6">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4899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40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A00A429">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57BD5C">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FB0DCFA">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5E0D48B">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5C8C4D">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3436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94D9D83">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887DDF">
            <w:pPr>
              <w:keepNext w:val="0"/>
              <w:keepLines w:val="0"/>
              <w:pageBreakBefore w:val="0"/>
              <w:kinsoku/>
              <w:wordWrap/>
              <w:overflowPunct/>
              <w:topLinePunct w:val="0"/>
              <w:autoSpaceDE/>
              <w:autoSpaceDN/>
              <w:bidi w:val="0"/>
              <w:adjustRightInd/>
              <w:snapToGrid/>
              <w:spacing w:line="28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A578DC2">
            <w:pPr>
              <w:keepNext w:val="0"/>
              <w:keepLines w:val="0"/>
              <w:pageBreakBefore w:val="0"/>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5F96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FB16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971E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广州市增城区广中实验中学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8659E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1549AB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584</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C4D6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22BC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5E53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36</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0472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EDA7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9228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645D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7B19D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3100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B986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F1D7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4A1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CFF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E49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E1CE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广州市增城区暨实学校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02163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0FBC7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955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261E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4FF3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23</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B9AE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616F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CFFE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32B1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11</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4073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E10D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4702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026F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797E3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152F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574E5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9C28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74B0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华南师范大学附属中学增城学校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2F724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B0A5A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1363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9E32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5C30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95D6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19693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48C78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6BC67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55</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C15B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09DA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2659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6F14B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64</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56D2D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773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2A86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11E6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color w:val="000000"/>
                <w:sz w:val="18"/>
                <w:szCs w:val="18"/>
              </w:rPr>
              <w:t>54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37EA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广州市增城区永安学校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23E02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1FA23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703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5008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4AF8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35BE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40</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ABC1A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14</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BF07A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00</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F5CE4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2FAD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9168A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2522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BC75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23</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EDD8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85F8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505E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7AF8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55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EC40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广州市增城区华南师范大学附属增江学校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AA1C9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19413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849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931D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2A2E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19</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3CC5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18</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2B9D6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41</w:t>
            </w:r>
          </w:p>
        </w:tc>
        <w:tc>
          <w:tcPr>
            <w:tcW w:w="921"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34EF20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CDBD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26</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B936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D075E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2559</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74BCB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731F0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17D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F8F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2471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56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FFA9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广州市增城区仙村中学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0DDB1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5BBD10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1919</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D6AD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75C6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41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2106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98</w:t>
            </w:r>
          </w:p>
        </w:tc>
        <w:tc>
          <w:tcPr>
            <w:tcW w:w="804" w:type="dxa"/>
            <w:tcBorders>
              <w:top w:val="single" w:color="000000" w:sz="8" w:space="0"/>
              <w:left w:val="single" w:color="000000" w:sz="8" w:space="0"/>
              <w:bottom w:val="single" w:color="000000" w:sz="8" w:space="0"/>
              <w:right w:val="single" w:color="auto" w:sz="4" w:space="0"/>
            </w:tcBorders>
            <w:shd w:val="clear" w:color="FFFFFF" w:themeColor="background1" w:fill="auto"/>
            <w:noWrap/>
            <w:vAlign w:val="center"/>
          </w:tcPr>
          <w:p w14:paraId="38C67B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921"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1AD6B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94</w:t>
            </w:r>
          </w:p>
        </w:tc>
        <w:tc>
          <w:tcPr>
            <w:tcW w:w="847"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2BEECF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E382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30A6A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3303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C8C5E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6D7CA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60E6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85%</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A36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3ABC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5</w:t>
            </w:r>
            <w:r>
              <w:rPr>
                <w:rFonts w:hint="eastAsia" w:ascii="Times New Roman" w:hAnsi="Times New Roman" w:eastAsiaTheme="minorEastAsia" w:cstheme="minorEastAsia"/>
                <w:b w:val="0"/>
                <w:bCs w:val="0"/>
                <w:color w:val="000000"/>
                <w:sz w:val="18"/>
                <w:szCs w:val="18"/>
                <w:lang w:val="en-US" w:eastAsia="zh-CN"/>
              </w:rPr>
              <w:t>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E03C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广州市增城区雅达实验学校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EDBF3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19339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0943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FD7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BBFF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14</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74</w:t>
            </w:r>
          </w:p>
        </w:tc>
        <w:tc>
          <w:tcPr>
            <w:tcW w:w="804" w:type="dxa"/>
            <w:tcBorders>
              <w:top w:val="single" w:color="000000" w:sz="8" w:space="0"/>
              <w:left w:val="single" w:color="000000" w:sz="8" w:space="0"/>
              <w:bottom w:val="single" w:color="auto" w:sz="4" w:space="0"/>
              <w:right w:val="single" w:color="000000" w:sz="8" w:space="0"/>
            </w:tcBorders>
            <w:shd w:val="clear" w:color="FFFFFF" w:themeColor="background1" w:fill="auto"/>
            <w:noWrap/>
            <w:vAlign w:val="center"/>
          </w:tcPr>
          <w:p w14:paraId="599AB6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921" w:type="dxa"/>
            <w:tcBorders>
              <w:top w:val="single" w:color="auto" w:sz="4" w:space="0"/>
              <w:left w:val="single" w:color="000000" w:sz="8" w:space="0"/>
              <w:bottom w:val="single" w:color="000000" w:sz="8" w:space="0"/>
              <w:right w:val="single" w:color="000000" w:sz="8" w:space="0"/>
            </w:tcBorders>
            <w:shd w:val="clear" w:color="FFFFFF" w:themeColor="background1" w:fill="auto"/>
            <w:noWrap/>
            <w:vAlign w:val="center"/>
          </w:tcPr>
          <w:p w14:paraId="3D3536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24820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C56A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59EDC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4441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75</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77E7A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ED75F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42FE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7C5F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26A5A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18"/>
                <w:szCs w:val="18"/>
                <w:lang w:val="en-US" w:eastAsia="zh-CN"/>
              </w:rPr>
            </w:pPr>
            <w:r>
              <w:rPr>
                <w:rFonts w:hint="eastAsia" w:ascii="Times New Roman" w:hAnsi="Times New Roman" w:eastAsiaTheme="minorEastAsia" w:cstheme="minorEastAsia"/>
                <w:b w:val="0"/>
                <w:bCs w:val="0"/>
                <w:color w:val="000000"/>
                <w:sz w:val="18"/>
                <w:szCs w:val="18"/>
                <w:lang w:val="en-US" w:eastAsia="zh-CN"/>
              </w:rPr>
              <w:t>58</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932BA0">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广州市增城区永宁中学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2C405F5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51FEA2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1452</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929D6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4D990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31</w:t>
            </w:r>
          </w:p>
        </w:tc>
        <w:tc>
          <w:tcPr>
            <w:tcW w:w="868" w:type="dxa"/>
            <w:tcBorders>
              <w:top w:val="single" w:color="000000" w:sz="8" w:space="0"/>
              <w:left w:val="single" w:color="000000" w:sz="8" w:space="0"/>
              <w:bottom w:val="single" w:color="000000" w:sz="8" w:space="0"/>
              <w:right w:val="single" w:color="auto" w:sz="4" w:space="0"/>
            </w:tcBorders>
            <w:shd w:val="clear" w:color="auto" w:fill="auto"/>
            <w:noWrap/>
            <w:vAlign w:val="center"/>
          </w:tcPr>
          <w:p w14:paraId="05BC476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96</w:t>
            </w:r>
          </w:p>
        </w:tc>
        <w:tc>
          <w:tcPr>
            <w:tcW w:w="804" w:type="dxa"/>
            <w:tcBorders>
              <w:top w:val="single" w:color="auto" w:sz="4" w:space="0"/>
              <w:left w:val="single" w:color="auto" w:sz="4" w:space="0"/>
              <w:bottom w:val="single" w:color="auto" w:sz="4" w:space="0"/>
              <w:right w:val="single" w:color="auto" w:sz="4" w:space="0"/>
            </w:tcBorders>
            <w:shd w:val="clear" w:color="FFFFFF" w:themeColor="background1" w:fill="auto"/>
            <w:noWrap/>
            <w:vAlign w:val="center"/>
          </w:tcPr>
          <w:p w14:paraId="68DB632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31</w:t>
            </w:r>
          </w:p>
        </w:tc>
        <w:tc>
          <w:tcPr>
            <w:tcW w:w="921" w:type="dxa"/>
            <w:tcBorders>
              <w:top w:val="single" w:color="000000" w:sz="8" w:space="0"/>
              <w:left w:val="single" w:color="auto" w:sz="4" w:space="0"/>
              <w:bottom w:val="single" w:color="000000" w:sz="8" w:space="0"/>
              <w:right w:val="single" w:color="000000" w:sz="8" w:space="0"/>
            </w:tcBorders>
            <w:shd w:val="clear" w:color="FFFFFF" w:themeColor="background1" w:fill="auto"/>
            <w:noWrap/>
            <w:vAlign w:val="center"/>
          </w:tcPr>
          <w:p w14:paraId="59A1787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96</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2AE17E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90</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BB9C4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00</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222DDA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2541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87</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0A56F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F3CBE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6BA1804">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A2A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56FE6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59</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E5C03B">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广州市增城区增城中学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8C7264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0B2F8B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1163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CADE7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23B4E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6DBB4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48</w:t>
            </w:r>
          </w:p>
        </w:tc>
        <w:tc>
          <w:tcPr>
            <w:tcW w:w="804" w:type="dxa"/>
            <w:tcBorders>
              <w:top w:val="single" w:color="auto" w:sz="4" w:space="0"/>
              <w:left w:val="nil"/>
              <w:bottom w:val="single" w:color="000000" w:sz="8" w:space="0"/>
              <w:right w:val="nil"/>
            </w:tcBorders>
            <w:shd w:val="clear" w:color="FFFFFF" w:themeColor="background1" w:fill="auto"/>
            <w:noWrap/>
            <w:vAlign w:val="center"/>
          </w:tcPr>
          <w:p w14:paraId="0ED6E6C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4A427B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95</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46B0F1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1AADB7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22</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D4A68F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2508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F335D3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80</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38E60F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9A8715C">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2C87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54A8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60</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57314">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广州市香江中学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532AE9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07AF877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767</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293C1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8A9B6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17</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D52BB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17</w:t>
            </w:r>
          </w:p>
        </w:tc>
        <w:tc>
          <w:tcPr>
            <w:tcW w:w="804" w:type="dxa"/>
            <w:tcBorders>
              <w:top w:val="single" w:color="000000" w:sz="8" w:space="0"/>
              <w:left w:val="nil"/>
              <w:bottom w:val="nil"/>
              <w:right w:val="nil"/>
            </w:tcBorders>
            <w:shd w:val="clear" w:color="FFFFFF" w:themeColor="background1" w:fill="auto"/>
            <w:noWrap/>
            <w:vAlign w:val="center"/>
          </w:tcPr>
          <w:p w14:paraId="295912A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22</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03DF6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8F52E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64</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28BBA0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14</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4F6F5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4732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76</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8E4813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45</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3610E7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584DF35D">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35FD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06635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61</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0E6D06">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广州市增城区新塘中学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14DAB2D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3E7B19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163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9481EE">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C1FFB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034D7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82</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9A1510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837B00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84</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E5146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17</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1B83B0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55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54B853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3324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02</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F6F5AC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68</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BF361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399D3814">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7EE2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E6D9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62</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A699BA">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广州市增城区第一中学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40EA0B8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0633C5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273</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C6E812">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9A68C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A81C5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96</w:t>
            </w:r>
          </w:p>
        </w:tc>
        <w:tc>
          <w:tcPr>
            <w:tcW w:w="804" w:type="dxa"/>
            <w:tcBorders>
              <w:top w:val="nil"/>
              <w:left w:val="nil"/>
              <w:bottom w:val="nil"/>
              <w:right w:val="nil"/>
            </w:tcBorders>
            <w:shd w:val="clear" w:color="FFFFFF" w:themeColor="background1" w:fill="auto"/>
            <w:noWrap/>
            <w:vAlign w:val="center"/>
          </w:tcPr>
          <w:p w14:paraId="6E9C580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10</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60556B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A79091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00EF69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0B43E8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2878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64</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1C7BFE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E1505D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2C0A2C7">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6819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68AB1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63</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CF135A">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广州市增城区广东外语外贸大学新塘实验学校</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4296C0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39DAF4B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218</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B76AE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20485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C7F16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34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AAF9E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38</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DC9472">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C40E2C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03F77C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8A62CF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5518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28</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99DC80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66</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F42178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0712F938">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00741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F81F5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64</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94BF5A">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广州市增城区增城中学（初中部）</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767C6C0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43AEE7E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1091</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0958D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E4658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24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40D4D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79</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1CDDF1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47</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ED5DF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01</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C32B24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92</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F1A898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27</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60F8D7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2508</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71</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15EF15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67</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51FB6D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A6D5C9A">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ABD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5EC6EE">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65</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5F7FAC">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bCs w:val="0"/>
                <w:color w:val="000000"/>
                <w:sz w:val="18"/>
                <w:szCs w:val="18"/>
              </w:rPr>
              <w:t>广州市增城区中新中学</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3716788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2D25DC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1505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22CB7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D432F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31</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82266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11</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D53C55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56A7D5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0</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C5FCE6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3</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68</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220A05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7</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13</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3BC07E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5696</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39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FCB065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imes New Roman" w:hAnsi="Times New Roman" w:eastAsiaTheme="minorEastAsia" w:cstheme="minorEastAsia"/>
                <w:b w:val="0"/>
                <w:bCs w:val="0"/>
                <w:color w:val="000000"/>
                <w:sz w:val="18"/>
                <w:szCs w:val="18"/>
                <w:shd w:val="clear" w:color="auto" w:fill="auto"/>
              </w:rPr>
              <w:t>4</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4602520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kern w:val="2"/>
                <w:sz w:val="18"/>
                <w:szCs w:val="18"/>
                <w:u w:val="none"/>
                <w:shd w:val="clear" w:color="auto" w:fill="auto"/>
                <w:lang w:val="en-US" w:eastAsia="zh-CN" w:bidi="ar-SA"/>
              </w:rPr>
            </w:pPr>
            <w:r>
              <w:rPr>
                <w:rFonts w:hint="eastAsia" w:asciiTheme="minorEastAsia" w:hAnsiTheme="minorEastAsia" w:eastAsiaTheme="minorEastAsia" w:cstheme="minorEastAsia"/>
                <w:b w:val="0"/>
                <w:bCs w:val="0"/>
                <w:color w:val="000000"/>
                <w:sz w:val="18"/>
                <w:szCs w:val="18"/>
                <w:shd w:val="clear" w:color="auto" w:fill="auto"/>
              </w:rPr>
              <w:t>否</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4E03D5DE">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kern w:val="2"/>
                <w:sz w:val="18"/>
                <w:szCs w:val="18"/>
                <w:u w:val="none"/>
                <w:lang w:val="en-US" w:eastAsia="zh-CN" w:bidi="ar-SA"/>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65AE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C65A5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66</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66C63">
            <w:pPr>
              <w:keepNext w:val="0"/>
              <w:keepLines w:val="0"/>
              <w:pageBreakBefore w:val="0"/>
              <w:kinsoku/>
              <w:wordWrap/>
              <w:overflowPunct/>
              <w:topLinePunct w:val="0"/>
              <w:autoSpaceDE/>
              <w:autoSpaceDN/>
              <w:bidi w:val="0"/>
              <w:adjustRightInd/>
              <w:snapToGrid/>
              <w:spacing w:line="260" w:lineRule="exact"/>
              <w:jc w:val="both"/>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color w:val="000000"/>
                <w:sz w:val="18"/>
                <w:szCs w:val="18"/>
              </w:rPr>
              <w:t>广州市增城区派潭镇实验学校（西校区）</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6338CAC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2195EB6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685</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EF1D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35ACA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14</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090C8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15</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9ED840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9C0006"/>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19</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CD8BC8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92</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3497C28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5</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89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0F1540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19</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64B137DE">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12052</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99</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FA58DA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imes New Roman" w:hAnsi="Times New Roman" w:eastAsiaTheme="minorEastAsia" w:cstheme="minorEastAsia"/>
                <w:b w:val="0"/>
                <w:bCs w:val="0"/>
                <w:color w:val="000000"/>
                <w:sz w:val="18"/>
                <w:szCs w:val="18"/>
                <w:shd w:val="clear" w:color="auto" w:fill="auto"/>
              </w:rPr>
              <w:t>11</w:t>
            </w:r>
            <w:r>
              <w:rPr>
                <w:rFonts w:hint="eastAsia" w:asciiTheme="minorEastAsia" w:hAnsiTheme="minorEastAsia" w:eastAsiaTheme="minorEastAsia" w:cstheme="minorEastAsia"/>
                <w:b w:val="0"/>
                <w:bCs w:val="0"/>
                <w:color w:val="000000"/>
                <w:sz w:val="18"/>
                <w:szCs w:val="18"/>
                <w:shd w:val="clear" w:color="auto" w:fill="auto"/>
              </w:rPr>
              <w:t>.</w:t>
            </w:r>
            <w:r>
              <w:rPr>
                <w:rFonts w:hint="eastAsia" w:ascii="Times New Roman" w:hAnsi="Times New Roman" w:eastAsiaTheme="minorEastAsia" w:cstheme="minorEastAsia"/>
                <w:b w:val="0"/>
                <w:bCs w:val="0"/>
                <w:color w:val="000000"/>
                <w:sz w:val="18"/>
                <w:szCs w:val="18"/>
                <w:shd w:val="clear" w:color="auto" w:fill="auto"/>
              </w:rPr>
              <w:t>09</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94593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18"/>
                <w:szCs w:val="18"/>
                <w:u w:val="none"/>
                <w:shd w:val="clear" w:color="auto" w:fill="auto"/>
              </w:rPr>
            </w:pPr>
            <w:r>
              <w:rPr>
                <w:rFonts w:hint="eastAsia" w:asciiTheme="minorEastAsia" w:hAnsiTheme="minorEastAsia" w:eastAsiaTheme="minorEastAsia" w:cstheme="minorEastAsia"/>
                <w:b w:val="0"/>
                <w:bCs w:val="0"/>
                <w:color w:val="000000"/>
                <w:sz w:val="18"/>
                <w:szCs w:val="18"/>
                <w:shd w:val="clear" w:color="auto" w:fill="auto"/>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top"/>
          </w:tcPr>
          <w:p w14:paraId="7E2612E4">
            <w:pPr>
              <w:keepNext w:val="0"/>
              <w:keepLines w:val="0"/>
              <w:pageBreakBefore w:val="0"/>
              <w:kinsoku/>
              <w:wordWrap/>
              <w:overflowPunct/>
              <w:topLinePunct w:val="0"/>
              <w:autoSpaceDE/>
              <w:autoSpaceDN/>
              <w:bidi w:val="0"/>
              <w:adjustRightInd/>
              <w:snapToGrid/>
              <w:spacing w:line="260" w:lineRule="exact"/>
              <w:jc w:val="left"/>
              <w:rPr>
                <w:rFonts w:hint="eastAsia" w:asciiTheme="minorEastAsia" w:hAnsiTheme="minorEastAsia" w:eastAsiaTheme="minorEastAsia" w:cstheme="minorEastAsia"/>
                <w:b w:val="0"/>
                <w:bCs w:val="0"/>
                <w:i w:val="0"/>
                <w:iCs w:val="0"/>
                <w:color w:val="000000"/>
                <w:sz w:val="18"/>
                <w:szCs w:val="18"/>
                <w:u w:val="none"/>
              </w:rPr>
            </w:pPr>
            <w:r>
              <w:rPr>
                <w:rFonts w:hint="eastAsia" w:ascii="Times New Roman" w:hAnsi="Times New Roman" w:eastAsiaTheme="minorEastAsia" w:cstheme="minorEastAsia"/>
                <w:b w:val="0"/>
                <w:bCs w:val="0"/>
                <w:color w:val="000000"/>
                <w:sz w:val="18"/>
                <w:szCs w:val="18"/>
              </w:rPr>
              <w:t>L7</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L8</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L9</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L10</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L11</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L12</w:t>
            </w:r>
            <w:r>
              <w:rPr>
                <w:rFonts w:hint="eastAsia" w:asciiTheme="minorEastAsia" w:hAnsiTheme="minorEastAsia" w:eastAsiaTheme="minorEastAsia" w:cstheme="minorEastAsia"/>
                <w:b w:val="0"/>
                <w:bCs w:val="0"/>
                <w:color w:val="000000"/>
                <w:sz w:val="18"/>
                <w:szCs w:val="18"/>
              </w:rPr>
              <w:t>、</w:t>
            </w:r>
            <w:r>
              <w:rPr>
                <w:rFonts w:hint="eastAsia" w:ascii="Times New Roman" w:hAnsi="Times New Roman" w:eastAsiaTheme="minorEastAsia" w:cstheme="minorEastAsia"/>
                <w:b w:val="0"/>
                <w:bCs w:val="0"/>
                <w:color w:val="000000"/>
                <w:sz w:val="18"/>
                <w:szCs w:val="18"/>
              </w:rPr>
              <w:t>L13</w:t>
            </w:r>
          </w:p>
        </w:tc>
      </w:tr>
      <w:tr w14:paraId="1F693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E97F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67</w:t>
            </w:r>
          </w:p>
        </w:tc>
        <w:tc>
          <w:tcPr>
            <w:tcW w:w="25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6870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Theme="minorEastAsia" w:hAnsiTheme="minorEastAsia" w:eastAsiaTheme="minorEastAsia" w:cstheme="minorEastAsia"/>
                <w:b w:val="0"/>
                <w:bCs w:val="0"/>
                <w:color w:val="000000"/>
                <w:sz w:val="18"/>
                <w:szCs w:val="18"/>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广州市增城区三江中学（北校区）</w:t>
            </w:r>
          </w:p>
        </w:tc>
        <w:tc>
          <w:tcPr>
            <w:tcW w:w="633" w:type="dxa"/>
            <w:tcBorders>
              <w:top w:val="single" w:color="000000" w:sz="8" w:space="0"/>
              <w:left w:val="nil"/>
              <w:bottom w:val="single" w:color="000000" w:sz="8" w:space="0"/>
              <w:right w:val="single" w:color="000000" w:sz="8" w:space="0"/>
            </w:tcBorders>
            <w:shd w:val="clear" w:color="auto" w:fill="auto"/>
            <w:noWrap/>
            <w:vAlign w:val="center"/>
          </w:tcPr>
          <w:p w14:paraId="57BEE8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p>
        </w:tc>
        <w:tc>
          <w:tcPr>
            <w:tcW w:w="673" w:type="dxa"/>
            <w:tcBorders>
              <w:top w:val="single" w:color="000000" w:sz="8" w:space="0"/>
              <w:left w:val="nil"/>
              <w:bottom w:val="single" w:color="000000" w:sz="8" w:space="0"/>
              <w:right w:val="single" w:color="000000" w:sz="8" w:space="0"/>
            </w:tcBorders>
            <w:shd w:val="clear" w:color="auto" w:fill="auto"/>
            <w:noWrap/>
            <w:vAlign w:val="center"/>
          </w:tcPr>
          <w:p w14:paraId="60D95C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430</w:t>
            </w:r>
          </w:p>
        </w:tc>
        <w:tc>
          <w:tcPr>
            <w:tcW w:w="53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BA3B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w:t>
            </w:r>
          </w:p>
        </w:tc>
        <w:tc>
          <w:tcPr>
            <w:tcW w:w="5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8774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10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9B05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44</w:t>
            </w:r>
          </w:p>
        </w:tc>
        <w:tc>
          <w:tcPr>
            <w:tcW w:w="804"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82535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33</w:t>
            </w:r>
          </w:p>
        </w:tc>
        <w:tc>
          <w:tcPr>
            <w:tcW w:w="9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0DF1F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93</w:t>
            </w:r>
          </w:p>
        </w:tc>
        <w:tc>
          <w:tcPr>
            <w:tcW w:w="847"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76428C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5</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89</w:t>
            </w:r>
          </w:p>
        </w:tc>
        <w:tc>
          <w:tcPr>
            <w:tcW w:w="939"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1D314C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13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05</w:t>
            </w:r>
          </w:p>
        </w:tc>
        <w:tc>
          <w:tcPr>
            <w:tcW w:w="1021"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5427AD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2710</w:t>
            </w:r>
          </w:p>
        </w:tc>
        <w:tc>
          <w:tcPr>
            <w:tcW w:w="77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2C4D0F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3</w:t>
            </w: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shd w:val="clear" w:color="auto" w:fill="auto"/>
                <w:lang w:val="en-US" w:eastAsia="zh-CN" w:bidi="ar"/>
              </w:rPr>
              <w:t>02</w:t>
            </w:r>
          </w:p>
        </w:tc>
        <w:tc>
          <w:tcPr>
            <w:tcW w:w="735" w:type="dxa"/>
            <w:tcBorders>
              <w:top w:val="single" w:color="000000" w:sz="8" w:space="0"/>
              <w:left w:val="single" w:color="000000" w:sz="8" w:space="0"/>
              <w:bottom w:val="single" w:color="000000" w:sz="8" w:space="0"/>
              <w:right w:val="single" w:color="000000" w:sz="8" w:space="0"/>
            </w:tcBorders>
            <w:shd w:val="clear" w:color="FFFFFF" w:themeColor="background1" w:fill="auto"/>
            <w:noWrap/>
            <w:vAlign w:val="center"/>
          </w:tcPr>
          <w:p w14:paraId="0EA66C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18"/>
                <w:szCs w:val="18"/>
                <w:shd w:val="clear" w:color="auto" w:fill="auto"/>
              </w:rPr>
            </w:pPr>
            <w:r>
              <w:rPr>
                <w:rFonts w:hint="eastAsia" w:asciiTheme="minorEastAsia" w:hAnsiTheme="minorEastAsia" w:eastAsiaTheme="minorEastAsia" w:cstheme="minorEastAsia"/>
                <w:b w:val="0"/>
                <w:bCs w:val="0"/>
                <w:i w:val="0"/>
                <w:iCs w:val="0"/>
                <w:color w:val="000000"/>
                <w:kern w:val="0"/>
                <w:sz w:val="18"/>
                <w:szCs w:val="18"/>
                <w:u w:val="none"/>
                <w:shd w:val="clear" w:color="auto" w:fill="auto"/>
                <w:lang w:val="en-US" w:eastAsia="zh-CN" w:bidi="ar"/>
              </w:rPr>
              <w:t>是</w:t>
            </w:r>
          </w:p>
        </w:tc>
        <w:tc>
          <w:tcPr>
            <w:tcW w:w="20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DE7F3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Theme="minorEastAsia" w:hAnsiTheme="minorEastAsia" w:eastAsiaTheme="minorEastAsia" w:cstheme="minorEastAsia"/>
                <w:b w:val="0"/>
                <w:bCs w:val="0"/>
                <w:color w:val="000000"/>
                <w:sz w:val="18"/>
                <w:szCs w:val="18"/>
              </w:rPr>
            </w:pPr>
            <w:r>
              <w:rPr>
                <w:rFonts w:hint="eastAsia" w:ascii="Times New Roman" w:hAnsi="Times New Roman" w:eastAsiaTheme="minorEastAsia" w:cstheme="minorEastAsia"/>
                <w:b w:val="0"/>
                <w:bCs w:val="0"/>
                <w:i w:val="0"/>
                <w:iCs w:val="0"/>
                <w:color w:val="000000"/>
                <w:kern w:val="0"/>
                <w:sz w:val="18"/>
                <w:szCs w:val="18"/>
                <w:u w:val="none"/>
                <w:lang w:val="en-US" w:eastAsia="zh-CN" w:bidi="ar"/>
              </w:rPr>
              <w:t>L7</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L8</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L9</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L10</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L11</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L12</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r>
              <w:rPr>
                <w:rFonts w:hint="eastAsia" w:ascii="Times New Roman" w:hAnsi="Times New Roman" w:eastAsiaTheme="minorEastAsia" w:cstheme="minorEastAsia"/>
                <w:b w:val="0"/>
                <w:bCs w:val="0"/>
                <w:i w:val="0"/>
                <w:iCs w:val="0"/>
                <w:color w:val="000000"/>
                <w:kern w:val="0"/>
                <w:sz w:val="18"/>
                <w:szCs w:val="18"/>
                <w:u w:val="none"/>
                <w:lang w:val="en-US" w:eastAsia="zh-CN" w:bidi="ar"/>
              </w:rPr>
              <w:t>L13</w:t>
            </w:r>
          </w:p>
        </w:tc>
      </w:tr>
    </w:tbl>
    <w:p w14:paraId="158CFB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注：</w:t>
      </w:r>
      <w:r>
        <w:rPr>
          <w:rFonts w:hint="eastAsia" w:ascii="Times New Roman" w:hAnsi="Times New Roman" w:eastAsia="仿宋_GB2312" w:cs="仿宋_GB2312"/>
          <w:kern w:val="0"/>
          <w:sz w:val="18"/>
          <w:szCs w:val="18"/>
        </w:rPr>
        <w:t>1</w:t>
      </w:r>
      <w:r>
        <w:rPr>
          <w:rFonts w:hint="eastAsia" w:ascii="仿宋_GB2312" w:hAnsi="仿宋_GB2312" w:eastAsia="仿宋_GB2312" w:cs="仿宋_GB2312"/>
          <w:kern w:val="0"/>
          <w:sz w:val="18"/>
          <w:szCs w:val="18"/>
        </w:rPr>
        <w:t>.小学学校总数</w:t>
      </w:r>
      <w:r>
        <w:rPr>
          <w:rFonts w:hint="eastAsia" w:ascii="Times New Roman" w:hAnsi="Times New Roman" w:eastAsia="仿宋_GB2312" w:cs="仿宋_GB2312"/>
          <w:kern w:val="0"/>
          <w:sz w:val="18"/>
          <w:szCs w:val="18"/>
          <w:u w:val="single"/>
        </w:rPr>
        <w:t>188</w:t>
      </w:r>
      <w:r>
        <w:rPr>
          <w:rFonts w:hint="eastAsia" w:ascii="仿宋_GB2312" w:hAnsi="仿宋_GB2312" w:eastAsia="仿宋_GB2312" w:cs="仿宋_GB2312"/>
          <w:kern w:val="0"/>
          <w:sz w:val="18"/>
          <w:szCs w:val="18"/>
        </w:rPr>
        <w:t>所（其中：一贯制学校的小学部有</w:t>
      </w:r>
      <w:r>
        <w:rPr>
          <w:rFonts w:hint="eastAsia" w:ascii="Times New Roman" w:hAnsi="Times New Roman" w:eastAsia="仿宋_GB2312" w:cs="仿宋_GB2312"/>
          <w:kern w:val="0"/>
          <w:sz w:val="18"/>
          <w:szCs w:val="18"/>
          <w:u w:val="single"/>
        </w:rPr>
        <w:t>36</w:t>
      </w:r>
      <w:r>
        <w:rPr>
          <w:rFonts w:hint="eastAsia" w:ascii="仿宋_GB2312" w:hAnsi="仿宋_GB2312" w:eastAsia="仿宋_GB2312" w:cs="仿宋_GB2312"/>
          <w:kern w:val="0"/>
          <w:sz w:val="18"/>
          <w:szCs w:val="18"/>
        </w:rPr>
        <w:t>所，</w:t>
      </w:r>
      <w:r>
        <w:rPr>
          <w:rFonts w:hint="eastAsia" w:ascii="Times New Roman" w:hAnsi="Times New Roman" w:eastAsia="仿宋_GB2312" w:cs="仿宋_GB2312"/>
          <w:kern w:val="0"/>
          <w:sz w:val="18"/>
          <w:szCs w:val="18"/>
        </w:rPr>
        <w:t>50</w:t>
      </w:r>
      <w:r>
        <w:rPr>
          <w:rFonts w:hint="eastAsia" w:ascii="仿宋_GB2312" w:hAnsi="仿宋_GB2312" w:eastAsia="仿宋_GB2312" w:cs="仿宋_GB2312"/>
          <w:kern w:val="0"/>
          <w:sz w:val="18"/>
          <w:szCs w:val="18"/>
        </w:rPr>
        <w:t>人及以上教学点有</w:t>
      </w:r>
      <w:r>
        <w:rPr>
          <w:rFonts w:hint="eastAsia" w:ascii="Times New Roman" w:hAnsi="Times New Roman" w:eastAsia="仿宋_GB2312" w:cs="仿宋_GB2312"/>
          <w:kern w:val="0"/>
          <w:sz w:val="18"/>
          <w:szCs w:val="18"/>
          <w:u w:val="single"/>
        </w:rPr>
        <w:t>5</w:t>
      </w:r>
      <w:r>
        <w:rPr>
          <w:rFonts w:hint="eastAsia" w:ascii="仿宋_GB2312" w:hAnsi="仿宋_GB2312" w:eastAsia="仿宋_GB2312" w:cs="仿宋_GB2312"/>
          <w:kern w:val="0"/>
          <w:sz w:val="18"/>
          <w:szCs w:val="18"/>
        </w:rPr>
        <w:t>个），初中学校总数</w:t>
      </w:r>
      <w:r>
        <w:rPr>
          <w:rFonts w:hint="eastAsia" w:ascii="Times New Roman" w:hAnsi="Times New Roman" w:eastAsia="仿宋_GB2312" w:cs="仿宋_GB2312"/>
          <w:kern w:val="0"/>
          <w:sz w:val="18"/>
          <w:szCs w:val="18"/>
          <w:u w:val="single"/>
        </w:rPr>
        <w:t>67</w:t>
      </w:r>
      <w:r>
        <w:rPr>
          <w:rFonts w:hint="eastAsia" w:ascii="仿宋_GB2312" w:hAnsi="仿宋_GB2312" w:eastAsia="仿宋_GB2312" w:cs="仿宋_GB2312"/>
          <w:kern w:val="0"/>
          <w:sz w:val="18"/>
          <w:szCs w:val="18"/>
        </w:rPr>
        <w:t>所（其中：一贯制学校的初中部</w:t>
      </w:r>
      <w:r>
        <w:rPr>
          <w:rFonts w:hint="eastAsia" w:ascii="Times New Roman" w:hAnsi="Times New Roman" w:eastAsia="仿宋_GB2312" w:cs="仿宋_GB2312"/>
          <w:kern w:val="0"/>
          <w:sz w:val="18"/>
          <w:szCs w:val="18"/>
          <w:u w:val="single"/>
        </w:rPr>
        <w:t>36</w:t>
      </w:r>
      <w:r>
        <w:rPr>
          <w:rFonts w:hint="eastAsia" w:ascii="仿宋_GB2312" w:hAnsi="仿宋_GB2312" w:eastAsia="仿宋_GB2312" w:cs="仿宋_GB2312"/>
          <w:kern w:val="0"/>
          <w:sz w:val="18"/>
          <w:szCs w:val="18"/>
        </w:rPr>
        <w:t>所，完全中学的初中部</w:t>
      </w:r>
      <w:r>
        <w:rPr>
          <w:rFonts w:hint="eastAsia" w:ascii="Times New Roman" w:hAnsi="Times New Roman" w:eastAsia="仿宋_GB2312" w:cs="仿宋_GB2312"/>
          <w:kern w:val="0"/>
          <w:sz w:val="18"/>
          <w:szCs w:val="18"/>
          <w:u w:val="single"/>
        </w:rPr>
        <w:t>8</w:t>
      </w:r>
      <w:r>
        <w:rPr>
          <w:rFonts w:hint="eastAsia" w:ascii="仿宋_GB2312" w:hAnsi="仿宋_GB2312" w:eastAsia="仿宋_GB2312" w:cs="仿宋_GB2312"/>
          <w:kern w:val="0"/>
          <w:sz w:val="18"/>
          <w:szCs w:val="18"/>
        </w:rPr>
        <w:t>所）。</w:t>
      </w:r>
    </w:p>
    <w:p w14:paraId="0CAC9214">
      <w:pPr>
        <w:keepNext w:val="0"/>
        <w:keepLines w:val="0"/>
        <w:pageBreakBefore w:val="0"/>
        <w:widowControl/>
        <w:kinsoku/>
        <w:wordWrap/>
        <w:overflowPunct/>
        <w:topLinePunct w:val="0"/>
        <w:autoSpaceDE/>
        <w:autoSpaceDN/>
        <w:bidi w:val="0"/>
        <w:adjustRightInd/>
        <w:snapToGrid/>
        <w:spacing w:line="280" w:lineRule="exact"/>
        <w:ind w:left="0" w:leftChars="0" w:firstLine="338" w:firstLineChars="188"/>
        <w:jc w:val="left"/>
        <w:textAlignment w:val="auto"/>
        <w:rPr>
          <w:rFonts w:hint="eastAsia" w:ascii="仿宋_GB2312" w:hAnsi="仿宋_GB2312" w:eastAsia="仿宋_GB2312" w:cs="仿宋_GB2312"/>
          <w:kern w:val="0"/>
          <w:sz w:val="18"/>
          <w:szCs w:val="18"/>
        </w:rPr>
      </w:pPr>
      <w:r>
        <w:rPr>
          <w:rFonts w:hint="eastAsia" w:ascii="Times New Roman" w:hAnsi="Times New Roman" w:eastAsia="仿宋_GB2312" w:cs="仿宋_GB2312"/>
          <w:kern w:val="0"/>
          <w:sz w:val="18"/>
          <w:szCs w:val="18"/>
        </w:rPr>
        <w:t>2</w:t>
      </w:r>
      <w:r>
        <w:rPr>
          <w:rFonts w:hint="eastAsia" w:ascii="仿宋_GB2312" w:hAnsi="仿宋_GB2312" w:eastAsia="仿宋_GB2312" w:cs="仿宋_GB2312"/>
          <w:kern w:val="0"/>
          <w:sz w:val="18"/>
          <w:szCs w:val="18"/>
        </w:rPr>
        <w:t>.举办者类型处填写代码：中央教育部门代码为</w:t>
      </w:r>
      <w:r>
        <w:rPr>
          <w:rFonts w:hint="eastAsia" w:ascii="Times New Roman" w:hAnsi="Times New Roman" w:eastAsia="仿宋_GB2312" w:cs="仿宋_GB2312"/>
          <w:kern w:val="0"/>
          <w:sz w:val="18"/>
          <w:szCs w:val="18"/>
        </w:rPr>
        <w:t>1</w:t>
      </w:r>
      <w:r>
        <w:rPr>
          <w:rFonts w:hint="eastAsia" w:ascii="仿宋_GB2312" w:hAnsi="仿宋_GB2312" w:eastAsia="仿宋_GB2312" w:cs="仿宋_GB2312"/>
          <w:kern w:val="0"/>
          <w:sz w:val="18"/>
          <w:szCs w:val="18"/>
        </w:rPr>
        <w:t>、中央其他部门为</w:t>
      </w:r>
      <w:r>
        <w:rPr>
          <w:rFonts w:hint="eastAsia" w:ascii="Times New Roman" w:hAnsi="Times New Roman" w:eastAsia="仿宋_GB2312" w:cs="仿宋_GB2312"/>
          <w:kern w:val="0"/>
          <w:sz w:val="18"/>
          <w:szCs w:val="18"/>
        </w:rPr>
        <w:t>2</w:t>
      </w:r>
      <w:r>
        <w:rPr>
          <w:rFonts w:hint="eastAsia" w:ascii="仿宋_GB2312" w:hAnsi="仿宋_GB2312" w:eastAsia="仿宋_GB2312" w:cs="仿宋_GB2312"/>
          <w:kern w:val="0"/>
          <w:sz w:val="18"/>
          <w:szCs w:val="18"/>
        </w:rPr>
        <w:t>、省级教育部门为</w:t>
      </w:r>
      <w:r>
        <w:rPr>
          <w:rFonts w:hint="eastAsia" w:ascii="Times New Roman" w:hAnsi="Times New Roman" w:eastAsia="仿宋_GB2312" w:cs="仿宋_GB2312"/>
          <w:kern w:val="0"/>
          <w:sz w:val="18"/>
          <w:szCs w:val="18"/>
        </w:rPr>
        <w:t>3</w:t>
      </w:r>
      <w:r>
        <w:rPr>
          <w:rFonts w:hint="eastAsia" w:ascii="仿宋_GB2312" w:hAnsi="仿宋_GB2312" w:eastAsia="仿宋_GB2312" w:cs="仿宋_GB2312"/>
          <w:kern w:val="0"/>
          <w:sz w:val="18"/>
          <w:szCs w:val="18"/>
        </w:rPr>
        <w:t>、省级其他部门为</w:t>
      </w:r>
      <w:r>
        <w:rPr>
          <w:rFonts w:hint="eastAsia" w:ascii="Times New Roman" w:hAnsi="Times New Roman" w:eastAsia="仿宋_GB2312" w:cs="仿宋_GB2312"/>
          <w:kern w:val="0"/>
          <w:sz w:val="18"/>
          <w:szCs w:val="18"/>
        </w:rPr>
        <w:t>4</w:t>
      </w:r>
      <w:r>
        <w:rPr>
          <w:rFonts w:hint="eastAsia" w:ascii="仿宋_GB2312" w:hAnsi="仿宋_GB2312" w:eastAsia="仿宋_GB2312" w:cs="仿宋_GB2312"/>
          <w:kern w:val="0"/>
          <w:sz w:val="18"/>
          <w:szCs w:val="18"/>
        </w:rPr>
        <w:t>、地级教育部门为</w:t>
      </w:r>
      <w:r>
        <w:rPr>
          <w:rFonts w:hint="eastAsia" w:ascii="Times New Roman" w:hAnsi="Times New Roman" w:eastAsia="仿宋_GB2312" w:cs="仿宋_GB2312"/>
          <w:kern w:val="0"/>
          <w:sz w:val="18"/>
          <w:szCs w:val="18"/>
        </w:rPr>
        <w:t>5</w:t>
      </w:r>
      <w:r>
        <w:rPr>
          <w:rFonts w:hint="eastAsia" w:ascii="仿宋_GB2312" w:hAnsi="仿宋_GB2312" w:eastAsia="仿宋_GB2312" w:cs="仿宋_GB2312"/>
          <w:kern w:val="0"/>
          <w:sz w:val="18"/>
          <w:szCs w:val="18"/>
        </w:rPr>
        <w:t>、地级其他部门为</w:t>
      </w:r>
      <w:r>
        <w:rPr>
          <w:rFonts w:hint="eastAsia" w:ascii="Times New Roman" w:hAnsi="Times New Roman" w:eastAsia="仿宋_GB2312" w:cs="仿宋_GB2312"/>
          <w:kern w:val="0"/>
          <w:sz w:val="18"/>
          <w:szCs w:val="18"/>
        </w:rPr>
        <w:t>6</w:t>
      </w:r>
      <w:r>
        <w:rPr>
          <w:rFonts w:hint="eastAsia" w:ascii="仿宋_GB2312" w:hAnsi="仿宋_GB2312" w:eastAsia="仿宋_GB2312" w:cs="仿宋_GB2312"/>
          <w:kern w:val="0"/>
          <w:sz w:val="18"/>
          <w:szCs w:val="18"/>
        </w:rPr>
        <w:t>、县级教育部门为</w:t>
      </w:r>
      <w:r>
        <w:rPr>
          <w:rFonts w:hint="eastAsia" w:ascii="Times New Roman" w:hAnsi="Times New Roman" w:eastAsia="仿宋_GB2312" w:cs="仿宋_GB2312"/>
          <w:kern w:val="0"/>
          <w:sz w:val="18"/>
          <w:szCs w:val="18"/>
        </w:rPr>
        <w:t>7</w:t>
      </w:r>
      <w:r>
        <w:rPr>
          <w:rFonts w:hint="eastAsia" w:ascii="仿宋_GB2312" w:hAnsi="仿宋_GB2312" w:eastAsia="仿宋_GB2312" w:cs="仿宋_GB2312"/>
          <w:kern w:val="0"/>
          <w:sz w:val="18"/>
          <w:szCs w:val="18"/>
        </w:rPr>
        <w:t>、县</w:t>
      </w:r>
    </w:p>
    <w:p w14:paraId="458BA071">
      <w:pPr>
        <w:keepNext w:val="0"/>
        <w:keepLines w:val="0"/>
        <w:pageBreakBefore w:val="0"/>
        <w:widowControl/>
        <w:kinsoku/>
        <w:wordWrap/>
        <w:overflowPunct/>
        <w:topLinePunct w:val="0"/>
        <w:autoSpaceDE/>
        <w:autoSpaceDN/>
        <w:bidi w:val="0"/>
        <w:adjustRightInd/>
        <w:snapToGrid/>
        <w:spacing w:line="280" w:lineRule="exact"/>
        <w:ind w:left="0" w:leftChars="0" w:firstLine="518" w:firstLineChars="288"/>
        <w:jc w:val="left"/>
        <w:textAlignment w:val="auto"/>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级其他部门为</w:t>
      </w:r>
      <w:r>
        <w:rPr>
          <w:rFonts w:hint="eastAsia" w:ascii="Times New Roman" w:hAnsi="Times New Roman" w:eastAsia="仿宋_GB2312" w:cs="仿宋_GB2312"/>
          <w:kern w:val="0"/>
          <w:sz w:val="18"/>
          <w:szCs w:val="18"/>
        </w:rPr>
        <w:t>8</w:t>
      </w:r>
      <w:r>
        <w:rPr>
          <w:rFonts w:hint="eastAsia" w:ascii="仿宋_GB2312" w:hAnsi="仿宋_GB2312" w:eastAsia="仿宋_GB2312" w:cs="仿宋_GB2312"/>
          <w:kern w:val="0"/>
          <w:sz w:val="18"/>
          <w:szCs w:val="18"/>
        </w:rPr>
        <w:t>、地方企业为</w:t>
      </w:r>
      <w:r>
        <w:rPr>
          <w:rFonts w:hint="eastAsia" w:ascii="Times New Roman" w:hAnsi="Times New Roman" w:eastAsia="仿宋_GB2312" w:cs="仿宋_GB2312"/>
          <w:kern w:val="0"/>
          <w:sz w:val="18"/>
          <w:szCs w:val="18"/>
        </w:rPr>
        <w:t>9</w:t>
      </w:r>
      <w:r>
        <w:rPr>
          <w:rFonts w:hint="eastAsia" w:ascii="仿宋_GB2312" w:hAnsi="仿宋_GB2312" w:eastAsia="仿宋_GB2312" w:cs="仿宋_GB2312"/>
          <w:kern w:val="0"/>
          <w:sz w:val="18"/>
          <w:szCs w:val="18"/>
        </w:rPr>
        <w:t>、民办为</w:t>
      </w:r>
      <w:r>
        <w:rPr>
          <w:rFonts w:hint="eastAsia" w:ascii="Times New Roman" w:hAnsi="Times New Roman" w:eastAsia="仿宋_GB2312" w:cs="仿宋_GB2312"/>
          <w:kern w:val="0"/>
          <w:sz w:val="18"/>
          <w:szCs w:val="18"/>
        </w:rPr>
        <w:t>10</w:t>
      </w:r>
      <w:r>
        <w:rPr>
          <w:rFonts w:hint="eastAsia" w:ascii="仿宋_GB2312" w:hAnsi="仿宋_GB2312" w:eastAsia="仿宋_GB2312" w:cs="仿宋_GB2312"/>
          <w:kern w:val="0"/>
          <w:sz w:val="18"/>
          <w:szCs w:val="18"/>
        </w:rPr>
        <w:t>。</w:t>
      </w:r>
    </w:p>
    <w:p w14:paraId="7F98CCE9">
      <w:pPr>
        <w:ind w:left="0" w:leftChars="0" w:firstLine="338" w:firstLineChars="188"/>
        <w:rPr>
          <w:rFonts w:hint="eastAsia" w:ascii="仿宋_GB2312" w:hAnsi="仿宋_GB2312" w:eastAsia="仿宋_GB2312" w:cs="仿宋_GB2312"/>
        </w:rPr>
      </w:pPr>
      <w:r>
        <w:rPr>
          <w:rFonts w:hint="eastAsia" w:ascii="Times New Roman" w:hAnsi="Times New Roman" w:eastAsia="仿宋_GB2312" w:cs="仿宋_GB2312"/>
          <w:kern w:val="0"/>
          <w:sz w:val="18"/>
          <w:szCs w:val="18"/>
        </w:rPr>
        <w:t>3</w:t>
      </w:r>
      <w:r>
        <w:rPr>
          <w:rFonts w:hint="eastAsia" w:ascii="仿宋_GB2312" w:hAnsi="仿宋_GB2312" w:eastAsia="仿宋_GB2312" w:cs="仿宋_GB2312"/>
          <w:kern w:val="0"/>
          <w:sz w:val="18"/>
          <w:szCs w:val="18"/>
        </w:rPr>
        <w:t>.</w:t>
      </w:r>
      <w:r>
        <w:rPr>
          <w:rFonts w:hint="eastAsia" w:ascii="Times New Roman" w:hAnsi="Times New Roman" w:eastAsia="仿宋_GB2312" w:cs="仿宋_GB2312"/>
          <w:kern w:val="0"/>
          <w:sz w:val="18"/>
          <w:szCs w:val="18"/>
        </w:rPr>
        <w:t>L7</w:t>
      </w:r>
      <w:r>
        <w:rPr>
          <w:rFonts w:hint="eastAsia" w:ascii="仿宋_GB2312" w:hAnsi="仿宋_GB2312" w:eastAsia="仿宋_GB2312" w:cs="仿宋_GB2312"/>
          <w:kern w:val="0"/>
          <w:sz w:val="18"/>
          <w:szCs w:val="18"/>
        </w:rPr>
        <w:t>-</w:t>
      </w:r>
      <w:r>
        <w:rPr>
          <w:rFonts w:hint="eastAsia" w:ascii="Times New Roman" w:hAnsi="Times New Roman" w:eastAsia="仿宋_GB2312" w:cs="仿宋_GB2312"/>
          <w:kern w:val="0"/>
          <w:sz w:val="18"/>
          <w:szCs w:val="18"/>
        </w:rPr>
        <w:t>L13</w:t>
      </w:r>
      <w:r>
        <w:rPr>
          <w:rFonts w:hint="eastAsia" w:ascii="仿宋_GB2312" w:hAnsi="仿宋_GB2312" w:eastAsia="仿宋_GB2312" w:cs="仿宋_GB2312"/>
          <w:kern w:val="0"/>
          <w:sz w:val="18"/>
          <w:szCs w:val="18"/>
        </w:rPr>
        <w:t>数值均保留两位小数。</w:t>
      </w:r>
    </w:p>
    <w:p w14:paraId="1D0EF9FE">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表Ⅲ 县域义务教育校际均衡情况</w:t>
      </w:r>
    </w:p>
    <w:tbl>
      <w:tblPr>
        <w:tblStyle w:val="7"/>
        <w:tblW w:w="0" w:type="auto"/>
        <w:tblInd w:w="0" w:type="dxa"/>
        <w:tblLayout w:type="fixed"/>
        <w:tblCellMar>
          <w:top w:w="0" w:type="dxa"/>
          <w:left w:w="108" w:type="dxa"/>
          <w:bottom w:w="0" w:type="dxa"/>
          <w:right w:w="108" w:type="dxa"/>
        </w:tblCellMar>
      </w:tblPr>
      <w:tblGrid>
        <w:gridCol w:w="1156"/>
        <w:gridCol w:w="1452"/>
        <w:gridCol w:w="1465"/>
        <w:gridCol w:w="1465"/>
        <w:gridCol w:w="1465"/>
        <w:gridCol w:w="1465"/>
        <w:gridCol w:w="1465"/>
        <w:gridCol w:w="1465"/>
        <w:gridCol w:w="1465"/>
        <w:gridCol w:w="1470"/>
      </w:tblGrid>
      <w:tr w14:paraId="416D9391">
        <w:tblPrEx>
          <w:tblCellMar>
            <w:top w:w="0" w:type="dxa"/>
            <w:left w:w="108" w:type="dxa"/>
            <w:bottom w:w="0" w:type="dxa"/>
            <w:right w:w="108" w:type="dxa"/>
          </w:tblCellMar>
        </w:tblPrEx>
        <w:trPr>
          <w:trHeight w:val="1669" w:hRule="atLeast"/>
        </w:trPr>
        <w:tc>
          <w:tcPr>
            <w:tcW w:w="2608" w:type="dxa"/>
            <w:gridSpan w:val="2"/>
            <w:vMerge w:val="restart"/>
            <w:tcBorders>
              <w:top w:val="single" w:color="auto" w:sz="4" w:space="0"/>
              <w:left w:val="single" w:color="auto" w:sz="4" w:space="0"/>
              <w:bottom w:val="single" w:color="000000" w:sz="4" w:space="0"/>
              <w:right w:val="single" w:color="000000" w:sz="4" w:space="0"/>
            </w:tcBorders>
            <w:noWrap w:val="0"/>
            <w:vAlign w:val="center"/>
          </w:tcPr>
          <w:p w14:paraId="6441CFB8">
            <w:pPr>
              <w:widowControl/>
              <w:jc w:val="center"/>
              <w:rPr>
                <w:rFonts w:hint="eastAsia" w:ascii="黑体" w:hAnsi="黑体" w:eastAsia="黑体" w:cs="黑体"/>
                <w:b w:val="0"/>
                <w:bCs w:val="0"/>
                <w:kern w:val="0"/>
                <w:sz w:val="18"/>
                <w:szCs w:val="18"/>
              </w:rPr>
            </w:pPr>
            <w:bookmarkStart w:id="8" w:name="OLE_LINK3" w:colFirst="1" w:colLast="7"/>
            <w:r>
              <w:rPr>
                <w:rFonts w:hint="eastAsia" w:ascii="黑体" w:hAnsi="黑体" w:eastAsia="黑体" w:cs="黑体"/>
                <w:b w:val="0"/>
                <w:bCs w:val="0"/>
                <w:kern w:val="0"/>
                <w:sz w:val="18"/>
                <w:szCs w:val="18"/>
              </w:rPr>
              <w:t>　</w:t>
            </w:r>
          </w:p>
        </w:tc>
        <w:tc>
          <w:tcPr>
            <w:tcW w:w="1465" w:type="dxa"/>
            <w:tcBorders>
              <w:top w:val="single" w:color="auto" w:sz="4" w:space="0"/>
              <w:left w:val="nil"/>
              <w:bottom w:val="single" w:color="auto" w:sz="4" w:space="0"/>
              <w:right w:val="single" w:color="auto" w:sz="4" w:space="0"/>
            </w:tcBorders>
            <w:noWrap w:val="0"/>
            <w:vAlign w:val="center"/>
          </w:tcPr>
          <w:p w14:paraId="3DDF2E14">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每百名学生拥有高于规定学历教师数</w:t>
            </w:r>
          </w:p>
        </w:tc>
        <w:tc>
          <w:tcPr>
            <w:tcW w:w="1465" w:type="dxa"/>
            <w:tcBorders>
              <w:top w:val="single" w:color="auto" w:sz="4" w:space="0"/>
              <w:left w:val="nil"/>
              <w:bottom w:val="single" w:color="auto" w:sz="4" w:space="0"/>
              <w:right w:val="single" w:color="auto" w:sz="4" w:space="0"/>
            </w:tcBorders>
            <w:noWrap w:val="0"/>
            <w:vAlign w:val="center"/>
          </w:tcPr>
          <w:p w14:paraId="5F3DE556">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每百名学生拥有县级及以上骨干教师数</w:t>
            </w:r>
          </w:p>
        </w:tc>
        <w:tc>
          <w:tcPr>
            <w:tcW w:w="1465" w:type="dxa"/>
            <w:tcBorders>
              <w:top w:val="single" w:color="auto" w:sz="4" w:space="0"/>
              <w:left w:val="nil"/>
              <w:bottom w:val="single" w:color="auto" w:sz="4" w:space="0"/>
              <w:right w:val="single" w:color="auto" w:sz="4" w:space="0"/>
            </w:tcBorders>
            <w:noWrap w:val="0"/>
            <w:vAlign w:val="center"/>
          </w:tcPr>
          <w:p w14:paraId="37F652B8">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每百名学生拥有体育、艺术(美术、音乐)专任教师数</w:t>
            </w:r>
          </w:p>
        </w:tc>
        <w:tc>
          <w:tcPr>
            <w:tcW w:w="1465" w:type="dxa"/>
            <w:tcBorders>
              <w:top w:val="single" w:color="auto" w:sz="4" w:space="0"/>
              <w:left w:val="nil"/>
              <w:bottom w:val="single" w:color="auto" w:sz="4" w:space="0"/>
              <w:right w:val="single" w:color="auto" w:sz="4" w:space="0"/>
            </w:tcBorders>
            <w:noWrap w:val="0"/>
            <w:vAlign w:val="center"/>
          </w:tcPr>
          <w:p w14:paraId="23F753F0">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生均教学及辅助用房面积</w:t>
            </w:r>
            <w:r>
              <w:rPr>
                <w:rFonts w:hint="eastAsia" w:ascii="黑体" w:hAnsi="黑体" w:eastAsia="黑体" w:cs="黑体"/>
                <w:b w:val="0"/>
                <w:bCs w:val="0"/>
                <w:kern w:val="0"/>
                <w:sz w:val="18"/>
                <w:szCs w:val="18"/>
              </w:rPr>
              <w:br w:type="textWrapping"/>
            </w:r>
            <w:r>
              <w:rPr>
                <w:rFonts w:hint="eastAsia" w:ascii="黑体" w:hAnsi="黑体" w:eastAsia="黑体" w:cs="黑体"/>
                <w:b w:val="0"/>
                <w:bCs w:val="0"/>
                <w:kern w:val="0"/>
                <w:sz w:val="18"/>
                <w:szCs w:val="18"/>
              </w:rPr>
              <w:t>（㎡）</w:t>
            </w:r>
          </w:p>
        </w:tc>
        <w:tc>
          <w:tcPr>
            <w:tcW w:w="1465" w:type="dxa"/>
            <w:tcBorders>
              <w:top w:val="single" w:color="auto" w:sz="4" w:space="0"/>
              <w:left w:val="nil"/>
              <w:bottom w:val="single" w:color="auto" w:sz="4" w:space="0"/>
              <w:right w:val="single" w:color="auto" w:sz="4" w:space="0"/>
            </w:tcBorders>
            <w:noWrap w:val="0"/>
            <w:vAlign w:val="center"/>
          </w:tcPr>
          <w:p w14:paraId="573331D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生均体育运动场馆面积（㎡）</w:t>
            </w:r>
          </w:p>
        </w:tc>
        <w:tc>
          <w:tcPr>
            <w:tcW w:w="1465" w:type="dxa"/>
            <w:tcBorders>
              <w:top w:val="single" w:color="auto" w:sz="4" w:space="0"/>
              <w:left w:val="nil"/>
              <w:bottom w:val="single" w:color="auto" w:sz="4" w:space="0"/>
              <w:right w:val="single" w:color="auto" w:sz="4" w:space="0"/>
            </w:tcBorders>
            <w:noWrap w:val="0"/>
            <w:vAlign w:val="center"/>
          </w:tcPr>
          <w:p w14:paraId="05D88B3F">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生均教学仪器设备值</w:t>
            </w:r>
          </w:p>
          <w:p w14:paraId="365DC9B5">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(元)</w:t>
            </w:r>
          </w:p>
        </w:tc>
        <w:tc>
          <w:tcPr>
            <w:tcW w:w="1465" w:type="dxa"/>
            <w:tcBorders>
              <w:top w:val="single" w:color="auto" w:sz="4" w:space="0"/>
              <w:left w:val="nil"/>
              <w:bottom w:val="single" w:color="auto" w:sz="4" w:space="0"/>
              <w:right w:val="single" w:color="auto" w:sz="4" w:space="0"/>
            </w:tcBorders>
            <w:noWrap w:val="0"/>
            <w:vAlign w:val="center"/>
          </w:tcPr>
          <w:p w14:paraId="23B3A4BD">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每百名学生拥有网络多媒体教室数</w:t>
            </w:r>
          </w:p>
        </w:tc>
        <w:tc>
          <w:tcPr>
            <w:tcW w:w="1470" w:type="dxa"/>
            <w:tcBorders>
              <w:top w:val="single" w:color="auto" w:sz="4" w:space="0"/>
              <w:left w:val="nil"/>
              <w:bottom w:val="single" w:color="auto" w:sz="4" w:space="0"/>
              <w:right w:val="single" w:color="auto" w:sz="4" w:space="0"/>
            </w:tcBorders>
            <w:noWrap w:val="0"/>
            <w:vAlign w:val="center"/>
          </w:tcPr>
          <w:p w14:paraId="019F6C15">
            <w:pPr>
              <w:widowControl/>
              <w:jc w:val="center"/>
              <w:rPr>
                <w:rFonts w:hint="eastAsia" w:ascii="黑体" w:hAnsi="黑体" w:eastAsia="黑体" w:cs="黑体"/>
                <w:b w:val="0"/>
                <w:bCs w:val="0"/>
                <w:kern w:val="0"/>
                <w:sz w:val="18"/>
                <w:szCs w:val="18"/>
              </w:rPr>
            </w:pPr>
            <w:r>
              <w:rPr>
                <w:rFonts w:hint="eastAsia" w:ascii="黑体" w:hAnsi="黑体" w:eastAsia="黑体" w:cs="黑体"/>
                <w:b w:val="0"/>
                <w:bCs w:val="0"/>
                <w:kern w:val="0"/>
                <w:sz w:val="18"/>
                <w:szCs w:val="18"/>
              </w:rPr>
              <w:t>综合</w:t>
            </w:r>
          </w:p>
        </w:tc>
      </w:tr>
      <w:bookmarkEnd w:id="8"/>
      <w:tr w14:paraId="010F02AB">
        <w:tblPrEx>
          <w:tblCellMar>
            <w:top w:w="0" w:type="dxa"/>
            <w:left w:w="108" w:type="dxa"/>
            <w:bottom w:w="0" w:type="dxa"/>
            <w:right w:w="108" w:type="dxa"/>
          </w:tblCellMar>
        </w:tblPrEx>
        <w:trPr>
          <w:trHeight w:val="507" w:hRule="atLeast"/>
        </w:trPr>
        <w:tc>
          <w:tcPr>
            <w:tcW w:w="2608" w:type="dxa"/>
            <w:gridSpan w:val="2"/>
            <w:vMerge w:val="continue"/>
            <w:tcBorders>
              <w:top w:val="single" w:color="auto" w:sz="4" w:space="0"/>
              <w:left w:val="single" w:color="auto" w:sz="4" w:space="0"/>
              <w:bottom w:val="single" w:color="auto" w:sz="4" w:space="0"/>
              <w:right w:val="single" w:color="000000" w:sz="4" w:space="0"/>
            </w:tcBorders>
            <w:noWrap w:val="0"/>
            <w:vAlign w:val="center"/>
          </w:tcPr>
          <w:p w14:paraId="23F2036F">
            <w:pPr>
              <w:widowControl/>
              <w:jc w:val="left"/>
              <w:rPr>
                <w:rFonts w:hint="eastAsia" w:ascii="黑体" w:hAnsi="黑体" w:eastAsia="黑体" w:cs="黑体"/>
                <w:b w:val="0"/>
                <w:bCs w:val="0"/>
                <w:kern w:val="0"/>
                <w:sz w:val="18"/>
                <w:szCs w:val="18"/>
              </w:rPr>
            </w:pPr>
          </w:p>
        </w:tc>
        <w:tc>
          <w:tcPr>
            <w:tcW w:w="1465" w:type="dxa"/>
            <w:tcBorders>
              <w:top w:val="nil"/>
              <w:left w:val="nil"/>
              <w:bottom w:val="single" w:color="auto" w:sz="4" w:space="0"/>
              <w:right w:val="single" w:color="auto" w:sz="4" w:space="0"/>
            </w:tcBorders>
            <w:noWrap w:val="0"/>
            <w:vAlign w:val="center"/>
          </w:tcPr>
          <w:p w14:paraId="5280E03D">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L1</w:t>
            </w:r>
          </w:p>
        </w:tc>
        <w:tc>
          <w:tcPr>
            <w:tcW w:w="1465" w:type="dxa"/>
            <w:tcBorders>
              <w:top w:val="nil"/>
              <w:left w:val="nil"/>
              <w:bottom w:val="single" w:color="auto" w:sz="4" w:space="0"/>
              <w:right w:val="single" w:color="auto" w:sz="4" w:space="0"/>
            </w:tcBorders>
            <w:noWrap w:val="0"/>
            <w:vAlign w:val="center"/>
          </w:tcPr>
          <w:p w14:paraId="6CCD710F">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L2</w:t>
            </w:r>
          </w:p>
        </w:tc>
        <w:tc>
          <w:tcPr>
            <w:tcW w:w="1465" w:type="dxa"/>
            <w:tcBorders>
              <w:top w:val="nil"/>
              <w:left w:val="nil"/>
              <w:bottom w:val="single" w:color="auto" w:sz="4" w:space="0"/>
              <w:right w:val="single" w:color="auto" w:sz="4" w:space="0"/>
            </w:tcBorders>
            <w:noWrap w:val="0"/>
            <w:vAlign w:val="center"/>
          </w:tcPr>
          <w:p w14:paraId="5C5E4D50">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L3</w:t>
            </w:r>
          </w:p>
        </w:tc>
        <w:tc>
          <w:tcPr>
            <w:tcW w:w="1465" w:type="dxa"/>
            <w:tcBorders>
              <w:top w:val="nil"/>
              <w:left w:val="nil"/>
              <w:bottom w:val="single" w:color="auto" w:sz="4" w:space="0"/>
              <w:right w:val="single" w:color="auto" w:sz="4" w:space="0"/>
            </w:tcBorders>
            <w:noWrap w:val="0"/>
            <w:vAlign w:val="center"/>
          </w:tcPr>
          <w:p w14:paraId="47BE7F43">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L4</w:t>
            </w:r>
          </w:p>
        </w:tc>
        <w:tc>
          <w:tcPr>
            <w:tcW w:w="1465" w:type="dxa"/>
            <w:tcBorders>
              <w:top w:val="nil"/>
              <w:left w:val="nil"/>
              <w:bottom w:val="single" w:color="auto" w:sz="4" w:space="0"/>
              <w:right w:val="single" w:color="auto" w:sz="4" w:space="0"/>
            </w:tcBorders>
            <w:noWrap w:val="0"/>
            <w:vAlign w:val="center"/>
          </w:tcPr>
          <w:p w14:paraId="2FB11B37">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L5</w:t>
            </w:r>
          </w:p>
        </w:tc>
        <w:tc>
          <w:tcPr>
            <w:tcW w:w="1465" w:type="dxa"/>
            <w:tcBorders>
              <w:top w:val="nil"/>
              <w:left w:val="nil"/>
              <w:bottom w:val="single" w:color="auto" w:sz="4" w:space="0"/>
              <w:right w:val="single" w:color="auto" w:sz="4" w:space="0"/>
            </w:tcBorders>
            <w:noWrap w:val="0"/>
            <w:vAlign w:val="center"/>
          </w:tcPr>
          <w:p w14:paraId="1DC56C53">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L6</w:t>
            </w:r>
          </w:p>
        </w:tc>
        <w:tc>
          <w:tcPr>
            <w:tcW w:w="1465" w:type="dxa"/>
            <w:tcBorders>
              <w:top w:val="single" w:color="auto" w:sz="4" w:space="0"/>
              <w:left w:val="nil"/>
              <w:bottom w:val="single" w:color="auto" w:sz="4" w:space="0"/>
              <w:right w:val="single" w:color="auto" w:sz="4" w:space="0"/>
            </w:tcBorders>
            <w:noWrap w:val="0"/>
            <w:vAlign w:val="center"/>
          </w:tcPr>
          <w:p w14:paraId="6FF59C63">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L7</w:t>
            </w:r>
          </w:p>
        </w:tc>
        <w:tc>
          <w:tcPr>
            <w:tcW w:w="1470" w:type="dxa"/>
            <w:tcBorders>
              <w:top w:val="nil"/>
              <w:left w:val="nil"/>
              <w:bottom w:val="single" w:color="auto" w:sz="4" w:space="0"/>
              <w:right w:val="single" w:color="auto" w:sz="4" w:space="0"/>
            </w:tcBorders>
            <w:noWrap w:val="0"/>
            <w:vAlign w:val="center"/>
          </w:tcPr>
          <w:p w14:paraId="62E32199">
            <w:pPr>
              <w:widowControl/>
              <w:jc w:val="center"/>
              <w:rPr>
                <w:rFonts w:hint="eastAsia" w:ascii="黑体" w:hAnsi="黑体" w:eastAsia="黑体" w:cs="黑体"/>
                <w:b w:val="0"/>
                <w:bCs w:val="0"/>
                <w:kern w:val="0"/>
                <w:sz w:val="18"/>
                <w:szCs w:val="18"/>
              </w:rPr>
            </w:pPr>
            <w:r>
              <w:rPr>
                <w:rFonts w:hint="eastAsia" w:ascii="Times New Roman" w:hAnsi="Times New Roman" w:eastAsia="黑体" w:cs="黑体"/>
                <w:b w:val="0"/>
                <w:bCs w:val="0"/>
                <w:kern w:val="0"/>
                <w:sz w:val="18"/>
                <w:szCs w:val="18"/>
              </w:rPr>
              <w:t>L8</w:t>
            </w:r>
          </w:p>
        </w:tc>
      </w:tr>
      <w:tr w14:paraId="02D49644">
        <w:tblPrEx>
          <w:tblCellMar>
            <w:top w:w="0" w:type="dxa"/>
            <w:left w:w="108" w:type="dxa"/>
            <w:bottom w:w="0" w:type="dxa"/>
            <w:right w:w="108" w:type="dxa"/>
          </w:tblCellMar>
        </w:tblPrEx>
        <w:trPr>
          <w:trHeight w:val="834" w:hRule="atLeast"/>
        </w:trPr>
        <w:tc>
          <w:tcPr>
            <w:tcW w:w="1156" w:type="dxa"/>
            <w:vMerge w:val="restart"/>
            <w:tcBorders>
              <w:top w:val="single" w:color="auto" w:sz="4" w:space="0"/>
              <w:left w:val="single" w:color="auto" w:sz="4" w:space="0"/>
              <w:bottom w:val="single" w:color="auto" w:sz="4" w:space="0"/>
              <w:right w:val="single" w:color="auto" w:sz="4" w:space="0"/>
            </w:tcBorders>
            <w:noWrap w:val="0"/>
            <w:vAlign w:val="center"/>
          </w:tcPr>
          <w:p w14:paraId="3BB0B0CD">
            <w:pPr>
              <w:widowControl/>
              <w:jc w:val="center"/>
              <w:rPr>
                <w:rFonts w:hint="eastAsia" w:asciiTheme="majorEastAsia" w:hAnsiTheme="majorEastAsia" w:eastAsiaTheme="majorEastAsia" w:cstheme="majorEastAsia"/>
                <w:b w:val="0"/>
                <w:bCs w:val="0"/>
                <w:kern w:val="0"/>
                <w:sz w:val="18"/>
                <w:szCs w:val="18"/>
              </w:rPr>
            </w:pPr>
            <w:r>
              <w:rPr>
                <w:rFonts w:hint="eastAsia" w:asciiTheme="majorEastAsia" w:hAnsiTheme="majorEastAsia" w:eastAsiaTheme="majorEastAsia" w:cstheme="majorEastAsia"/>
                <w:b w:val="0"/>
                <w:bCs w:val="0"/>
                <w:kern w:val="0"/>
                <w:sz w:val="18"/>
                <w:szCs w:val="18"/>
              </w:rPr>
              <w:t>小学</w:t>
            </w:r>
          </w:p>
        </w:tc>
        <w:tc>
          <w:tcPr>
            <w:tcW w:w="1452" w:type="dxa"/>
            <w:tcBorders>
              <w:top w:val="single" w:color="auto" w:sz="4" w:space="0"/>
              <w:left w:val="nil"/>
              <w:bottom w:val="single" w:color="auto" w:sz="4" w:space="0"/>
              <w:right w:val="single" w:color="auto" w:sz="4" w:space="0"/>
            </w:tcBorders>
            <w:noWrap w:val="0"/>
            <w:vAlign w:val="center"/>
          </w:tcPr>
          <w:p w14:paraId="7CC51116">
            <w:pPr>
              <w:widowControl/>
              <w:jc w:val="center"/>
              <w:rPr>
                <w:rFonts w:hint="eastAsia" w:asciiTheme="majorEastAsia" w:hAnsiTheme="majorEastAsia" w:eastAsiaTheme="majorEastAsia" w:cstheme="majorEastAsia"/>
                <w:b w:val="0"/>
                <w:bCs w:val="0"/>
                <w:kern w:val="0"/>
                <w:sz w:val="18"/>
                <w:szCs w:val="18"/>
              </w:rPr>
            </w:pPr>
            <w:r>
              <w:rPr>
                <w:rFonts w:hint="eastAsia" w:asciiTheme="majorEastAsia" w:hAnsiTheme="majorEastAsia" w:eastAsiaTheme="majorEastAsia" w:cstheme="majorEastAsia"/>
                <w:b w:val="0"/>
                <w:bCs w:val="0"/>
                <w:kern w:val="0"/>
                <w:sz w:val="18"/>
                <w:szCs w:val="18"/>
              </w:rPr>
              <w:t>全县平均值</w:t>
            </w:r>
          </w:p>
        </w:tc>
        <w:tc>
          <w:tcPr>
            <w:tcW w:w="1465" w:type="dxa"/>
            <w:tcBorders>
              <w:top w:val="single" w:color="auto" w:sz="4" w:space="0"/>
              <w:left w:val="nil"/>
              <w:bottom w:val="single" w:color="auto" w:sz="4" w:space="0"/>
              <w:right w:val="single" w:color="auto" w:sz="4" w:space="0"/>
            </w:tcBorders>
            <w:noWrap w:val="0"/>
            <w:vAlign w:val="center"/>
          </w:tcPr>
          <w:p w14:paraId="77ACF9F1">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5</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71</w:t>
            </w:r>
          </w:p>
        </w:tc>
        <w:tc>
          <w:tcPr>
            <w:tcW w:w="1465" w:type="dxa"/>
            <w:tcBorders>
              <w:top w:val="single" w:color="auto" w:sz="4" w:space="0"/>
              <w:left w:val="nil"/>
              <w:bottom w:val="single" w:color="auto" w:sz="4" w:space="0"/>
              <w:right w:val="single" w:color="auto" w:sz="4" w:space="0"/>
            </w:tcBorders>
            <w:noWrap w:val="0"/>
            <w:vAlign w:val="center"/>
          </w:tcPr>
          <w:p w14:paraId="558C0ADC">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1</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41</w:t>
            </w:r>
          </w:p>
        </w:tc>
        <w:tc>
          <w:tcPr>
            <w:tcW w:w="1465" w:type="dxa"/>
            <w:tcBorders>
              <w:top w:val="single" w:color="auto" w:sz="4" w:space="0"/>
              <w:left w:val="nil"/>
              <w:bottom w:val="single" w:color="auto" w:sz="4" w:space="0"/>
              <w:right w:val="single" w:color="auto" w:sz="4" w:space="0"/>
            </w:tcBorders>
            <w:noWrap w:val="0"/>
            <w:vAlign w:val="center"/>
          </w:tcPr>
          <w:p w14:paraId="7FD5D92E">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1</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17</w:t>
            </w:r>
          </w:p>
        </w:tc>
        <w:tc>
          <w:tcPr>
            <w:tcW w:w="1465" w:type="dxa"/>
            <w:tcBorders>
              <w:top w:val="single" w:color="auto" w:sz="4" w:space="0"/>
              <w:left w:val="nil"/>
              <w:bottom w:val="single" w:color="auto" w:sz="4" w:space="0"/>
              <w:right w:val="single" w:color="auto" w:sz="4" w:space="0"/>
            </w:tcBorders>
            <w:noWrap w:val="0"/>
            <w:vAlign w:val="center"/>
          </w:tcPr>
          <w:p w14:paraId="7DACDB7F">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6</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35</w:t>
            </w:r>
          </w:p>
        </w:tc>
        <w:tc>
          <w:tcPr>
            <w:tcW w:w="1465" w:type="dxa"/>
            <w:tcBorders>
              <w:top w:val="single" w:color="auto" w:sz="4" w:space="0"/>
              <w:left w:val="nil"/>
              <w:bottom w:val="single" w:color="auto" w:sz="4" w:space="0"/>
              <w:right w:val="single" w:color="auto" w:sz="4" w:space="0"/>
            </w:tcBorders>
            <w:noWrap w:val="0"/>
            <w:vAlign w:val="center"/>
          </w:tcPr>
          <w:p w14:paraId="1408BD77">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9</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96</w:t>
            </w:r>
          </w:p>
        </w:tc>
        <w:tc>
          <w:tcPr>
            <w:tcW w:w="1465" w:type="dxa"/>
            <w:tcBorders>
              <w:top w:val="single" w:color="auto" w:sz="4" w:space="0"/>
              <w:left w:val="nil"/>
              <w:bottom w:val="single" w:color="auto" w:sz="4" w:space="0"/>
              <w:right w:val="single" w:color="auto" w:sz="4" w:space="0"/>
            </w:tcBorders>
            <w:noWrap w:val="0"/>
            <w:vAlign w:val="center"/>
          </w:tcPr>
          <w:p w14:paraId="18B7C61C">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2675</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53</w:t>
            </w:r>
          </w:p>
        </w:tc>
        <w:tc>
          <w:tcPr>
            <w:tcW w:w="1465" w:type="dxa"/>
            <w:tcBorders>
              <w:top w:val="single" w:color="auto" w:sz="4" w:space="0"/>
              <w:left w:val="nil"/>
              <w:bottom w:val="single" w:color="auto" w:sz="4" w:space="0"/>
              <w:right w:val="single" w:color="auto" w:sz="4" w:space="0"/>
            </w:tcBorders>
            <w:noWrap w:val="0"/>
            <w:vAlign w:val="center"/>
          </w:tcPr>
          <w:p w14:paraId="70DEB133">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3</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02</w:t>
            </w:r>
          </w:p>
        </w:tc>
        <w:tc>
          <w:tcPr>
            <w:tcW w:w="1470" w:type="dxa"/>
            <w:tcBorders>
              <w:top w:val="single" w:color="auto" w:sz="4" w:space="0"/>
              <w:left w:val="nil"/>
              <w:bottom w:val="single" w:color="auto" w:sz="4" w:space="0"/>
              <w:right w:val="single" w:color="auto" w:sz="4" w:space="0"/>
            </w:tcBorders>
            <w:noWrap w:val="0"/>
            <w:vAlign w:val="center"/>
          </w:tcPr>
          <w:p w14:paraId="412A91D0">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rPr>
            </w:pP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p>
        </w:tc>
      </w:tr>
      <w:tr w14:paraId="0310C70B">
        <w:tblPrEx>
          <w:tblCellMar>
            <w:top w:w="0" w:type="dxa"/>
            <w:left w:w="108" w:type="dxa"/>
            <w:bottom w:w="0" w:type="dxa"/>
            <w:right w:w="108" w:type="dxa"/>
          </w:tblCellMar>
        </w:tblPrEx>
        <w:trPr>
          <w:trHeight w:val="759" w:hRule="atLeast"/>
        </w:trPr>
        <w:tc>
          <w:tcPr>
            <w:tcW w:w="1156" w:type="dxa"/>
            <w:vMerge w:val="continue"/>
            <w:tcBorders>
              <w:top w:val="nil"/>
              <w:left w:val="single" w:color="auto" w:sz="4" w:space="0"/>
              <w:bottom w:val="single" w:color="auto" w:sz="4" w:space="0"/>
              <w:right w:val="single" w:color="auto" w:sz="4" w:space="0"/>
            </w:tcBorders>
            <w:noWrap w:val="0"/>
            <w:vAlign w:val="center"/>
          </w:tcPr>
          <w:p w14:paraId="395EBB4E">
            <w:pPr>
              <w:widowControl/>
              <w:jc w:val="left"/>
              <w:rPr>
                <w:rFonts w:hint="eastAsia" w:asciiTheme="majorEastAsia" w:hAnsiTheme="majorEastAsia" w:eastAsiaTheme="majorEastAsia" w:cstheme="majorEastAsia"/>
                <w:b w:val="0"/>
                <w:bCs w:val="0"/>
                <w:kern w:val="0"/>
                <w:sz w:val="18"/>
                <w:szCs w:val="18"/>
              </w:rPr>
            </w:pPr>
          </w:p>
        </w:tc>
        <w:tc>
          <w:tcPr>
            <w:tcW w:w="1452" w:type="dxa"/>
            <w:tcBorders>
              <w:top w:val="nil"/>
              <w:left w:val="nil"/>
              <w:bottom w:val="single" w:color="auto" w:sz="4" w:space="0"/>
              <w:right w:val="single" w:color="auto" w:sz="4" w:space="0"/>
            </w:tcBorders>
            <w:noWrap w:val="0"/>
            <w:vAlign w:val="center"/>
          </w:tcPr>
          <w:p w14:paraId="75D9BF06">
            <w:pPr>
              <w:widowControl/>
              <w:jc w:val="center"/>
              <w:rPr>
                <w:rFonts w:hint="eastAsia" w:asciiTheme="majorEastAsia" w:hAnsiTheme="majorEastAsia" w:eastAsiaTheme="majorEastAsia" w:cstheme="majorEastAsia"/>
                <w:b w:val="0"/>
                <w:bCs w:val="0"/>
                <w:kern w:val="0"/>
                <w:sz w:val="18"/>
                <w:szCs w:val="18"/>
              </w:rPr>
            </w:pPr>
            <w:r>
              <w:rPr>
                <w:rFonts w:hint="eastAsia" w:asciiTheme="majorEastAsia" w:hAnsiTheme="majorEastAsia" w:eastAsiaTheme="majorEastAsia" w:cstheme="majorEastAsia"/>
                <w:b w:val="0"/>
                <w:bCs w:val="0"/>
                <w:kern w:val="0"/>
                <w:sz w:val="18"/>
                <w:szCs w:val="18"/>
              </w:rPr>
              <w:t>差异系数</w:t>
            </w:r>
          </w:p>
        </w:tc>
        <w:tc>
          <w:tcPr>
            <w:tcW w:w="1465" w:type="dxa"/>
            <w:tcBorders>
              <w:top w:val="nil"/>
              <w:left w:val="nil"/>
              <w:bottom w:val="single" w:color="auto" w:sz="4" w:space="0"/>
              <w:right w:val="single" w:color="auto" w:sz="4" w:space="0"/>
            </w:tcBorders>
            <w:noWrap w:val="0"/>
            <w:vAlign w:val="center"/>
          </w:tcPr>
          <w:p w14:paraId="3EEBF072">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199</w:t>
            </w:r>
          </w:p>
        </w:tc>
        <w:tc>
          <w:tcPr>
            <w:tcW w:w="1465" w:type="dxa"/>
            <w:tcBorders>
              <w:top w:val="nil"/>
              <w:left w:val="nil"/>
              <w:bottom w:val="single" w:color="auto" w:sz="4" w:space="0"/>
              <w:right w:val="single" w:color="auto" w:sz="4" w:space="0"/>
            </w:tcBorders>
            <w:noWrap w:val="0"/>
            <w:vAlign w:val="center"/>
          </w:tcPr>
          <w:p w14:paraId="3309F79B">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372</w:t>
            </w:r>
          </w:p>
        </w:tc>
        <w:tc>
          <w:tcPr>
            <w:tcW w:w="1465" w:type="dxa"/>
            <w:tcBorders>
              <w:top w:val="nil"/>
              <w:left w:val="nil"/>
              <w:bottom w:val="single" w:color="auto" w:sz="4" w:space="0"/>
              <w:right w:val="single" w:color="auto" w:sz="4" w:space="0"/>
            </w:tcBorders>
            <w:noWrap w:val="0"/>
            <w:vAlign w:val="center"/>
          </w:tcPr>
          <w:p w14:paraId="3BB43028">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366</w:t>
            </w:r>
          </w:p>
        </w:tc>
        <w:tc>
          <w:tcPr>
            <w:tcW w:w="1465" w:type="dxa"/>
            <w:tcBorders>
              <w:top w:val="nil"/>
              <w:left w:val="nil"/>
              <w:bottom w:val="single" w:color="auto" w:sz="4" w:space="0"/>
              <w:right w:val="single" w:color="auto" w:sz="4" w:space="0"/>
            </w:tcBorders>
            <w:noWrap w:val="0"/>
            <w:vAlign w:val="center"/>
          </w:tcPr>
          <w:p w14:paraId="685BFE88">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475</w:t>
            </w:r>
          </w:p>
        </w:tc>
        <w:tc>
          <w:tcPr>
            <w:tcW w:w="1465" w:type="dxa"/>
            <w:tcBorders>
              <w:top w:val="nil"/>
              <w:left w:val="nil"/>
              <w:bottom w:val="single" w:color="auto" w:sz="4" w:space="0"/>
              <w:right w:val="single" w:color="auto" w:sz="4" w:space="0"/>
            </w:tcBorders>
            <w:noWrap w:val="0"/>
            <w:vAlign w:val="center"/>
          </w:tcPr>
          <w:p w14:paraId="44B335B3">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315</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65" w:type="dxa"/>
            <w:tcBorders>
              <w:top w:val="nil"/>
              <w:left w:val="nil"/>
              <w:bottom w:val="single" w:color="auto" w:sz="4" w:space="0"/>
              <w:right w:val="single" w:color="auto" w:sz="4" w:space="0"/>
            </w:tcBorders>
            <w:noWrap w:val="0"/>
            <w:vAlign w:val="center"/>
          </w:tcPr>
          <w:p w14:paraId="2A075E73">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310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65" w:type="dxa"/>
            <w:tcBorders>
              <w:top w:val="single" w:color="auto" w:sz="4" w:space="0"/>
              <w:left w:val="nil"/>
              <w:bottom w:val="single" w:color="auto" w:sz="4" w:space="0"/>
              <w:right w:val="single" w:color="auto" w:sz="4" w:space="0"/>
            </w:tcBorders>
            <w:noWrap w:val="0"/>
            <w:vAlign w:val="center"/>
          </w:tcPr>
          <w:p w14:paraId="6319C604">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230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70" w:type="dxa"/>
            <w:tcBorders>
              <w:top w:val="nil"/>
              <w:left w:val="nil"/>
              <w:bottom w:val="single" w:color="auto" w:sz="4" w:space="0"/>
              <w:right w:val="single" w:color="auto" w:sz="4" w:space="0"/>
            </w:tcBorders>
            <w:noWrap w:val="0"/>
            <w:vAlign w:val="center"/>
          </w:tcPr>
          <w:p w14:paraId="76BF257B">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323</w:t>
            </w:r>
          </w:p>
        </w:tc>
      </w:tr>
      <w:tr w14:paraId="3E6EEEE0">
        <w:tblPrEx>
          <w:tblCellMar>
            <w:top w:w="0" w:type="dxa"/>
            <w:left w:w="108" w:type="dxa"/>
            <w:bottom w:w="0" w:type="dxa"/>
            <w:right w:w="108" w:type="dxa"/>
          </w:tblCellMar>
        </w:tblPrEx>
        <w:trPr>
          <w:trHeight w:val="838" w:hRule="atLeast"/>
        </w:trPr>
        <w:tc>
          <w:tcPr>
            <w:tcW w:w="1156" w:type="dxa"/>
            <w:vMerge w:val="restart"/>
            <w:tcBorders>
              <w:top w:val="nil"/>
              <w:left w:val="single" w:color="auto" w:sz="4" w:space="0"/>
              <w:bottom w:val="single" w:color="auto" w:sz="4" w:space="0"/>
              <w:right w:val="single" w:color="auto" w:sz="4" w:space="0"/>
            </w:tcBorders>
            <w:noWrap w:val="0"/>
            <w:vAlign w:val="center"/>
          </w:tcPr>
          <w:p w14:paraId="4086B1A9">
            <w:pPr>
              <w:widowControl/>
              <w:jc w:val="center"/>
              <w:rPr>
                <w:rFonts w:hint="eastAsia" w:asciiTheme="majorEastAsia" w:hAnsiTheme="majorEastAsia" w:eastAsiaTheme="majorEastAsia" w:cstheme="majorEastAsia"/>
                <w:b w:val="0"/>
                <w:bCs w:val="0"/>
                <w:kern w:val="0"/>
                <w:sz w:val="18"/>
                <w:szCs w:val="18"/>
              </w:rPr>
            </w:pPr>
            <w:r>
              <w:rPr>
                <w:rFonts w:hint="eastAsia" w:asciiTheme="majorEastAsia" w:hAnsiTheme="majorEastAsia" w:eastAsiaTheme="majorEastAsia" w:cstheme="majorEastAsia"/>
                <w:b w:val="0"/>
                <w:bCs w:val="0"/>
                <w:kern w:val="0"/>
                <w:sz w:val="18"/>
                <w:szCs w:val="18"/>
              </w:rPr>
              <w:t>初中</w:t>
            </w:r>
          </w:p>
        </w:tc>
        <w:tc>
          <w:tcPr>
            <w:tcW w:w="1452" w:type="dxa"/>
            <w:tcBorders>
              <w:top w:val="nil"/>
              <w:left w:val="nil"/>
              <w:bottom w:val="single" w:color="auto" w:sz="4" w:space="0"/>
              <w:right w:val="single" w:color="auto" w:sz="4" w:space="0"/>
            </w:tcBorders>
            <w:noWrap w:val="0"/>
            <w:vAlign w:val="center"/>
          </w:tcPr>
          <w:p w14:paraId="5EB25FDF">
            <w:pPr>
              <w:widowControl/>
              <w:jc w:val="center"/>
              <w:rPr>
                <w:rFonts w:hint="eastAsia" w:asciiTheme="majorEastAsia" w:hAnsiTheme="majorEastAsia" w:eastAsiaTheme="majorEastAsia" w:cstheme="majorEastAsia"/>
                <w:b w:val="0"/>
                <w:bCs w:val="0"/>
                <w:kern w:val="0"/>
                <w:sz w:val="18"/>
                <w:szCs w:val="18"/>
              </w:rPr>
            </w:pPr>
            <w:r>
              <w:rPr>
                <w:rFonts w:hint="eastAsia" w:asciiTheme="majorEastAsia" w:hAnsiTheme="majorEastAsia" w:eastAsiaTheme="majorEastAsia" w:cstheme="majorEastAsia"/>
                <w:b w:val="0"/>
                <w:bCs w:val="0"/>
                <w:kern w:val="0"/>
                <w:sz w:val="18"/>
                <w:szCs w:val="18"/>
              </w:rPr>
              <w:t>全县平均值</w:t>
            </w:r>
          </w:p>
        </w:tc>
        <w:tc>
          <w:tcPr>
            <w:tcW w:w="1465" w:type="dxa"/>
            <w:tcBorders>
              <w:top w:val="nil"/>
              <w:left w:val="nil"/>
              <w:bottom w:val="single" w:color="auto" w:sz="4" w:space="0"/>
              <w:right w:val="single" w:color="auto" w:sz="4" w:space="0"/>
            </w:tcBorders>
            <w:noWrap w:val="0"/>
            <w:vAlign w:val="center"/>
          </w:tcPr>
          <w:p w14:paraId="37FDD7E2">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7</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54</w:t>
            </w:r>
          </w:p>
        </w:tc>
        <w:tc>
          <w:tcPr>
            <w:tcW w:w="1465" w:type="dxa"/>
            <w:tcBorders>
              <w:top w:val="nil"/>
              <w:left w:val="nil"/>
              <w:bottom w:val="single" w:color="auto" w:sz="4" w:space="0"/>
              <w:right w:val="single" w:color="auto" w:sz="4" w:space="0"/>
            </w:tcBorders>
            <w:noWrap w:val="0"/>
            <w:vAlign w:val="center"/>
          </w:tcPr>
          <w:p w14:paraId="21C2E1AB">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1</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61</w:t>
            </w:r>
          </w:p>
        </w:tc>
        <w:tc>
          <w:tcPr>
            <w:tcW w:w="1465" w:type="dxa"/>
            <w:tcBorders>
              <w:top w:val="nil"/>
              <w:left w:val="nil"/>
              <w:bottom w:val="single" w:color="auto" w:sz="4" w:space="0"/>
              <w:right w:val="single" w:color="auto" w:sz="4" w:space="0"/>
            </w:tcBorders>
            <w:noWrap w:val="0"/>
            <w:vAlign w:val="center"/>
          </w:tcPr>
          <w:p w14:paraId="62C9C493">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1</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07</w:t>
            </w:r>
          </w:p>
        </w:tc>
        <w:tc>
          <w:tcPr>
            <w:tcW w:w="1465" w:type="dxa"/>
            <w:tcBorders>
              <w:top w:val="nil"/>
              <w:left w:val="nil"/>
              <w:bottom w:val="single" w:color="auto" w:sz="4" w:space="0"/>
              <w:right w:val="single" w:color="auto" w:sz="4" w:space="0"/>
            </w:tcBorders>
            <w:noWrap w:val="0"/>
            <w:vAlign w:val="center"/>
          </w:tcPr>
          <w:p w14:paraId="08FBA8F4">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7</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38</w:t>
            </w:r>
          </w:p>
        </w:tc>
        <w:tc>
          <w:tcPr>
            <w:tcW w:w="1465" w:type="dxa"/>
            <w:tcBorders>
              <w:top w:val="nil"/>
              <w:left w:val="nil"/>
              <w:bottom w:val="single" w:color="auto" w:sz="4" w:space="0"/>
              <w:right w:val="single" w:color="auto" w:sz="4" w:space="0"/>
            </w:tcBorders>
            <w:noWrap w:val="0"/>
            <w:vAlign w:val="center"/>
          </w:tcPr>
          <w:p w14:paraId="5437D52D">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eastAsia="zh-CN"/>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12</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42</w:t>
            </w:r>
          </w:p>
        </w:tc>
        <w:tc>
          <w:tcPr>
            <w:tcW w:w="1465" w:type="dxa"/>
            <w:tcBorders>
              <w:top w:val="nil"/>
              <w:left w:val="nil"/>
              <w:bottom w:val="single" w:color="auto" w:sz="4" w:space="0"/>
              <w:right w:val="single" w:color="auto" w:sz="4" w:space="0"/>
            </w:tcBorders>
            <w:noWrap w:val="0"/>
            <w:vAlign w:val="center"/>
          </w:tcPr>
          <w:p w14:paraId="5E621E76">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3433</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52</w:t>
            </w:r>
          </w:p>
        </w:tc>
        <w:tc>
          <w:tcPr>
            <w:tcW w:w="1465" w:type="dxa"/>
            <w:tcBorders>
              <w:top w:val="single" w:color="auto" w:sz="4" w:space="0"/>
              <w:left w:val="nil"/>
              <w:bottom w:val="single" w:color="auto" w:sz="4" w:space="0"/>
              <w:right w:val="single" w:color="auto" w:sz="4" w:space="0"/>
            </w:tcBorders>
            <w:noWrap w:val="0"/>
            <w:vAlign w:val="center"/>
          </w:tcPr>
          <w:p w14:paraId="28DE8E1D">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3</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28</w:t>
            </w:r>
          </w:p>
        </w:tc>
        <w:tc>
          <w:tcPr>
            <w:tcW w:w="1470" w:type="dxa"/>
            <w:tcBorders>
              <w:top w:val="nil"/>
              <w:left w:val="nil"/>
              <w:bottom w:val="single" w:color="auto" w:sz="4" w:space="0"/>
              <w:right w:val="single" w:color="auto" w:sz="4" w:space="0"/>
            </w:tcBorders>
            <w:noWrap w:val="0"/>
            <w:vAlign w:val="center"/>
          </w:tcPr>
          <w:p w14:paraId="6D828CA1">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rPr>
            </w:pP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p>
        </w:tc>
      </w:tr>
      <w:tr w14:paraId="5D3CD9EF">
        <w:tblPrEx>
          <w:tblCellMar>
            <w:top w:w="0" w:type="dxa"/>
            <w:left w:w="108" w:type="dxa"/>
            <w:bottom w:w="0" w:type="dxa"/>
            <w:right w:w="108" w:type="dxa"/>
          </w:tblCellMar>
        </w:tblPrEx>
        <w:trPr>
          <w:trHeight w:val="894" w:hRule="atLeast"/>
        </w:trPr>
        <w:tc>
          <w:tcPr>
            <w:tcW w:w="1156" w:type="dxa"/>
            <w:vMerge w:val="continue"/>
            <w:tcBorders>
              <w:top w:val="nil"/>
              <w:left w:val="single" w:color="auto" w:sz="4" w:space="0"/>
              <w:bottom w:val="single" w:color="auto" w:sz="4" w:space="0"/>
              <w:right w:val="single" w:color="auto" w:sz="4" w:space="0"/>
            </w:tcBorders>
            <w:noWrap w:val="0"/>
            <w:vAlign w:val="center"/>
          </w:tcPr>
          <w:p w14:paraId="4275046D">
            <w:pPr>
              <w:widowControl/>
              <w:jc w:val="left"/>
              <w:rPr>
                <w:rFonts w:hint="eastAsia" w:asciiTheme="majorEastAsia" w:hAnsiTheme="majorEastAsia" w:eastAsiaTheme="majorEastAsia" w:cstheme="majorEastAsia"/>
                <w:b w:val="0"/>
                <w:bCs w:val="0"/>
                <w:kern w:val="0"/>
                <w:sz w:val="18"/>
                <w:szCs w:val="18"/>
              </w:rPr>
            </w:pPr>
          </w:p>
        </w:tc>
        <w:tc>
          <w:tcPr>
            <w:tcW w:w="1452" w:type="dxa"/>
            <w:tcBorders>
              <w:top w:val="nil"/>
              <w:left w:val="nil"/>
              <w:bottom w:val="single" w:color="auto" w:sz="4" w:space="0"/>
              <w:right w:val="single" w:color="auto" w:sz="4" w:space="0"/>
            </w:tcBorders>
            <w:noWrap w:val="0"/>
            <w:vAlign w:val="center"/>
          </w:tcPr>
          <w:p w14:paraId="35D19DA1">
            <w:pPr>
              <w:widowControl/>
              <w:jc w:val="center"/>
              <w:rPr>
                <w:rFonts w:hint="eastAsia" w:asciiTheme="majorEastAsia" w:hAnsiTheme="majorEastAsia" w:eastAsiaTheme="majorEastAsia" w:cstheme="majorEastAsia"/>
                <w:b w:val="0"/>
                <w:bCs w:val="0"/>
                <w:kern w:val="0"/>
                <w:sz w:val="18"/>
                <w:szCs w:val="18"/>
              </w:rPr>
            </w:pPr>
            <w:r>
              <w:rPr>
                <w:rFonts w:hint="eastAsia" w:asciiTheme="majorEastAsia" w:hAnsiTheme="majorEastAsia" w:eastAsiaTheme="majorEastAsia" w:cstheme="majorEastAsia"/>
                <w:b w:val="0"/>
                <w:bCs w:val="0"/>
                <w:kern w:val="0"/>
                <w:sz w:val="18"/>
                <w:szCs w:val="18"/>
              </w:rPr>
              <w:t>差异系数</w:t>
            </w:r>
          </w:p>
        </w:tc>
        <w:tc>
          <w:tcPr>
            <w:tcW w:w="1465" w:type="dxa"/>
            <w:tcBorders>
              <w:top w:val="nil"/>
              <w:left w:val="nil"/>
              <w:bottom w:val="single" w:color="auto" w:sz="4" w:space="0"/>
              <w:right w:val="single" w:color="auto" w:sz="4" w:space="0"/>
            </w:tcBorders>
            <w:noWrap w:val="0"/>
            <w:vAlign w:val="center"/>
          </w:tcPr>
          <w:p w14:paraId="25A35846">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127</w:t>
            </w:r>
          </w:p>
        </w:tc>
        <w:tc>
          <w:tcPr>
            <w:tcW w:w="1465" w:type="dxa"/>
            <w:tcBorders>
              <w:top w:val="nil"/>
              <w:left w:val="nil"/>
              <w:bottom w:val="single" w:color="auto" w:sz="4" w:space="0"/>
              <w:right w:val="single" w:color="auto" w:sz="4" w:space="0"/>
            </w:tcBorders>
            <w:noWrap w:val="0"/>
            <w:vAlign w:val="center"/>
          </w:tcPr>
          <w:p w14:paraId="6C06008D">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334</w:t>
            </w:r>
          </w:p>
        </w:tc>
        <w:tc>
          <w:tcPr>
            <w:tcW w:w="1465" w:type="dxa"/>
            <w:tcBorders>
              <w:top w:val="nil"/>
              <w:left w:val="nil"/>
              <w:bottom w:val="single" w:color="auto" w:sz="4" w:space="0"/>
              <w:right w:val="single" w:color="auto" w:sz="4" w:space="0"/>
            </w:tcBorders>
            <w:noWrap w:val="0"/>
            <w:vAlign w:val="center"/>
          </w:tcPr>
          <w:p w14:paraId="0D34317A">
            <w:pPr>
              <w:keepNext w:val="0"/>
              <w:keepLines w:val="0"/>
              <w:widowControl/>
              <w:suppressLineNumbers w:val="0"/>
              <w:jc w:val="center"/>
              <w:textAlignment w:val="center"/>
              <w:rPr>
                <w:rFonts w:hint="eastAsia" w:asciiTheme="majorEastAsia" w:hAnsiTheme="majorEastAsia" w:eastAsiaTheme="majorEastAsia" w:cstheme="majorEastAsia"/>
                <w:b w:val="0"/>
                <w:bCs w:val="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292</w:t>
            </w:r>
          </w:p>
        </w:tc>
        <w:tc>
          <w:tcPr>
            <w:tcW w:w="1465" w:type="dxa"/>
            <w:tcBorders>
              <w:top w:val="nil"/>
              <w:left w:val="nil"/>
              <w:bottom w:val="single" w:color="auto" w:sz="4" w:space="0"/>
              <w:right w:val="single" w:color="auto" w:sz="4" w:space="0"/>
            </w:tcBorders>
            <w:noWrap w:val="0"/>
            <w:vAlign w:val="center"/>
          </w:tcPr>
          <w:p w14:paraId="3A7F2CB1">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446</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65" w:type="dxa"/>
            <w:tcBorders>
              <w:top w:val="nil"/>
              <w:left w:val="nil"/>
              <w:bottom w:val="single" w:color="auto" w:sz="4" w:space="0"/>
              <w:right w:val="single" w:color="auto" w:sz="4" w:space="0"/>
            </w:tcBorders>
            <w:noWrap w:val="0"/>
            <w:vAlign w:val="center"/>
          </w:tcPr>
          <w:p w14:paraId="02F8D8DF">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340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65" w:type="dxa"/>
            <w:tcBorders>
              <w:top w:val="nil"/>
              <w:left w:val="nil"/>
              <w:bottom w:val="single" w:color="auto" w:sz="4" w:space="0"/>
              <w:right w:val="single" w:color="auto" w:sz="4" w:space="0"/>
            </w:tcBorders>
            <w:noWrap w:val="0"/>
            <w:vAlign w:val="center"/>
          </w:tcPr>
          <w:p w14:paraId="5A96D92B">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370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65" w:type="dxa"/>
            <w:tcBorders>
              <w:top w:val="single" w:color="auto" w:sz="4" w:space="0"/>
              <w:left w:val="nil"/>
              <w:bottom w:val="single" w:color="auto" w:sz="4" w:space="0"/>
              <w:right w:val="single" w:color="auto" w:sz="4" w:space="0"/>
            </w:tcBorders>
            <w:noWrap w:val="0"/>
            <w:vAlign w:val="center"/>
          </w:tcPr>
          <w:p w14:paraId="34B1DAD0">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lang w:val="en-US"/>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340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 xml:space="preserve"> </w:t>
            </w:r>
          </w:p>
        </w:tc>
        <w:tc>
          <w:tcPr>
            <w:tcW w:w="1470" w:type="dxa"/>
            <w:tcBorders>
              <w:top w:val="nil"/>
              <w:left w:val="nil"/>
              <w:bottom w:val="single" w:color="auto" w:sz="4" w:space="0"/>
              <w:right w:val="single" w:color="auto" w:sz="4" w:space="0"/>
            </w:tcBorders>
            <w:noWrap w:val="0"/>
            <w:vAlign w:val="center"/>
          </w:tcPr>
          <w:p w14:paraId="50999474">
            <w:pPr>
              <w:keepNext w:val="0"/>
              <w:keepLines w:val="0"/>
              <w:widowControl/>
              <w:suppressLineNumbers w:val="0"/>
              <w:jc w:val="center"/>
              <w:textAlignment w:val="center"/>
              <w:rPr>
                <w:rFonts w:hint="eastAsia" w:asciiTheme="majorEastAsia" w:hAnsiTheme="majorEastAsia" w:eastAsiaTheme="majorEastAsia" w:cstheme="majorEastAsia"/>
                <w:b w:val="0"/>
                <w:bCs w:val="0"/>
                <w:color w:val="000000"/>
                <w:kern w:val="0"/>
                <w:sz w:val="18"/>
                <w:szCs w:val="18"/>
              </w:rPr>
            </w:pPr>
            <w:r>
              <w:rPr>
                <w:rFonts w:hint="eastAsia" w:ascii="Times New Roman" w:hAnsi="Times New Roman" w:eastAsiaTheme="majorEastAsia" w:cstheme="majorEastAsia"/>
                <w:b w:val="0"/>
                <w:bCs w:val="0"/>
                <w:i w:val="0"/>
                <w:iCs w:val="0"/>
                <w:color w:val="000000"/>
                <w:kern w:val="0"/>
                <w:sz w:val="18"/>
                <w:szCs w:val="18"/>
                <w:u w:val="none"/>
                <w:lang w:val="en-US" w:eastAsia="zh-CN" w:bidi="ar"/>
              </w:rPr>
              <w:t>0</w:t>
            </w:r>
            <w:r>
              <w:rPr>
                <w:rFonts w:hint="eastAsia" w:asciiTheme="majorEastAsia" w:hAnsiTheme="majorEastAsia" w:eastAsiaTheme="majorEastAsia" w:cstheme="majorEastAsia"/>
                <w:b w:val="0"/>
                <w:bCs w:val="0"/>
                <w:i w:val="0"/>
                <w:iCs w:val="0"/>
                <w:color w:val="000000"/>
                <w:kern w:val="0"/>
                <w:sz w:val="18"/>
                <w:szCs w:val="18"/>
                <w:u w:val="none"/>
                <w:lang w:val="en-US" w:eastAsia="zh-CN" w:bidi="ar"/>
              </w:rPr>
              <w:t>.</w:t>
            </w:r>
            <w:r>
              <w:rPr>
                <w:rFonts w:hint="eastAsia" w:ascii="Times New Roman" w:hAnsi="Times New Roman" w:eastAsiaTheme="majorEastAsia" w:cstheme="majorEastAsia"/>
                <w:b w:val="0"/>
                <w:bCs w:val="0"/>
                <w:i w:val="0"/>
                <w:iCs w:val="0"/>
                <w:color w:val="000000"/>
                <w:kern w:val="0"/>
                <w:sz w:val="18"/>
                <w:szCs w:val="18"/>
                <w:u w:val="none"/>
                <w:lang w:val="en-US" w:eastAsia="zh-CN" w:bidi="ar"/>
              </w:rPr>
              <w:t>321</w:t>
            </w:r>
          </w:p>
        </w:tc>
      </w:tr>
    </w:tbl>
    <w:p w14:paraId="662C0645">
      <w:pP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注：</w:t>
      </w:r>
      <w:r>
        <w:rPr>
          <w:rFonts w:hint="eastAsia" w:ascii="仿宋_GB2312" w:hAnsi="仿宋_GB2312" w:eastAsia="仿宋_GB2312" w:cs="仿宋_GB2312"/>
          <w:b/>
          <w:bCs/>
          <w:kern w:val="0"/>
          <w:sz w:val="18"/>
          <w:szCs w:val="18"/>
        </w:rPr>
        <w:t xml:space="preserve"> </w:t>
      </w:r>
      <w:r>
        <w:rPr>
          <w:rFonts w:hint="eastAsia" w:ascii="仿宋_GB2312" w:hAnsi="仿宋_GB2312" w:eastAsia="仿宋_GB2312" w:cs="仿宋_GB2312"/>
          <w:kern w:val="0"/>
          <w:sz w:val="18"/>
          <w:szCs w:val="18"/>
        </w:rPr>
        <w:t>全县平均值保留两位小数，差异系数保留三位小数。</w:t>
      </w:r>
    </w:p>
    <w:p w14:paraId="7C468684">
      <w:pPr>
        <w:pStyle w:val="2"/>
        <w:rPr>
          <w:rFonts w:hint="eastAsia" w:ascii="仿宋_GB2312" w:hAnsi="仿宋_GB2312" w:eastAsia="仿宋_GB2312" w:cs="仿宋_GB2312"/>
          <w:kern w:val="0"/>
          <w:sz w:val="18"/>
          <w:szCs w:val="18"/>
        </w:rPr>
      </w:pPr>
    </w:p>
    <w:p w14:paraId="4AD12A34">
      <w:pPr>
        <w:rPr>
          <w:rFonts w:hint="eastAsia" w:ascii="仿宋_GB2312" w:hAnsi="仿宋_GB2312" w:eastAsia="仿宋_GB2312" w:cs="仿宋_GB2312"/>
          <w:kern w:val="0"/>
          <w:sz w:val="18"/>
          <w:szCs w:val="18"/>
        </w:rPr>
      </w:pPr>
    </w:p>
    <w:p w14:paraId="4E98A258">
      <w:pPr>
        <w:pStyle w:val="2"/>
        <w:rPr>
          <w:rFonts w:hint="eastAsia"/>
        </w:rPr>
      </w:pPr>
    </w:p>
    <w:p w14:paraId="29CEFA4E">
      <w:pPr>
        <w:rPr>
          <w:rFonts w:hint="eastAsia" w:ascii="仿宋_GB2312" w:hAnsi="仿宋_GB2312" w:eastAsia="仿宋_GB2312" w:cs="仿宋_GB2312"/>
        </w:rPr>
      </w:pPr>
    </w:p>
    <w:tbl>
      <w:tblPr>
        <w:tblStyle w:val="7"/>
        <w:tblW w:w="0" w:type="auto"/>
        <w:tblInd w:w="0" w:type="dxa"/>
        <w:tblLayout w:type="fixed"/>
        <w:tblCellMar>
          <w:top w:w="0" w:type="dxa"/>
          <w:left w:w="108" w:type="dxa"/>
          <w:bottom w:w="0" w:type="dxa"/>
          <w:right w:w="108" w:type="dxa"/>
        </w:tblCellMar>
      </w:tblPr>
      <w:tblGrid>
        <w:gridCol w:w="5617"/>
        <w:gridCol w:w="7532"/>
        <w:gridCol w:w="1297"/>
      </w:tblGrid>
      <w:tr w14:paraId="5225ECA8">
        <w:tblPrEx>
          <w:tblCellMar>
            <w:top w:w="0" w:type="dxa"/>
            <w:left w:w="108" w:type="dxa"/>
            <w:bottom w:w="0" w:type="dxa"/>
            <w:right w:w="108" w:type="dxa"/>
          </w:tblCellMar>
        </w:tblPrEx>
        <w:trPr>
          <w:trHeight w:val="936" w:hRule="atLeast"/>
        </w:trPr>
        <w:tc>
          <w:tcPr>
            <w:tcW w:w="14446" w:type="dxa"/>
            <w:gridSpan w:val="3"/>
            <w:tcBorders>
              <w:bottom w:val="single" w:color="auto" w:sz="4" w:space="0"/>
            </w:tcBorders>
            <w:noWrap w:val="0"/>
            <w:vAlign w:val="center"/>
          </w:tcPr>
          <w:p w14:paraId="03B00519">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表Ⅳ 政府保障程度评估指标</w:t>
            </w:r>
          </w:p>
        </w:tc>
      </w:tr>
      <w:tr w14:paraId="26C707EA">
        <w:tblPrEx>
          <w:tblCellMar>
            <w:top w:w="0" w:type="dxa"/>
            <w:left w:w="108" w:type="dxa"/>
            <w:bottom w:w="0" w:type="dxa"/>
            <w:right w:w="108" w:type="dxa"/>
          </w:tblCellMar>
        </w:tblPrEx>
        <w:trPr>
          <w:trHeight w:val="350" w:hRule="atLeast"/>
        </w:trPr>
        <w:tc>
          <w:tcPr>
            <w:tcW w:w="5617" w:type="dxa"/>
            <w:tcBorders>
              <w:top w:val="single" w:color="auto" w:sz="4" w:space="0"/>
              <w:left w:val="single" w:color="auto" w:sz="4" w:space="0"/>
              <w:bottom w:val="single" w:color="auto" w:sz="4" w:space="0"/>
              <w:right w:val="single" w:color="auto" w:sz="4" w:space="0"/>
            </w:tcBorders>
            <w:noWrap w:val="0"/>
            <w:vAlign w:val="center"/>
          </w:tcPr>
          <w:p w14:paraId="1C6600E6">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指标名称</w:t>
            </w:r>
          </w:p>
        </w:tc>
        <w:tc>
          <w:tcPr>
            <w:tcW w:w="7532" w:type="dxa"/>
            <w:tcBorders>
              <w:top w:val="single" w:color="auto" w:sz="4" w:space="0"/>
              <w:left w:val="single" w:color="auto" w:sz="4" w:space="0"/>
              <w:bottom w:val="single" w:color="auto" w:sz="4" w:space="0"/>
              <w:right w:val="single" w:color="auto" w:sz="4" w:space="0"/>
            </w:tcBorders>
            <w:noWrap w:val="0"/>
            <w:vAlign w:val="center"/>
          </w:tcPr>
          <w:p w14:paraId="563C0C42">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指标值或简要结论</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184F3CD6">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是否达标</w:t>
            </w:r>
          </w:p>
        </w:tc>
      </w:tr>
      <w:tr w14:paraId="4E7DFA68">
        <w:tblPrEx>
          <w:tblCellMar>
            <w:top w:w="0" w:type="dxa"/>
            <w:left w:w="108" w:type="dxa"/>
            <w:bottom w:w="0" w:type="dxa"/>
            <w:right w:w="108" w:type="dxa"/>
          </w:tblCellMar>
        </w:tblPrEx>
        <w:trPr>
          <w:trHeight w:val="1259" w:hRule="atLeast"/>
        </w:trPr>
        <w:tc>
          <w:tcPr>
            <w:tcW w:w="5617" w:type="dxa"/>
            <w:tcBorders>
              <w:top w:val="single" w:color="000000" w:sz="4" w:space="0"/>
              <w:left w:val="single" w:color="000000" w:sz="4" w:space="0"/>
              <w:bottom w:val="single" w:color="auto" w:sz="4" w:space="0"/>
              <w:right w:val="single" w:color="000000" w:sz="4" w:space="0"/>
            </w:tcBorders>
            <w:noWrap w:val="0"/>
            <w:vAlign w:val="center"/>
          </w:tcPr>
          <w:p w14:paraId="1A95B35C">
            <w:pPr>
              <w:keepNext w:val="0"/>
              <w:keepLines w:val="0"/>
              <w:pageBreakBefore w:val="0"/>
              <w:widowControl/>
              <w:kinsoku/>
              <w:wordWrap/>
              <w:overflowPunct/>
              <w:topLinePunct w:val="0"/>
              <w:autoSpaceDE/>
              <w:autoSpaceDN/>
              <w:bidi w:val="0"/>
              <w:adjustRightInd/>
              <w:snapToGrid/>
              <w:spacing w:line="280" w:lineRule="exact"/>
              <w:jc w:val="lef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color w:val="000000"/>
                <w:kern w:val="0"/>
                <w:sz w:val="18"/>
                <w:szCs w:val="18"/>
              </w:rPr>
              <w:t>县域内义务教育学校规划布局合理，符合国家规定要求</w:t>
            </w:r>
          </w:p>
        </w:tc>
        <w:tc>
          <w:tcPr>
            <w:tcW w:w="7532" w:type="dxa"/>
            <w:tcBorders>
              <w:top w:val="single" w:color="000000" w:sz="4" w:space="0"/>
              <w:bottom w:val="single" w:color="auto" w:sz="4" w:space="0"/>
              <w:right w:val="single" w:color="000000" w:sz="4" w:space="0"/>
            </w:tcBorders>
            <w:noWrap w:val="0"/>
            <w:vAlign w:val="center"/>
          </w:tcPr>
          <w:p w14:paraId="335B76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iCs w:val="0"/>
                <w:color w:val="000000"/>
                <w:kern w:val="0"/>
                <w:sz w:val="18"/>
                <w:szCs w:val="18"/>
                <w:u w:val="none"/>
                <w:lang w:val="en-US" w:eastAsia="zh-CN" w:bidi="ar"/>
              </w:rPr>
              <w:t>我区积极推进中小学规划建设，科学优化教育资源配置，大力引进基础教育优质资源，多渠道增加学位供给，缩小城乡教育发展差距，促进本区义务教育优质均衡发展，满足人民群众就近入学需求。达到“县域内义务教育学校规划布局合理，符合国家规定要求”的指标要求。</w:t>
            </w:r>
          </w:p>
        </w:tc>
        <w:tc>
          <w:tcPr>
            <w:tcW w:w="1297" w:type="dxa"/>
            <w:tcBorders>
              <w:top w:val="single" w:color="000000" w:sz="4" w:space="0"/>
              <w:bottom w:val="single" w:color="auto" w:sz="4" w:space="0"/>
              <w:right w:val="single" w:color="000000" w:sz="4" w:space="0"/>
            </w:tcBorders>
            <w:noWrap w:val="0"/>
            <w:vAlign w:val="center"/>
          </w:tcPr>
          <w:p w14:paraId="269F3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3BB65065">
        <w:tblPrEx>
          <w:tblCellMar>
            <w:top w:w="0" w:type="dxa"/>
            <w:left w:w="108" w:type="dxa"/>
            <w:bottom w:w="0" w:type="dxa"/>
            <w:right w:w="108" w:type="dxa"/>
          </w:tblCellMar>
        </w:tblPrEx>
        <w:trPr>
          <w:trHeight w:val="1721" w:hRule="atLeast"/>
        </w:trPr>
        <w:tc>
          <w:tcPr>
            <w:tcW w:w="5617" w:type="dxa"/>
            <w:tcBorders>
              <w:left w:val="single" w:color="000000" w:sz="4" w:space="0"/>
              <w:bottom w:val="single" w:color="000000" w:sz="4" w:space="0"/>
              <w:right w:val="single" w:color="000000" w:sz="4" w:space="0"/>
            </w:tcBorders>
            <w:noWrap w:val="0"/>
            <w:vAlign w:val="center"/>
          </w:tcPr>
          <w:p w14:paraId="19AA0885">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2</w:t>
            </w:r>
            <w:r>
              <w:rPr>
                <w:rFonts w:hint="eastAsia" w:asciiTheme="minorEastAsia" w:hAnsiTheme="minorEastAsia" w:eastAsiaTheme="minorEastAsia" w:cstheme="minorEastAsia"/>
                <w:color w:val="000000"/>
                <w:kern w:val="0"/>
                <w:sz w:val="18"/>
                <w:szCs w:val="18"/>
              </w:rPr>
              <w:t>. 县域内城乡义务教育学校建设标准统一、教师编制标准统一、生均公用经费基准定额统一、基本装备配置标准统一</w:t>
            </w:r>
          </w:p>
        </w:tc>
        <w:tc>
          <w:tcPr>
            <w:tcW w:w="7532" w:type="dxa"/>
            <w:tcBorders>
              <w:bottom w:val="single" w:color="000000" w:sz="4" w:space="0"/>
              <w:right w:val="single" w:color="000000" w:sz="4" w:space="0"/>
            </w:tcBorders>
            <w:noWrap w:val="0"/>
            <w:vAlign w:val="center"/>
          </w:tcPr>
          <w:p w14:paraId="40235D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我区认真落实办学标准“四个统一”：一是全区义务教育学校统一按省义务教育标准化学校的标准建设；二是统一按省中小学教师配备标准配备教师；三是统一按《增城区各类学校生均公用经费拨款制度》小学生均公用经费拨款标准每生每年</w:t>
            </w:r>
            <w:r>
              <w:rPr>
                <w:rFonts w:hint="eastAsia" w:ascii="Times New Roman" w:hAnsi="Times New Roman" w:eastAsiaTheme="minorEastAsia" w:cstheme="minorEastAsia"/>
                <w:i w:val="0"/>
                <w:iCs w:val="0"/>
                <w:color w:val="000000"/>
                <w:kern w:val="0"/>
                <w:sz w:val="18"/>
                <w:szCs w:val="18"/>
                <w:u w:val="none"/>
                <w:lang w:val="en-US" w:eastAsia="zh-CN" w:bidi="ar"/>
              </w:rPr>
              <w:t>1500</w:t>
            </w:r>
            <w:r>
              <w:rPr>
                <w:rFonts w:hint="eastAsia" w:asciiTheme="minorEastAsia" w:hAnsiTheme="minorEastAsia" w:eastAsiaTheme="minorEastAsia" w:cstheme="minorEastAsia"/>
                <w:i w:val="0"/>
                <w:iCs w:val="0"/>
                <w:color w:val="000000"/>
                <w:kern w:val="0"/>
                <w:sz w:val="18"/>
                <w:szCs w:val="18"/>
                <w:u w:val="none"/>
                <w:lang w:val="en-US" w:eastAsia="zh-CN" w:bidi="ar"/>
              </w:rPr>
              <w:t>元，初中生均公用经费拨款标准每生每年</w:t>
            </w:r>
            <w:r>
              <w:rPr>
                <w:rFonts w:hint="eastAsia" w:ascii="Times New Roman" w:hAnsi="Times New Roman" w:eastAsiaTheme="minorEastAsia" w:cstheme="minorEastAsia"/>
                <w:i w:val="0"/>
                <w:iCs w:val="0"/>
                <w:color w:val="000000"/>
                <w:kern w:val="0"/>
                <w:sz w:val="18"/>
                <w:szCs w:val="18"/>
                <w:u w:val="none"/>
                <w:lang w:val="en-US" w:eastAsia="zh-CN" w:bidi="ar"/>
              </w:rPr>
              <w:t>2300</w:t>
            </w:r>
            <w:r>
              <w:rPr>
                <w:rFonts w:hint="eastAsia" w:asciiTheme="minorEastAsia" w:hAnsiTheme="minorEastAsia" w:eastAsiaTheme="minorEastAsia" w:cstheme="minorEastAsia"/>
                <w:i w:val="0"/>
                <w:iCs w:val="0"/>
                <w:color w:val="000000"/>
                <w:kern w:val="0"/>
                <w:sz w:val="18"/>
                <w:szCs w:val="18"/>
                <w:u w:val="none"/>
                <w:lang w:val="en-US" w:eastAsia="zh-CN" w:bidi="ar"/>
              </w:rPr>
              <w:t>元划拨；四是我区按照《广东省小学教育装备标准（修订）》《广东省初级中学教育装备标准（修订）》等标准统一配置基本装备。</w:t>
            </w:r>
          </w:p>
        </w:tc>
        <w:tc>
          <w:tcPr>
            <w:tcW w:w="1297" w:type="dxa"/>
            <w:tcBorders>
              <w:bottom w:val="single" w:color="000000" w:sz="4" w:space="0"/>
              <w:right w:val="single" w:color="000000" w:sz="4" w:space="0"/>
            </w:tcBorders>
            <w:noWrap w:val="0"/>
            <w:vAlign w:val="center"/>
          </w:tcPr>
          <w:p w14:paraId="0C0356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0C1BB1CA">
        <w:tblPrEx>
          <w:tblCellMar>
            <w:top w:w="0" w:type="dxa"/>
            <w:left w:w="108" w:type="dxa"/>
            <w:bottom w:w="0" w:type="dxa"/>
            <w:right w:w="108" w:type="dxa"/>
          </w:tblCellMar>
        </w:tblPrEx>
        <w:trPr>
          <w:trHeight w:val="936" w:hRule="atLeast"/>
        </w:trPr>
        <w:tc>
          <w:tcPr>
            <w:tcW w:w="5617" w:type="dxa"/>
            <w:tcBorders>
              <w:left w:val="single" w:color="000000" w:sz="4" w:space="0"/>
              <w:bottom w:val="single" w:color="000000" w:sz="4" w:space="0"/>
              <w:right w:val="single" w:color="000000" w:sz="4" w:space="0"/>
            </w:tcBorders>
            <w:noWrap w:val="0"/>
            <w:vAlign w:val="center"/>
          </w:tcPr>
          <w:p w14:paraId="1352A983">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3</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color w:val="000000"/>
                <w:kern w:val="0"/>
                <w:sz w:val="18"/>
                <w:szCs w:val="18"/>
              </w:rPr>
              <w:t>所有小学、初中每</w:t>
            </w:r>
            <w:r>
              <w:rPr>
                <w:rFonts w:hint="eastAsia" w:ascii="Times New Roman" w:hAnsi="Times New Roman" w:eastAsiaTheme="minorEastAsia" w:cstheme="minorEastAsia"/>
                <w:color w:val="000000"/>
                <w:kern w:val="0"/>
                <w:sz w:val="18"/>
                <w:szCs w:val="18"/>
              </w:rPr>
              <w:t>12</w:t>
            </w:r>
            <w:r>
              <w:rPr>
                <w:rFonts w:hint="eastAsia" w:asciiTheme="minorEastAsia" w:hAnsiTheme="minorEastAsia" w:eastAsiaTheme="minorEastAsia" w:cstheme="minorEastAsia"/>
                <w:color w:val="000000"/>
                <w:kern w:val="0"/>
                <w:sz w:val="18"/>
                <w:szCs w:val="18"/>
              </w:rPr>
              <w:t>个班级配备音乐、美术专用教室</w:t>
            </w:r>
            <w:r>
              <w:rPr>
                <w:rFonts w:hint="eastAsia" w:ascii="Times New Roman" w:hAnsi="Times New Roman" w:eastAsiaTheme="minorEastAsia" w:cstheme="minorEastAsia"/>
                <w:color w:val="000000"/>
                <w:kern w:val="0"/>
                <w:sz w:val="18"/>
                <w:szCs w:val="18"/>
              </w:rPr>
              <w:t>1</w:t>
            </w:r>
            <w:r>
              <w:rPr>
                <w:rFonts w:hint="eastAsia" w:asciiTheme="minorEastAsia" w:hAnsiTheme="minorEastAsia" w:eastAsiaTheme="minorEastAsia" w:cstheme="minorEastAsia"/>
                <w:color w:val="000000"/>
                <w:kern w:val="0"/>
                <w:sz w:val="18"/>
                <w:szCs w:val="18"/>
              </w:rPr>
              <w:t>间以上；其中，每间音乐专用教室面积不小于</w:t>
            </w:r>
            <w:r>
              <w:rPr>
                <w:rFonts w:hint="eastAsia" w:ascii="Times New Roman" w:hAnsi="Times New Roman" w:eastAsiaTheme="minorEastAsia" w:cstheme="minorEastAsia"/>
                <w:color w:val="000000"/>
                <w:kern w:val="0"/>
                <w:sz w:val="18"/>
                <w:szCs w:val="18"/>
              </w:rPr>
              <w:t>96</w:t>
            </w:r>
            <w:r>
              <w:rPr>
                <w:rFonts w:hint="eastAsia" w:asciiTheme="minorEastAsia" w:hAnsiTheme="minorEastAsia" w:eastAsiaTheme="minorEastAsia" w:cstheme="minorEastAsia"/>
                <w:color w:val="000000"/>
                <w:kern w:val="0"/>
                <w:sz w:val="18"/>
                <w:szCs w:val="18"/>
              </w:rPr>
              <w:t>平方米，每间美术专用教室面积不小于</w:t>
            </w:r>
            <w:r>
              <w:rPr>
                <w:rFonts w:hint="eastAsia" w:ascii="Times New Roman" w:hAnsi="Times New Roman" w:eastAsiaTheme="minorEastAsia" w:cstheme="minorEastAsia"/>
                <w:color w:val="000000"/>
                <w:kern w:val="0"/>
                <w:sz w:val="18"/>
                <w:szCs w:val="18"/>
              </w:rPr>
              <w:t>90</w:t>
            </w:r>
            <w:r>
              <w:rPr>
                <w:rFonts w:hint="eastAsia" w:asciiTheme="minorEastAsia" w:hAnsiTheme="minorEastAsia" w:eastAsiaTheme="minorEastAsia" w:cstheme="minorEastAsia"/>
                <w:color w:val="000000"/>
                <w:kern w:val="0"/>
                <w:sz w:val="18"/>
                <w:szCs w:val="18"/>
              </w:rPr>
              <w:t>平方米</w:t>
            </w:r>
          </w:p>
        </w:tc>
        <w:tc>
          <w:tcPr>
            <w:tcW w:w="7532" w:type="dxa"/>
            <w:tcBorders>
              <w:bottom w:val="single" w:color="000000" w:sz="4" w:space="0"/>
              <w:right w:val="single" w:color="000000" w:sz="4" w:space="0"/>
            </w:tcBorders>
            <w:noWrap w:val="0"/>
            <w:vAlign w:val="center"/>
          </w:tcPr>
          <w:p w14:paraId="43DAC6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我区义务教育阶段学校</w:t>
            </w:r>
            <w:bookmarkStart w:id="9" w:name="OLE_LINK5"/>
            <w:r>
              <w:rPr>
                <w:rFonts w:hint="eastAsia" w:asciiTheme="minorEastAsia" w:hAnsiTheme="minorEastAsia" w:eastAsiaTheme="minorEastAsia" w:cstheme="minorEastAsia"/>
                <w:i w:val="0"/>
                <w:iCs w:val="0"/>
                <w:color w:val="000000"/>
                <w:kern w:val="0"/>
                <w:sz w:val="18"/>
                <w:szCs w:val="18"/>
                <w:u w:val="none"/>
                <w:lang w:val="en-US" w:eastAsia="zh-CN" w:bidi="ar"/>
              </w:rPr>
              <w:t>音乐、美术专用教室</w:t>
            </w:r>
            <w:bookmarkEnd w:id="9"/>
            <w:r>
              <w:rPr>
                <w:rFonts w:hint="eastAsia" w:asciiTheme="minorEastAsia" w:hAnsiTheme="minorEastAsia" w:eastAsiaTheme="minorEastAsia" w:cstheme="minorEastAsia"/>
                <w:i w:val="0"/>
                <w:iCs w:val="0"/>
                <w:color w:val="000000"/>
                <w:kern w:val="0"/>
                <w:sz w:val="18"/>
                <w:szCs w:val="18"/>
                <w:u w:val="none"/>
                <w:lang w:val="en-US" w:eastAsia="zh-CN" w:bidi="ar"/>
              </w:rPr>
              <w:t>配备数量</w:t>
            </w:r>
            <w:r>
              <w:rPr>
                <w:rFonts w:hint="eastAsia" w:asciiTheme="minorEastAsia" w:hAnsiTheme="minorEastAsia" w:eastAsiaTheme="minorEastAsia" w:cstheme="minorEastAsia"/>
                <w:i w:val="0"/>
                <w:iCs w:val="0"/>
                <w:color w:val="000000"/>
                <w:kern w:val="0"/>
                <w:sz w:val="18"/>
                <w:szCs w:val="18"/>
                <w:u w:val="none"/>
                <w:lang w:eastAsia="zh-CN" w:bidi="ar"/>
              </w:rPr>
              <w:t>均达标</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imes New Roman" w:hAnsi="Times New Roman" w:eastAsiaTheme="minorEastAsia" w:cstheme="minorEastAsia"/>
                <w:i w:val="0"/>
                <w:iCs w:val="0"/>
                <w:color w:val="000000"/>
                <w:kern w:val="0"/>
                <w:sz w:val="18"/>
                <w:szCs w:val="18"/>
                <w:u w:val="none"/>
                <w:lang w:val="en-US" w:eastAsia="zh-CN" w:bidi="ar"/>
              </w:rPr>
              <w:t>2016</w:t>
            </w:r>
            <w:r>
              <w:rPr>
                <w:rFonts w:hint="eastAsia" w:asciiTheme="minorEastAsia" w:hAnsiTheme="minorEastAsia" w:eastAsiaTheme="minorEastAsia" w:cstheme="minorEastAsia"/>
                <w:i w:val="0"/>
                <w:iCs w:val="0"/>
                <w:color w:val="000000"/>
                <w:kern w:val="0"/>
                <w:sz w:val="18"/>
                <w:szCs w:val="18"/>
                <w:u w:val="none"/>
                <w:lang w:val="en-US" w:eastAsia="zh-CN" w:bidi="ar"/>
              </w:rPr>
              <w:t>年及以后建设的学校音乐、美术教室面积均达标。</w:t>
            </w:r>
          </w:p>
        </w:tc>
        <w:tc>
          <w:tcPr>
            <w:tcW w:w="1297" w:type="dxa"/>
            <w:tcBorders>
              <w:bottom w:val="single" w:color="000000" w:sz="4" w:space="0"/>
              <w:right w:val="single" w:color="000000" w:sz="4" w:space="0"/>
            </w:tcBorders>
            <w:noWrap w:val="0"/>
            <w:vAlign w:val="center"/>
          </w:tcPr>
          <w:p w14:paraId="1F6DF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5ECD27A8">
        <w:tblPrEx>
          <w:tblCellMar>
            <w:top w:w="0" w:type="dxa"/>
            <w:left w:w="108" w:type="dxa"/>
            <w:bottom w:w="0" w:type="dxa"/>
            <w:right w:w="108" w:type="dxa"/>
          </w:tblCellMar>
        </w:tblPrEx>
        <w:trPr>
          <w:trHeight w:val="1399" w:hRule="atLeast"/>
        </w:trPr>
        <w:tc>
          <w:tcPr>
            <w:tcW w:w="5617" w:type="dxa"/>
            <w:tcBorders>
              <w:left w:val="single" w:color="000000" w:sz="4" w:space="0"/>
              <w:bottom w:val="single" w:color="000000" w:sz="4" w:space="0"/>
              <w:right w:val="single" w:color="000000" w:sz="4" w:space="0"/>
            </w:tcBorders>
            <w:noWrap w:val="0"/>
            <w:vAlign w:val="center"/>
          </w:tcPr>
          <w:p w14:paraId="46BB81E0">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4</w:t>
            </w:r>
            <w:r>
              <w:rPr>
                <w:rFonts w:hint="eastAsia" w:asciiTheme="minorEastAsia" w:hAnsiTheme="minorEastAsia" w:eastAsiaTheme="minorEastAsia" w:cstheme="minorEastAsia"/>
                <w:color w:val="000000"/>
                <w:kern w:val="0"/>
                <w:sz w:val="18"/>
                <w:szCs w:val="18"/>
              </w:rPr>
              <w:t>. 所有小学、初中学校规模不超过</w:t>
            </w:r>
            <w:r>
              <w:rPr>
                <w:rFonts w:hint="eastAsia" w:ascii="Times New Roman" w:hAnsi="Times New Roman" w:eastAsiaTheme="minorEastAsia" w:cstheme="minorEastAsia"/>
                <w:color w:val="000000"/>
                <w:kern w:val="0"/>
                <w:sz w:val="18"/>
                <w:szCs w:val="18"/>
              </w:rPr>
              <w:t>2000</w:t>
            </w:r>
            <w:r>
              <w:rPr>
                <w:rFonts w:hint="eastAsia" w:asciiTheme="minorEastAsia" w:hAnsiTheme="minorEastAsia" w:eastAsiaTheme="minorEastAsia" w:cstheme="minorEastAsia"/>
                <w:color w:val="000000"/>
                <w:kern w:val="0"/>
                <w:sz w:val="18"/>
                <w:szCs w:val="18"/>
              </w:rPr>
              <w:t>人，九年一贯制学校、十二年一贯制学校义务教育阶段规模不超过</w:t>
            </w:r>
            <w:r>
              <w:rPr>
                <w:rFonts w:hint="eastAsia" w:ascii="Times New Roman" w:hAnsi="Times New Roman" w:eastAsiaTheme="minorEastAsia" w:cstheme="minorEastAsia"/>
                <w:color w:val="000000"/>
                <w:kern w:val="0"/>
                <w:sz w:val="18"/>
                <w:szCs w:val="18"/>
              </w:rPr>
              <w:t>2500</w:t>
            </w:r>
            <w:r>
              <w:rPr>
                <w:rFonts w:hint="eastAsia" w:asciiTheme="minorEastAsia" w:hAnsiTheme="minorEastAsia" w:eastAsiaTheme="minorEastAsia" w:cstheme="minorEastAsia"/>
                <w:color w:val="000000"/>
                <w:kern w:val="0"/>
                <w:sz w:val="18"/>
                <w:szCs w:val="18"/>
              </w:rPr>
              <w:t>人</w:t>
            </w:r>
          </w:p>
        </w:tc>
        <w:tc>
          <w:tcPr>
            <w:tcW w:w="7532" w:type="dxa"/>
            <w:tcBorders>
              <w:bottom w:val="single" w:color="000000" w:sz="4" w:space="0"/>
              <w:right w:val="single" w:color="000000" w:sz="4" w:space="0"/>
            </w:tcBorders>
            <w:noWrap w:val="0"/>
            <w:vAlign w:val="center"/>
          </w:tcPr>
          <w:p w14:paraId="678C0C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我区目前超过</w:t>
            </w:r>
            <w:r>
              <w:rPr>
                <w:rFonts w:hint="eastAsia" w:ascii="Times New Roman" w:hAnsi="Times New Roman" w:eastAsiaTheme="minorEastAsia" w:cstheme="minorEastAsia"/>
                <w:i w:val="0"/>
                <w:iCs w:val="0"/>
                <w:color w:val="000000"/>
                <w:kern w:val="0"/>
                <w:sz w:val="18"/>
                <w:szCs w:val="18"/>
                <w:u w:val="none"/>
                <w:lang w:val="en-US" w:eastAsia="zh-CN" w:bidi="ar"/>
              </w:rPr>
              <w:t>2000</w:t>
            </w:r>
            <w:r>
              <w:rPr>
                <w:rFonts w:hint="eastAsia" w:asciiTheme="minorEastAsia" w:hAnsiTheme="minorEastAsia" w:eastAsiaTheme="minorEastAsia" w:cstheme="minorEastAsia"/>
                <w:i w:val="0"/>
                <w:iCs w:val="0"/>
                <w:color w:val="000000"/>
                <w:kern w:val="0"/>
                <w:sz w:val="18"/>
                <w:szCs w:val="18"/>
                <w:u w:val="none"/>
                <w:lang w:val="en-US" w:eastAsia="zh-CN" w:bidi="ar"/>
              </w:rPr>
              <w:t>人的小学</w:t>
            </w:r>
            <w:r>
              <w:rPr>
                <w:rFonts w:hint="eastAsia" w:ascii="Times New Roman" w:hAnsi="Times New Roman" w:eastAsiaTheme="minorEastAsia" w:cstheme="minorEastAsia"/>
                <w:i w:val="0"/>
                <w:iCs w:val="0"/>
                <w:color w:val="000000"/>
                <w:kern w:val="0"/>
                <w:sz w:val="18"/>
                <w:szCs w:val="18"/>
                <w:u w:val="none"/>
                <w:lang w:val="en-US" w:eastAsia="zh-CN" w:bidi="ar"/>
              </w:rPr>
              <w:t>12</w:t>
            </w:r>
            <w:r>
              <w:rPr>
                <w:rFonts w:hint="eastAsia" w:asciiTheme="minorEastAsia" w:hAnsiTheme="minorEastAsia" w:eastAsiaTheme="minorEastAsia" w:cstheme="minorEastAsia"/>
                <w:i w:val="0"/>
                <w:iCs w:val="0"/>
                <w:color w:val="000000"/>
                <w:kern w:val="0"/>
                <w:sz w:val="18"/>
                <w:szCs w:val="18"/>
                <w:u w:val="none"/>
                <w:lang w:val="en-US" w:eastAsia="zh-CN" w:bidi="ar"/>
              </w:rPr>
              <w:t>所，初中</w:t>
            </w:r>
            <w:r>
              <w:rPr>
                <w:rFonts w:hint="eastAsia" w:ascii="Times New Roman" w:hAnsi="Times New Roman" w:eastAsia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所，超过</w:t>
            </w:r>
            <w:r>
              <w:rPr>
                <w:rFonts w:hint="eastAsia" w:ascii="Times New Roman" w:hAnsi="Times New Roman" w:eastAsiaTheme="minorEastAsia" w:cstheme="minorEastAsia"/>
                <w:i w:val="0"/>
                <w:iCs w:val="0"/>
                <w:color w:val="000000"/>
                <w:kern w:val="0"/>
                <w:sz w:val="18"/>
                <w:szCs w:val="18"/>
                <w:u w:val="none"/>
                <w:lang w:val="en-US" w:eastAsia="zh-CN" w:bidi="ar"/>
              </w:rPr>
              <w:t>2500</w:t>
            </w:r>
            <w:r>
              <w:rPr>
                <w:rFonts w:hint="eastAsia" w:asciiTheme="minorEastAsia" w:hAnsiTheme="minorEastAsia" w:eastAsiaTheme="minorEastAsia" w:cstheme="minorEastAsia"/>
                <w:i w:val="0"/>
                <w:iCs w:val="0"/>
                <w:color w:val="000000"/>
                <w:kern w:val="0"/>
                <w:sz w:val="18"/>
                <w:szCs w:val="18"/>
                <w:u w:val="none"/>
                <w:lang w:val="en-US" w:eastAsia="zh-CN" w:bidi="ar"/>
              </w:rPr>
              <w:t>人的一贯制学校</w:t>
            </w:r>
            <w:r>
              <w:rPr>
                <w:rFonts w:hint="eastAsia" w:ascii="Times New Roman" w:hAnsi="Times New Roman" w:eastAsia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所。对于超规模学校，区委、区政府积极谋划、主动作为，</w:t>
            </w:r>
            <w:r>
              <w:rPr>
                <w:rFonts w:hint="eastAsia" w:ascii="Times New Roman" w:hAnsi="Times New Roman" w:eastAsiaTheme="minorEastAsia" w:cstheme="minorEastAsia"/>
                <w:i w:val="0"/>
                <w:iCs w:val="0"/>
                <w:color w:val="000000"/>
                <w:kern w:val="0"/>
                <w:sz w:val="18"/>
                <w:szCs w:val="18"/>
                <w:u w:val="none"/>
                <w:lang w:val="en-US" w:eastAsia="zh-CN" w:bidi="ar"/>
              </w:rPr>
              <w:t>5</w:t>
            </w:r>
            <w:r>
              <w:rPr>
                <w:rFonts w:hint="eastAsia" w:asciiTheme="minorEastAsia" w:hAnsiTheme="minorEastAsia" w:eastAsiaTheme="minorEastAsia" w:cstheme="minorEastAsia"/>
                <w:i w:val="0"/>
                <w:iCs w:val="0"/>
                <w:color w:val="000000"/>
                <w:kern w:val="0"/>
                <w:sz w:val="18"/>
                <w:szCs w:val="18"/>
                <w:u w:val="none"/>
                <w:lang w:val="en-US" w:eastAsia="zh-CN" w:bidi="ar"/>
              </w:rPr>
              <w:t>所超规模民办学校目前开始压减招生规模，</w:t>
            </w:r>
            <w:r>
              <w:rPr>
                <w:rFonts w:hint="eastAsia" w:ascii="Times New Roman" w:hAnsi="Times New Roman" w:eastAsiaTheme="minorEastAsia" w:cstheme="minorEastAsia"/>
                <w:i w:val="0"/>
                <w:iCs w:val="0"/>
                <w:color w:val="000000"/>
                <w:kern w:val="0"/>
                <w:sz w:val="18"/>
                <w:szCs w:val="18"/>
                <w:u w:val="none"/>
                <w:lang w:val="en-US" w:eastAsia="zh-CN" w:bidi="ar"/>
              </w:rPr>
              <w:t>15</w:t>
            </w:r>
            <w:r>
              <w:rPr>
                <w:rFonts w:hint="eastAsia" w:asciiTheme="minorEastAsia" w:hAnsiTheme="minorEastAsia" w:eastAsiaTheme="minorEastAsia" w:cstheme="minorEastAsia"/>
                <w:i w:val="0"/>
                <w:iCs w:val="0"/>
                <w:color w:val="000000"/>
                <w:kern w:val="0"/>
                <w:sz w:val="18"/>
                <w:szCs w:val="18"/>
                <w:u w:val="none"/>
                <w:lang w:val="en-US" w:eastAsia="zh-CN" w:bidi="ar"/>
              </w:rPr>
              <w:t>所公办学校通过优化场室、增加师资等措施，确保开齐开足课程，分批、分类、分阶段逐步减少招生计划、严控插班生，积极推进新改扩建公办学校建设，计划</w:t>
            </w:r>
            <w:r>
              <w:rPr>
                <w:rFonts w:hint="eastAsia" w:ascii="Times New Roman" w:hAnsi="Times New Roman" w:eastAsia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年内解决超规模问题。</w:t>
            </w:r>
          </w:p>
        </w:tc>
        <w:tc>
          <w:tcPr>
            <w:tcW w:w="1297" w:type="dxa"/>
            <w:tcBorders>
              <w:bottom w:val="single" w:color="000000" w:sz="4" w:space="0"/>
              <w:right w:val="single" w:color="000000" w:sz="4" w:space="0"/>
            </w:tcBorders>
            <w:noWrap w:val="0"/>
            <w:vAlign w:val="center"/>
          </w:tcPr>
          <w:p w14:paraId="4D930D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17A46E2D">
        <w:tblPrEx>
          <w:tblCellMar>
            <w:top w:w="0" w:type="dxa"/>
            <w:left w:w="108" w:type="dxa"/>
            <w:bottom w:w="0" w:type="dxa"/>
            <w:right w:w="108" w:type="dxa"/>
          </w:tblCellMar>
        </w:tblPrEx>
        <w:trPr>
          <w:trHeight w:val="505" w:hRule="atLeast"/>
        </w:trPr>
        <w:tc>
          <w:tcPr>
            <w:tcW w:w="5617" w:type="dxa"/>
            <w:tcBorders>
              <w:left w:val="single" w:color="000000" w:sz="4" w:space="0"/>
              <w:bottom w:val="single" w:color="000000" w:sz="4" w:space="0"/>
              <w:right w:val="single" w:color="000000" w:sz="4" w:space="0"/>
            </w:tcBorders>
            <w:noWrap w:val="0"/>
            <w:vAlign w:val="center"/>
          </w:tcPr>
          <w:p w14:paraId="4ABC75E2">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5</w:t>
            </w:r>
            <w:r>
              <w:rPr>
                <w:rFonts w:hint="eastAsia" w:asciiTheme="minorEastAsia" w:hAnsiTheme="minorEastAsia" w:eastAsiaTheme="minorEastAsia" w:cstheme="minorEastAsia"/>
                <w:color w:val="000000"/>
                <w:kern w:val="0"/>
                <w:sz w:val="18"/>
                <w:szCs w:val="18"/>
              </w:rPr>
              <w:t>. 小学、初中所有班级学生数分别不超过</w:t>
            </w:r>
            <w:r>
              <w:rPr>
                <w:rFonts w:hint="eastAsia" w:ascii="Times New Roman" w:hAnsi="Times New Roman" w:eastAsiaTheme="minorEastAsia" w:cstheme="minorEastAsia"/>
                <w:color w:val="000000"/>
                <w:kern w:val="0"/>
                <w:sz w:val="18"/>
                <w:szCs w:val="18"/>
              </w:rPr>
              <w:t>45</w:t>
            </w:r>
            <w:r>
              <w:rPr>
                <w:rFonts w:hint="eastAsia" w:asciiTheme="minorEastAsia" w:hAnsiTheme="minorEastAsia" w:eastAsiaTheme="minorEastAsia" w:cstheme="minorEastAsia"/>
                <w:color w:val="000000"/>
                <w:kern w:val="0"/>
                <w:sz w:val="18"/>
                <w:szCs w:val="18"/>
              </w:rPr>
              <w:t>人、</w:t>
            </w:r>
            <w:r>
              <w:rPr>
                <w:rFonts w:hint="eastAsia" w:ascii="Times New Roman" w:hAnsi="Times New Roman" w:eastAsiaTheme="minorEastAsia" w:cstheme="minorEastAsia"/>
                <w:color w:val="000000"/>
                <w:kern w:val="0"/>
                <w:sz w:val="18"/>
                <w:szCs w:val="18"/>
              </w:rPr>
              <w:t>50</w:t>
            </w:r>
            <w:r>
              <w:rPr>
                <w:rFonts w:hint="eastAsia" w:asciiTheme="minorEastAsia" w:hAnsiTheme="minorEastAsia" w:eastAsiaTheme="minorEastAsia" w:cstheme="minorEastAsia"/>
                <w:color w:val="000000"/>
                <w:kern w:val="0"/>
                <w:sz w:val="18"/>
                <w:szCs w:val="18"/>
              </w:rPr>
              <w:t>人</w:t>
            </w:r>
          </w:p>
        </w:tc>
        <w:tc>
          <w:tcPr>
            <w:tcW w:w="7532" w:type="dxa"/>
            <w:tcBorders>
              <w:bottom w:val="single" w:color="000000" w:sz="4" w:space="0"/>
              <w:right w:val="single" w:color="000000" w:sz="4" w:space="0"/>
            </w:tcBorders>
            <w:noWrap w:val="0"/>
            <w:vAlign w:val="center"/>
          </w:tcPr>
          <w:p w14:paraId="68E4E9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超过</w:t>
            </w:r>
            <w:r>
              <w:rPr>
                <w:rFonts w:hint="eastAsia" w:ascii="Times New Roman" w:hAnsi="Times New Roman" w:eastAsiaTheme="minorEastAsia" w:cstheme="minorEastAsia"/>
                <w:i w:val="0"/>
                <w:iCs w:val="0"/>
                <w:color w:val="000000"/>
                <w:kern w:val="0"/>
                <w:sz w:val="18"/>
                <w:szCs w:val="18"/>
                <w:u w:val="none"/>
                <w:lang w:val="en-US" w:eastAsia="zh-CN" w:bidi="ar"/>
              </w:rPr>
              <w:t>45</w:t>
            </w:r>
            <w:r>
              <w:rPr>
                <w:rFonts w:hint="eastAsia" w:asciiTheme="minorEastAsia" w:hAnsiTheme="minorEastAsia" w:eastAsiaTheme="minorEastAsia" w:cstheme="minorEastAsia"/>
                <w:i w:val="0"/>
                <w:iCs w:val="0"/>
                <w:color w:val="000000"/>
                <w:kern w:val="0"/>
                <w:sz w:val="18"/>
                <w:szCs w:val="18"/>
                <w:u w:val="none"/>
                <w:lang w:val="en-US" w:eastAsia="zh-CN" w:bidi="ar"/>
              </w:rPr>
              <w:t>人的小学班级</w:t>
            </w:r>
            <w:r>
              <w:rPr>
                <w:rFonts w:hint="eastAsia" w:ascii="Times New Roman" w:hAnsi="Times New Roman" w:eastAsiaTheme="minorEastAsia" w:cstheme="minorEastAsia"/>
                <w:i w:val="0"/>
                <w:iCs w:val="0"/>
                <w:color w:val="000000"/>
                <w:kern w:val="0"/>
                <w:sz w:val="18"/>
                <w:szCs w:val="18"/>
                <w:u w:val="none"/>
                <w:lang w:val="en-US" w:eastAsia="zh-CN" w:bidi="ar"/>
              </w:rPr>
              <w:t>0</w:t>
            </w:r>
            <w:r>
              <w:rPr>
                <w:rFonts w:hint="eastAsia" w:asciiTheme="minorEastAsia" w:hAnsiTheme="minorEastAsia" w:eastAsiaTheme="minorEastAsia" w:cstheme="minorEastAsia"/>
                <w:i w:val="0"/>
                <w:iCs w:val="0"/>
                <w:color w:val="000000"/>
                <w:kern w:val="0"/>
                <w:sz w:val="18"/>
                <w:szCs w:val="18"/>
                <w:u w:val="none"/>
                <w:lang w:val="en-US" w:eastAsia="zh-CN" w:bidi="ar"/>
              </w:rPr>
              <w:t>个，超过</w:t>
            </w:r>
            <w:r>
              <w:rPr>
                <w:rFonts w:hint="eastAsia" w:ascii="Times New Roman" w:hAnsi="Times New Roman" w:eastAsiaTheme="minorEastAsia" w:cstheme="minorEastAsia"/>
                <w:i w:val="0"/>
                <w:iCs w:val="0"/>
                <w:color w:val="000000"/>
                <w:kern w:val="0"/>
                <w:sz w:val="18"/>
                <w:szCs w:val="18"/>
                <w:u w:val="none"/>
                <w:lang w:val="en-US" w:eastAsia="zh-CN" w:bidi="ar"/>
              </w:rPr>
              <w:t>50</w:t>
            </w:r>
            <w:r>
              <w:rPr>
                <w:rFonts w:hint="eastAsia" w:asciiTheme="minorEastAsia" w:hAnsiTheme="minorEastAsia" w:eastAsiaTheme="minorEastAsia" w:cstheme="minorEastAsia"/>
                <w:i w:val="0"/>
                <w:iCs w:val="0"/>
                <w:color w:val="000000"/>
                <w:kern w:val="0"/>
                <w:sz w:val="18"/>
                <w:szCs w:val="18"/>
                <w:u w:val="none"/>
                <w:lang w:val="en-US" w:eastAsia="zh-CN" w:bidi="ar"/>
              </w:rPr>
              <w:t>人的初中班级</w:t>
            </w:r>
            <w:r>
              <w:rPr>
                <w:rFonts w:hint="eastAsia" w:ascii="Times New Roman" w:hAnsi="Times New Roman" w:eastAsiaTheme="minorEastAsia" w:cstheme="minorEastAsia"/>
                <w:i w:val="0"/>
                <w:iCs w:val="0"/>
                <w:color w:val="000000"/>
                <w:kern w:val="0"/>
                <w:sz w:val="18"/>
                <w:szCs w:val="18"/>
                <w:u w:val="none"/>
                <w:lang w:val="en-US" w:eastAsia="zh-CN" w:bidi="ar"/>
              </w:rPr>
              <w:t>0</w:t>
            </w: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1297" w:type="dxa"/>
            <w:tcBorders>
              <w:bottom w:val="single" w:color="000000" w:sz="4" w:space="0"/>
              <w:right w:val="single" w:color="000000" w:sz="4" w:space="0"/>
            </w:tcBorders>
            <w:noWrap w:val="0"/>
            <w:vAlign w:val="center"/>
          </w:tcPr>
          <w:p w14:paraId="34EC3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lang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5C226942">
        <w:tblPrEx>
          <w:tblCellMar>
            <w:top w:w="0" w:type="dxa"/>
            <w:left w:w="108" w:type="dxa"/>
            <w:bottom w:w="0" w:type="dxa"/>
            <w:right w:w="108" w:type="dxa"/>
          </w:tblCellMar>
        </w:tblPrEx>
        <w:trPr>
          <w:trHeight w:val="554" w:hRule="atLeast"/>
        </w:trPr>
        <w:tc>
          <w:tcPr>
            <w:tcW w:w="5617" w:type="dxa"/>
            <w:tcBorders>
              <w:left w:val="single" w:color="000000" w:sz="4" w:space="0"/>
              <w:bottom w:val="single" w:color="000000" w:sz="4" w:space="0"/>
              <w:right w:val="single" w:color="000000" w:sz="4" w:space="0"/>
            </w:tcBorders>
            <w:noWrap w:val="0"/>
            <w:vAlign w:val="center"/>
          </w:tcPr>
          <w:p w14:paraId="7D618910">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6</w:t>
            </w:r>
            <w:r>
              <w:rPr>
                <w:rFonts w:hint="eastAsia" w:asciiTheme="minorEastAsia" w:hAnsiTheme="minorEastAsia" w:eastAsiaTheme="minorEastAsia" w:cstheme="minorEastAsia"/>
                <w:color w:val="000000"/>
                <w:kern w:val="0"/>
                <w:sz w:val="18"/>
                <w:szCs w:val="18"/>
              </w:rPr>
              <w:t>. 不足</w:t>
            </w:r>
            <w:r>
              <w:rPr>
                <w:rFonts w:hint="eastAsia" w:ascii="Times New Roman" w:hAnsi="Times New Roman" w:eastAsiaTheme="minorEastAsia" w:cstheme="minorEastAsia"/>
                <w:color w:val="000000"/>
                <w:kern w:val="0"/>
                <w:sz w:val="18"/>
                <w:szCs w:val="18"/>
              </w:rPr>
              <w:t>100</w:t>
            </w:r>
            <w:r>
              <w:rPr>
                <w:rFonts w:hint="eastAsia" w:asciiTheme="minorEastAsia" w:hAnsiTheme="minorEastAsia" w:eastAsiaTheme="minorEastAsia" w:cstheme="minorEastAsia"/>
                <w:color w:val="000000"/>
                <w:kern w:val="0"/>
                <w:sz w:val="18"/>
                <w:szCs w:val="18"/>
              </w:rPr>
              <w:t>名学生村小学和教学点按</w:t>
            </w:r>
            <w:r>
              <w:rPr>
                <w:rFonts w:hint="eastAsia" w:ascii="Times New Roman" w:hAnsi="Times New Roman" w:eastAsiaTheme="minorEastAsia" w:cstheme="minorEastAsia"/>
                <w:color w:val="000000"/>
                <w:kern w:val="0"/>
                <w:sz w:val="18"/>
                <w:szCs w:val="18"/>
              </w:rPr>
              <w:t>100</w:t>
            </w:r>
            <w:r>
              <w:rPr>
                <w:rFonts w:hint="eastAsia" w:asciiTheme="minorEastAsia" w:hAnsiTheme="minorEastAsia" w:eastAsiaTheme="minorEastAsia" w:cstheme="minorEastAsia"/>
                <w:color w:val="000000"/>
                <w:kern w:val="0"/>
                <w:sz w:val="18"/>
                <w:szCs w:val="18"/>
              </w:rPr>
              <w:t>名学生核定公用经费</w:t>
            </w:r>
          </w:p>
        </w:tc>
        <w:tc>
          <w:tcPr>
            <w:tcW w:w="7532" w:type="dxa"/>
            <w:tcBorders>
              <w:bottom w:val="single" w:color="000000" w:sz="4" w:space="0"/>
              <w:right w:val="single" w:color="000000" w:sz="4" w:space="0"/>
            </w:tcBorders>
            <w:noWrap w:val="0"/>
            <w:vAlign w:val="center"/>
          </w:tcPr>
          <w:p w14:paraId="51F85C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我区</w:t>
            </w:r>
            <w:r>
              <w:rPr>
                <w:rFonts w:hint="eastAsia" w:ascii="Times New Roman" w:hAnsi="Times New Roman" w:eastAsiaTheme="minorEastAsia" w:cstheme="minorEastAsia"/>
                <w:i w:val="0"/>
                <w:iCs w:val="0"/>
                <w:color w:val="000000"/>
                <w:kern w:val="0"/>
                <w:sz w:val="18"/>
                <w:szCs w:val="18"/>
                <w:u w:val="none"/>
                <w:lang w:val="en-US" w:eastAsia="zh-CN" w:bidi="ar"/>
              </w:rPr>
              <w:t>2025</w:t>
            </w:r>
            <w:r>
              <w:rPr>
                <w:rFonts w:hint="eastAsia" w:asciiTheme="minorEastAsia" w:hAnsiTheme="minorEastAsia" w:eastAsiaTheme="minorEastAsia" w:cstheme="minorEastAsia"/>
                <w:i w:val="0"/>
                <w:iCs w:val="0"/>
                <w:color w:val="000000"/>
                <w:kern w:val="0"/>
                <w:sz w:val="18"/>
                <w:szCs w:val="18"/>
                <w:u w:val="none"/>
                <w:lang w:val="en-US" w:eastAsia="zh-CN" w:bidi="ar"/>
              </w:rPr>
              <w:t>学年不足</w:t>
            </w:r>
            <w:r>
              <w:rPr>
                <w:rFonts w:hint="eastAsia" w:ascii="Times New Roman" w:hAnsi="Times New Roman" w:eastAsiaTheme="minorEastAsia" w:cstheme="minorEastAsia"/>
                <w:i w:val="0"/>
                <w:iCs w:val="0"/>
                <w:color w:val="000000"/>
                <w:kern w:val="0"/>
                <w:sz w:val="18"/>
                <w:szCs w:val="18"/>
                <w:u w:val="none"/>
                <w:lang w:val="en-US" w:eastAsia="zh-CN" w:bidi="ar"/>
              </w:rPr>
              <w:t>100</w:t>
            </w:r>
            <w:r>
              <w:rPr>
                <w:rFonts w:hint="eastAsia" w:asciiTheme="minorEastAsia" w:hAnsiTheme="minorEastAsia" w:eastAsiaTheme="minorEastAsia" w:cstheme="minorEastAsia"/>
                <w:i w:val="0"/>
                <w:iCs w:val="0"/>
                <w:color w:val="000000"/>
                <w:kern w:val="0"/>
                <w:sz w:val="18"/>
                <w:szCs w:val="18"/>
                <w:u w:val="none"/>
                <w:lang w:val="en-US" w:eastAsia="zh-CN" w:bidi="ar"/>
              </w:rPr>
              <w:t>人的学校和教学点有</w:t>
            </w:r>
            <w:r>
              <w:rPr>
                <w:rFonts w:hint="eastAsia" w:ascii="Times New Roman" w:hAnsi="Times New Roman" w:eastAsiaTheme="minorEastAsia" w:cstheme="minorEastAsia"/>
                <w:i w:val="0"/>
                <w:iCs w:val="0"/>
                <w:color w:val="000000"/>
                <w:kern w:val="0"/>
                <w:sz w:val="18"/>
                <w:szCs w:val="18"/>
                <w:u w:val="none"/>
                <w:lang w:val="en-US" w:eastAsia="zh-CN" w:bidi="ar"/>
              </w:rPr>
              <w:t>5</w:t>
            </w:r>
            <w:r>
              <w:rPr>
                <w:rFonts w:hint="eastAsia" w:asciiTheme="minorEastAsia" w:hAnsiTheme="minorEastAsia" w:eastAsiaTheme="minorEastAsia" w:cstheme="minorEastAsia"/>
                <w:i w:val="0"/>
                <w:iCs w:val="0"/>
                <w:color w:val="000000"/>
                <w:kern w:val="0"/>
                <w:sz w:val="18"/>
                <w:szCs w:val="18"/>
                <w:u w:val="none"/>
                <w:lang w:val="en-US" w:eastAsia="zh-CN" w:bidi="ar"/>
              </w:rPr>
              <w:t>所，共</w:t>
            </w:r>
            <w:r>
              <w:rPr>
                <w:rFonts w:hint="eastAsia" w:ascii="Times New Roman" w:hAnsi="Times New Roman" w:eastAsiaTheme="minorEastAsia" w:cstheme="minorEastAsia"/>
                <w:i w:val="0"/>
                <w:iCs w:val="0"/>
                <w:color w:val="000000"/>
                <w:kern w:val="0"/>
                <w:sz w:val="18"/>
                <w:szCs w:val="18"/>
                <w:u w:val="none"/>
                <w:lang w:val="en-US" w:eastAsia="zh-CN" w:bidi="ar"/>
              </w:rPr>
              <w:t>331</w:t>
            </w:r>
            <w:r>
              <w:rPr>
                <w:rFonts w:hint="eastAsia" w:asciiTheme="minorEastAsia" w:hAnsiTheme="minorEastAsia" w:eastAsiaTheme="minorEastAsia" w:cstheme="minorEastAsia"/>
                <w:i w:val="0"/>
                <w:iCs w:val="0"/>
                <w:color w:val="000000"/>
                <w:kern w:val="0"/>
                <w:sz w:val="18"/>
                <w:szCs w:val="18"/>
                <w:u w:val="none"/>
                <w:lang w:val="en-US" w:eastAsia="zh-CN" w:bidi="ar"/>
              </w:rPr>
              <w:t>人。每所学校按</w:t>
            </w:r>
            <w:r>
              <w:rPr>
                <w:rFonts w:hint="eastAsia" w:ascii="Times New Roman" w:hAnsi="Times New Roman" w:eastAsiaTheme="minorEastAsia" w:cstheme="minorEastAsia"/>
                <w:i w:val="0"/>
                <w:iCs w:val="0"/>
                <w:color w:val="000000"/>
                <w:kern w:val="0"/>
                <w:sz w:val="18"/>
                <w:szCs w:val="18"/>
                <w:u w:val="none"/>
                <w:lang w:val="en-US" w:eastAsia="zh-CN" w:bidi="ar"/>
              </w:rPr>
              <w:t>100</w:t>
            </w:r>
            <w:r>
              <w:rPr>
                <w:rFonts w:hint="eastAsia" w:asciiTheme="minorEastAsia" w:hAnsiTheme="minorEastAsia" w:eastAsiaTheme="minorEastAsia" w:cstheme="minorEastAsia"/>
                <w:i w:val="0"/>
                <w:iCs w:val="0"/>
                <w:color w:val="000000"/>
                <w:kern w:val="0"/>
                <w:sz w:val="18"/>
                <w:szCs w:val="18"/>
                <w:u w:val="none"/>
                <w:lang w:val="en-US" w:eastAsia="zh-CN" w:bidi="ar"/>
              </w:rPr>
              <w:t>人，每人</w:t>
            </w:r>
            <w:r>
              <w:rPr>
                <w:rFonts w:hint="eastAsia" w:ascii="Times New Roman" w:hAnsi="Times New Roman" w:eastAsiaTheme="minorEastAsia" w:cstheme="minorEastAsia"/>
                <w:i w:val="0"/>
                <w:iCs w:val="0"/>
                <w:color w:val="000000"/>
                <w:kern w:val="0"/>
                <w:sz w:val="18"/>
                <w:szCs w:val="18"/>
                <w:u w:val="none"/>
                <w:lang w:val="en-US" w:eastAsia="zh-CN" w:bidi="ar"/>
              </w:rPr>
              <w:t>1500</w:t>
            </w:r>
            <w:r>
              <w:rPr>
                <w:rFonts w:hint="eastAsia" w:asciiTheme="minorEastAsia" w:hAnsiTheme="minorEastAsia" w:eastAsiaTheme="minorEastAsia" w:cstheme="minorEastAsia"/>
                <w:i w:val="0"/>
                <w:iCs w:val="0"/>
                <w:color w:val="000000"/>
                <w:kern w:val="0"/>
                <w:sz w:val="18"/>
                <w:szCs w:val="18"/>
                <w:u w:val="none"/>
                <w:lang w:val="en-US" w:eastAsia="zh-CN" w:bidi="ar"/>
              </w:rPr>
              <w:t>元标准核定公用经费共</w:t>
            </w:r>
            <w:r>
              <w:rPr>
                <w:rFonts w:hint="eastAsia" w:ascii="Times New Roman" w:hAnsi="Times New Roman" w:eastAsiaTheme="minorEastAsia" w:cstheme="minorEastAsia"/>
                <w:i w:val="0"/>
                <w:iCs w:val="0"/>
                <w:color w:val="000000"/>
                <w:kern w:val="0"/>
                <w:sz w:val="18"/>
                <w:szCs w:val="18"/>
                <w:u w:val="none"/>
                <w:lang w:val="en-US" w:eastAsia="zh-CN" w:bidi="ar"/>
              </w:rPr>
              <w:t>750000</w:t>
            </w:r>
            <w:r>
              <w:rPr>
                <w:rFonts w:hint="eastAsia" w:asciiTheme="minorEastAsia" w:hAnsiTheme="minorEastAsia" w:eastAsiaTheme="minorEastAsia" w:cstheme="minorEastAsia"/>
                <w:i w:val="0"/>
                <w:iCs w:val="0"/>
                <w:color w:val="000000"/>
                <w:kern w:val="0"/>
                <w:sz w:val="18"/>
                <w:szCs w:val="18"/>
                <w:u w:val="none"/>
                <w:lang w:val="en-US" w:eastAsia="zh-CN" w:bidi="ar"/>
              </w:rPr>
              <w:t>元。</w:t>
            </w:r>
          </w:p>
        </w:tc>
        <w:tc>
          <w:tcPr>
            <w:tcW w:w="1297" w:type="dxa"/>
            <w:tcBorders>
              <w:bottom w:val="single" w:color="000000" w:sz="4" w:space="0"/>
              <w:right w:val="single" w:color="000000" w:sz="4" w:space="0"/>
            </w:tcBorders>
            <w:noWrap w:val="0"/>
            <w:vAlign w:val="center"/>
          </w:tcPr>
          <w:p w14:paraId="6C0F02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3D763F7D">
        <w:tblPrEx>
          <w:tblCellMar>
            <w:top w:w="0" w:type="dxa"/>
            <w:left w:w="108" w:type="dxa"/>
            <w:bottom w:w="0" w:type="dxa"/>
            <w:right w:w="108" w:type="dxa"/>
          </w:tblCellMar>
        </w:tblPrEx>
        <w:trPr>
          <w:trHeight w:val="90" w:hRule="atLeast"/>
        </w:trPr>
        <w:tc>
          <w:tcPr>
            <w:tcW w:w="5617" w:type="dxa"/>
            <w:tcBorders>
              <w:left w:val="single" w:color="000000" w:sz="4" w:space="0"/>
              <w:bottom w:val="single" w:color="auto" w:sz="4" w:space="0"/>
              <w:right w:val="single" w:color="000000" w:sz="4" w:space="0"/>
            </w:tcBorders>
            <w:noWrap w:val="0"/>
            <w:vAlign w:val="center"/>
          </w:tcPr>
          <w:p w14:paraId="4F4E33BF">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7</w:t>
            </w:r>
            <w:r>
              <w:rPr>
                <w:rFonts w:hint="eastAsia" w:asciiTheme="minorEastAsia" w:hAnsiTheme="minorEastAsia" w:eastAsiaTheme="minorEastAsia" w:cstheme="minorEastAsia"/>
                <w:color w:val="000000"/>
                <w:kern w:val="0"/>
                <w:sz w:val="18"/>
                <w:szCs w:val="18"/>
              </w:rPr>
              <w:t>. 特殊教育学校生均公用经费不低于</w:t>
            </w:r>
            <w:r>
              <w:rPr>
                <w:rFonts w:hint="eastAsia" w:ascii="Times New Roman" w:hAnsi="Times New Roman" w:eastAsiaTheme="minorEastAsia" w:cstheme="minorEastAsia"/>
                <w:color w:val="000000"/>
                <w:kern w:val="0"/>
                <w:sz w:val="18"/>
                <w:szCs w:val="18"/>
              </w:rPr>
              <w:t>6000</w:t>
            </w:r>
            <w:r>
              <w:rPr>
                <w:rFonts w:hint="eastAsia" w:asciiTheme="minorEastAsia" w:hAnsiTheme="minorEastAsia" w:eastAsiaTheme="minorEastAsia" w:cstheme="minorEastAsia"/>
                <w:color w:val="000000"/>
                <w:kern w:val="0"/>
                <w:sz w:val="18"/>
                <w:szCs w:val="18"/>
              </w:rPr>
              <w:t>元</w:t>
            </w:r>
          </w:p>
        </w:tc>
        <w:tc>
          <w:tcPr>
            <w:tcW w:w="7532" w:type="dxa"/>
            <w:tcBorders>
              <w:bottom w:val="single" w:color="auto" w:sz="4" w:space="0"/>
              <w:right w:val="single" w:color="000000" w:sz="4" w:space="0"/>
            </w:tcBorders>
            <w:noWrap w:val="0"/>
            <w:vAlign w:val="center"/>
          </w:tcPr>
          <w:p w14:paraId="7856A1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小学特殊教育生均公用经费</w:t>
            </w:r>
            <w:r>
              <w:rPr>
                <w:rFonts w:hint="eastAsia" w:ascii="Times New Roman" w:hAnsi="Times New Roman" w:eastAsiaTheme="minorEastAsia" w:cstheme="minorEastAsia"/>
                <w:i w:val="0"/>
                <w:iCs w:val="0"/>
                <w:color w:val="000000"/>
                <w:kern w:val="0"/>
                <w:sz w:val="18"/>
                <w:szCs w:val="18"/>
                <w:u w:val="none"/>
                <w:lang w:val="en-US" w:eastAsia="zh-CN" w:bidi="ar"/>
              </w:rPr>
              <w:t>9200</w:t>
            </w:r>
            <w:r>
              <w:rPr>
                <w:rFonts w:hint="eastAsia" w:asciiTheme="minorEastAsia" w:hAnsiTheme="minorEastAsia" w:eastAsiaTheme="minorEastAsia" w:cstheme="minorEastAsia"/>
                <w:i w:val="0"/>
                <w:iCs w:val="0"/>
                <w:color w:val="000000"/>
                <w:kern w:val="0"/>
                <w:sz w:val="18"/>
                <w:szCs w:val="18"/>
                <w:u w:val="none"/>
                <w:lang w:val="en-US" w:eastAsia="zh-CN" w:bidi="ar"/>
              </w:rPr>
              <w:t>元，初中特殊教育生均公用经费</w:t>
            </w:r>
            <w:r>
              <w:rPr>
                <w:rFonts w:hint="eastAsia" w:ascii="Times New Roman" w:hAnsi="Times New Roman" w:eastAsiaTheme="minorEastAsia" w:cstheme="minorEastAsia"/>
                <w:i w:val="0"/>
                <w:iCs w:val="0"/>
                <w:color w:val="000000"/>
                <w:kern w:val="0"/>
                <w:sz w:val="18"/>
                <w:szCs w:val="18"/>
                <w:u w:val="none"/>
                <w:lang w:val="en-US" w:eastAsia="zh-CN" w:bidi="ar"/>
              </w:rPr>
              <w:t>15600</w:t>
            </w:r>
            <w:r>
              <w:rPr>
                <w:rFonts w:hint="eastAsia" w:asciiTheme="minorEastAsia" w:hAnsiTheme="minorEastAsia" w:eastAsiaTheme="minorEastAsia" w:cstheme="minorEastAsia"/>
                <w:i w:val="0"/>
                <w:iCs w:val="0"/>
                <w:color w:val="000000"/>
                <w:kern w:val="0"/>
                <w:sz w:val="18"/>
                <w:szCs w:val="18"/>
                <w:u w:val="none"/>
                <w:lang w:val="en-US" w:eastAsia="zh-CN" w:bidi="ar"/>
              </w:rPr>
              <w:t>元。</w:t>
            </w:r>
          </w:p>
        </w:tc>
        <w:tc>
          <w:tcPr>
            <w:tcW w:w="1297" w:type="dxa"/>
            <w:tcBorders>
              <w:bottom w:val="single" w:color="auto" w:sz="4" w:space="0"/>
              <w:right w:val="single" w:color="000000" w:sz="4" w:space="0"/>
            </w:tcBorders>
            <w:noWrap w:val="0"/>
            <w:vAlign w:val="center"/>
          </w:tcPr>
          <w:p w14:paraId="27FF5B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3A5EBDC3">
        <w:tblPrEx>
          <w:tblCellMar>
            <w:top w:w="0" w:type="dxa"/>
            <w:left w:w="108" w:type="dxa"/>
            <w:bottom w:w="0" w:type="dxa"/>
            <w:right w:w="108" w:type="dxa"/>
          </w:tblCellMar>
        </w:tblPrEx>
        <w:trPr>
          <w:trHeight w:val="659" w:hRule="atLeast"/>
        </w:trPr>
        <w:tc>
          <w:tcPr>
            <w:tcW w:w="5617" w:type="dxa"/>
            <w:tcBorders>
              <w:top w:val="single" w:color="auto" w:sz="4" w:space="0"/>
              <w:left w:val="single" w:color="auto" w:sz="4" w:space="0"/>
              <w:bottom w:val="single" w:color="auto" w:sz="4" w:space="0"/>
              <w:right w:val="single" w:color="auto" w:sz="4" w:space="0"/>
            </w:tcBorders>
            <w:noWrap w:val="0"/>
            <w:vAlign w:val="center"/>
          </w:tcPr>
          <w:p w14:paraId="54EBF176">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8</w:t>
            </w:r>
            <w:r>
              <w:rPr>
                <w:rFonts w:hint="eastAsia" w:asciiTheme="minorEastAsia" w:hAnsiTheme="minorEastAsia" w:eastAsiaTheme="minorEastAsia" w:cstheme="minorEastAsia"/>
                <w:color w:val="000000"/>
                <w:kern w:val="0"/>
                <w:sz w:val="18"/>
                <w:szCs w:val="18"/>
              </w:rPr>
              <w:t>. 全县义务教育学校教师平均工资收入水平不低于当地公务员平均工资收入水平，按规定足额核定教师绩效工资总量</w:t>
            </w:r>
          </w:p>
        </w:tc>
        <w:tc>
          <w:tcPr>
            <w:tcW w:w="7532" w:type="dxa"/>
            <w:tcBorders>
              <w:top w:val="single" w:color="auto" w:sz="4" w:space="0"/>
              <w:left w:val="single" w:color="auto" w:sz="4" w:space="0"/>
              <w:bottom w:val="single" w:color="auto" w:sz="4" w:space="0"/>
              <w:right w:val="single" w:color="auto" w:sz="4" w:space="0"/>
            </w:tcBorders>
            <w:noWrap w:val="0"/>
            <w:vAlign w:val="center"/>
          </w:tcPr>
          <w:p w14:paraId="40CE96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全区义务教育学校教师年平均工资收入不低于当地公务员年平均工资收入。</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3C12C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1F9BA490">
        <w:tblPrEx>
          <w:tblCellMar>
            <w:top w:w="0" w:type="dxa"/>
            <w:left w:w="108" w:type="dxa"/>
            <w:bottom w:w="0" w:type="dxa"/>
            <w:right w:w="108" w:type="dxa"/>
          </w:tblCellMar>
        </w:tblPrEx>
        <w:trPr>
          <w:trHeight w:val="936" w:hRule="atLeast"/>
        </w:trPr>
        <w:tc>
          <w:tcPr>
            <w:tcW w:w="14446" w:type="dxa"/>
            <w:gridSpan w:val="3"/>
            <w:noWrap w:val="0"/>
            <w:vAlign w:val="center"/>
          </w:tcPr>
          <w:p w14:paraId="10EDCD78">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表Ⅳ 政府保障程度评估指标（续）</w:t>
            </w:r>
          </w:p>
        </w:tc>
      </w:tr>
      <w:tr w14:paraId="77BDAF25">
        <w:tblPrEx>
          <w:tblCellMar>
            <w:top w:w="0" w:type="dxa"/>
            <w:left w:w="108" w:type="dxa"/>
            <w:bottom w:w="0" w:type="dxa"/>
            <w:right w:w="108" w:type="dxa"/>
          </w:tblCellMar>
        </w:tblPrEx>
        <w:trPr>
          <w:trHeight w:val="398" w:hRule="atLeast"/>
        </w:trPr>
        <w:tc>
          <w:tcPr>
            <w:tcW w:w="5617" w:type="dxa"/>
            <w:tcBorders>
              <w:top w:val="single" w:color="auto" w:sz="4" w:space="0"/>
              <w:left w:val="single" w:color="auto" w:sz="4" w:space="0"/>
              <w:bottom w:val="single" w:color="auto" w:sz="4" w:space="0"/>
              <w:right w:val="single" w:color="auto" w:sz="4" w:space="0"/>
            </w:tcBorders>
            <w:noWrap w:val="0"/>
            <w:vAlign w:val="center"/>
          </w:tcPr>
          <w:p w14:paraId="6FFB665D">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指标名称</w:t>
            </w:r>
          </w:p>
        </w:tc>
        <w:tc>
          <w:tcPr>
            <w:tcW w:w="7532" w:type="dxa"/>
            <w:tcBorders>
              <w:top w:val="single" w:color="auto" w:sz="4" w:space="0"/>
              <w:left w:val="single" w:color="auto" w:sz="4" w:space="0"/>
              <w:bottom w:val="single" w:color="auto" w:sz="4" w:space="0"/>
              <w:right w:val="single" w:color="auto" w:sz="4" w:space="0"/>
            </w:tcBorders>
            <w:noWrap w:val="0"/>
            <w:vAlign w:val="center"/>
          </w:tcPr>
          <w:p w14:paraId="6987B9C1">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指标值或简要结论</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1B514F8">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是否达标</w:t>
            </w:r>
          </w:p>
        </w:tc>
      </w:tr>
      <w:tr w14:paraId="72D80247">
        <w:tblPrEx>
          <w:tblCellMar>
            <w:top w:w="0" w:type="dxa"/>
            <w:left w:w="108" w:type="dxa"/>
            <w:bottom w:w="0" w:type="dxa"/>
            <w:right w:w="108" w:type="dxa"/>
          </w:tblCellMar>
        </w:tblPrEx>
        <w:trPr>
          <w:trHeight w:val="1237" w:hRule="atLeast"/>
        </w:trPr>
        <w:tc>
          <w:tcPr>
            <w:tcW w:w="5617" w:type="dxa"/>
            <w:tcBorders>
              <w:top w:val="single" w:color="auto" w:sz="4" w:space="0"/>
              <w:left w:val="single" w:color="000000" w:sz="4" w:space="0"/>
              <w:bottom w:val="single" w:color="000000" w:sz="4" w:space="0"/>
              <w:right w:val="single" w:color="000000" w:sz="4" w:space="0"/>
            </w:tcBorders>
            <w:noWrap w:val="0"/>
            <w:vAlign w:val="center"/>
          </w:tcPr>
          <w:p w14:paraId="60349EF0">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9</w:t>
            </w:r>
            <w:r>
              <w:rPr>
                <w:rFonts w:hint="eastAsia" w:asciiTheme="minorEastAsia" w:hAnsiTheme="minorEastAsia" w:eastAsiaTheme="minorEastAsia" w:cstheme="minorEastAsia"/>
                <w:color w:val="000000"/>
                <w:kern w:val="0"/>
                <w:sz w:val="18"/>
                <w:szCs w:val="18"/>
              </w:rPr>
              <w:t>. 教师</w:t>
            </w:r>
            <w:r>
              <w:rPr>
                <w:rFonts w:hint="eastAsia" w:ascii="Times New Roman" w:hAnsi="Times New Roman" w:eastAsiaTheme="minorEastAsia" w:cstheme="minorEastAsia"/>
                <w:color w:val="000000"/>
                <w:kern w:val="0"/>
                <w:sz w:val="18"/>
                <w:szCs w:val="18"/>
              </w:rPr>
              <w:t>5</w:t>
            </w:r>
            <w:r>
              <w:rPr>
                <w:rFonts w:hint="eastAsia" w:asciiTheme="minorEastAsia" w:hAnsiTheme="minorEastAsia" w:eastAsiaTheme="minorEastAsia" w:cstheme="minorEastAsia"/>
                <w:color w:val="000000"/>
                <w:kern w:val="0"/>
                <w:sz w:val="18"/>
                <w:szCs w:val="18"/>
              </w:rPr>
              <w:t>年</w:t>
            </w:r>
            <w:r>
              <w:rPr>
                <w:rFonts w:hint="eastAsia" w:ascii="Times New Roman" w:hAnsi="Times New Roman" w:eastAsiaTheme="minorEastAsia" w:cstheme="minorEastAsia"/>
                <w:color w:val="000000"/>
                <w:kern w:val="0"/>
                <w:sz w:val="18"/>
                <w:szCs w:val="18"/>
              </w:rPr>
              <w:t>360</w:t>
            </w:r>
            <w:r>
              <w:rPr>
                <w:rFonts w:hint="eastAsia" w:asciiTheme="minorEastAsia" w:hAnsiTheme="minorEastAsia" w:eastAsiaTheme="minorEastAsia" w:cstheme="minorEastAsia"/>
                <w:color w:val="000000"/>
                <w:kern w:val="0"/>
                <w:sz w:val="18"/>
                <w:szCs w:val="18"/>
              </w:rPr>
              <w:t>学时培训完成率达到</w:t>
            </w:r>
            <w:r>
              <w:rPr>
                <w:rFonts w:hint="eastAsia" w:ascii="Times New Roman" w:hAnsi="Times New Roman" w:eastAsiaTheme="minorEastAsia" w:cstheme="minorEastAsia"/>
                <w:color w:val="000000"/>
                <w:kern w:val="0"/>
                <w:sz w:val="18"/>
                <w:szCs w:val="18"/>
              </w:rPr>
              <w:t>100%</w:t>
            </w:r>
          </w:p>
        </w:tc>
        <w:tc>
          <w:tcPr>
            <w:tcW w:w="7532" w:type="dxa"/>
            <w:tcBorders>
              <w:top w:val="single" w:color="auto" w:sz="4" w:space="0"/>
              <w:bottom w:val="single" w:color="000000" w:sz="4" w:space="0"/>
              <w:right w:val="single" w:color="000000" w:sz="4" w:space="0"/>
            </w:tcBorders>
            <w:noWrap w:val="0"/>
            <w:vAlign w:val="center"/>
          </w:tcPr>
          <w:p w14:paraId="3F00C8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2020</w:t>
            </w:r>
            <w:r>
              <w:rPr>
                <w:rFonts w:hint="eastAsia" w:asciiTheme="minorEastAsia" w:hAnsiTheme="minorEastAsia" w:eastAsiaTheme="minorEastAsia" w:cstheme="minorEastAsia"/>
                <w:color w:val="000000"/>
                <w:kern w:val="0"/>
                <w:sz w:val="18"/>
                <w:szCs w:val="18"/>
              </w:rPr>
              <w:t>年至</w:t>
            </w:r>
            <w:r>
              <w:rPr>
                <w:rFonts w:hint="eastAsia" w:ascii="Times New Roman" w:hAnsi="Times New Roman" w:eastAsiaTheme="minorEastAsia" w:cstheme="minorEastAsia"/>
                <w:color w:val="000000"/>
                <w:kern w:val="0"/>
                <w:sz w:val="18"/>
                <w:szCs w:val="18"/>
              </w:rPr>
              <w:t>2024</w:t>
            </w:r>
            <w:r>
              <w:rPr>
                <w:rFonts w:hint="eastAsia" w:asciiTheme="minorEastAsia" w:hAnsiTheme="minorEastAsia" w:eastAsiaTheme="minorEastAsia" w:cstheme="minorEastAsia"/>
                <w:color w:val="000000"/>
                <w:kern w:val="0"/>
                <w:sz w:val="18"/>
                <w:szCs w:val="18"/>
              </w:rPr>
              <w:t>年增城区义务教育阶段学校专任教师</w:t>
            </w:r>
            <w:r>
              <w:rPr>
                <w:rFonts w:hint="eastAsia" w:ascii="Times New Roman" w:hAnsi="Times New Roman" w:eastAsiaTheme="minorEastAsia" w:cstheme="minorEastAsia"/>
                <w:color w:val="000000"/>
                <w:kern w:val="0"/>
                <w:sz w:val="18"/>
                <w:szCs w:val="18"/>
              </w:rPr>
              <w:t>12926</w:t>
            </w:r>
            <w:r>
              <w:rPr>
                <w:rFonts w:hint="eastAsia" w:asciiTheme="minorEastAsia" w:hAnsiTheme="minorEastAsia" w:eastAsiaTheme="minorEastAsia" w:cstheme="minorEastAsia"/>
                <w:color w:val="000000"/>
                <w:kern w:val="0"/>
                <w:sz w:val="18"/>
                <w:szCs w:val="18"/>
              </w:rPr>
              <w:t>人，完成</w:t>
            </w:r>
            <w:r>
              <w:rPr>
                <w:rFonts w:hint="eastAsia" w:ascii="Times New Roman" w:hAnsi="Times New Roman" w:eastAsiaTheme="minorEastAsia" w:cstheme="minorEastAsia"/>
                <w:color w:val="000000"/>
                <w:kern w:val="0"/>
                <w:sz w:val="18"/>
                <w:szCs w:val="18"/>
              </w:rPr>
              <w:t>5</w:t>
            </w:r>
            <w:r>
              <w:rPr>
                <w:rFonts w:hint="eastAsia" w:asciiTheme="minorEastAsia" w:hAnsiTheme="minorEastAsia" w:eastAsiaTheme="minorEastAsia" w:cstheme="minorEastAsia"/>
                <w:color w:val="000000"/>
                <w:kern w:val="0"/>
                <w:sz w:val="18"/>
                <w:szCs w:val="18"/>
              </w:rPr>
              <w:t>年</w:t>
            </w:r>
            <w:r>
              <w:rPr>
                <w:rFonts w:hint="eastAsia" w:ascii="Times New Roman" w:hAnsi="Times New Roman" w:eastAsiaTheme="minorEastAsia" w:cstheme="minorEastAsia"/>
                <w:color w:val="000000"/>
                <w:kern w:val="0"/>
                <w:sz w:val="18"/>
                <w:szCs w:val="18"/>
              </w:rPr>
              <w:t>360</w:t>
            </w:r>
            <w:r>
              <w:rPr>
                <w:rFonts w:hint="eastAsia" w:asciiTheme="minorEastAsia" w:hAnsiTheme="minorEastAsia" w:eastAsiaTheme="minorEastAsia" w:cstheme="minorEastAsia"/>
                <w:color w:val="000000"/>
                <w:kern w:val="0"/>
                <w:sz w:val="18"/>
                <w:szCs w:val="18"/>
              </w:rPr>
              <w:t>学时培训的教师</w:t>
            </w:r>
            <w:r>
              <w:rPr>
                <w:rFonts w:hint="eastAsia" w:ascii="Times New Roman" w:hAnsi="Times New Roman" w:eastAsiaTheme="minorEastAsia" w:cstheme="minorEastAsia"/>
                <w:color w:val="000000"/>
                <w:kern w:val="0"/>
                <w:sz w:val="18"/>
                <w:szCs w:val="18"/>
              </w:rPr>
              <w:t>12660</w:t>
            </w:r>
            <w:r>
              <w:rPr>
                <w:rFonts w:hint="eastAsia" w:asciiTheme="minorEastAsia" w:hAnsiTheme="minorEastAsia" w:eastAsiaTheme="minorEastAsia" w:cstheme="minorEastAsia"/>
                <w:color w:val="000000"/>
                <w:kern w:val="0"/>
                <w:sz w:val="18"/>
                <w:szCs w:val="18"/>
              </w:rPr>
              <w:t>人</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color w:val="000000"/>
                <w:kern w:val="0"/>
                <w:sz w:val="18"/>
                <w:szCs w:val="18"/>
              </w:rPr>
              <w:t>完成率</w:t>
            </w:r>
            <w:r>
              <w:rPr>
                <w:rFonts w:hint="eastAsia" w:ascii="Times New Roman" w:hAnsi="Times New Roman" w:eastAsiaTheme="minorEastAsia" w:cstheme="minorEastAsia"/>
                <w:color w:val="000000"/>
                <w:kern w:val="0"/>
                <w:sz w:val="18"/>
                <w:szCs w:val="18"/>
              </w:rPr>
              <w:t>97</w:t>
            </w:r>
            <w:r>
              <w:rPr>
                <w:rFonts w:hint="eastAsia" w:asciiTheme="minorEastAsia" w:hAnsiTheme="minorEastAsia" w:eastAsiaTheme="minorEastAsia" w:cstheme="minorEastAsia"/>
                <w:color w:val="000000"/>
                <w:kern w:val="0"/>
                <w:sz w:val="18"/>
                <w:szCs w:val="18"/>
              </w:rPr>
              <w:t>.</w:t>
            </w:r>
            <w:r>
              <w:rPr>
                <w:rFonts w:hint="eastAsia" w:ascii="Times New Roman" w:hAnsi="Times New Roman" w:eastAsiaTheme="minorEastAsia" w:cstheme="minorEastAsia"/>
                <w:color w:val="000000"/>
                <w:kern w:val="0"/>
                <w:sz w:val="18"/>
                <w:szCs w:val="18"/>
              </w:rPr>
              <w:t>9%</w:t>
            </w:r>
            <w:r>
              <w:rPr>
                <w:rFonts w:hint="eastAsia" w:asciiTheme="minorEastAsia" w:hAnsiTheme="minorEastAsia" w:eastAsiaTheme="minorEastAsia" w:cstheme="minorEastAsia"/>
                <w:color w:val="000000"/>
                <w:kern w:val="0"/>
                <w:sz w:val="18"/>
                <w:szCs w:val="18"/>
              </w:rPr>
              <w:t>。目前，全区</w:t>
            </w:r>
            <w:r>
              <w:rPr>
                <w:rFonts w:hint="eastAsia" w:ascii="Times New Roman" w:hAnsi="Times New Roman" w:eastAsiaTheme="minorEastAsia" w:cstheme="minorEastAsia"/>
                <w:color w:val="000000"/>
                <w:kern w:val="0"/>
                <w:sz w:val="18"/>
                <w:szCs w:val="18"/>
              </w:rPr>
              <w:t>90</w:t>
            </w:r>
            <w:r>
              <w:rPr>
                <w:rFonts w:hint="eastAsia" w:asciiTheme="minorEastAsia" w:hAnsiTheme="minorEastAsia" w:eastAsiaTheme="minorEastAsia" w:cstheme="minorEastAsia"/>
                <w:color w:val="000000"/>
                <w:kern w:val="0"/>
                <w:sz w:val="18"/>
                <w:szCs w:val="18"/>
              </w:rPr>
              <w:t>学时达标率</w:t>
            </w:r>
            <w:r>
              <w:rPr>
                <w:rFonts w:hint="eastAsia" w:ascii="Times New Roman" w:hAnsi="Times New Roman" w:eastAsiaTheme="minorEastAsia" w:cstheme="minorEastAsia"/>
                <w:color w:val="000000"/>
                <w:kern w:val="0"/>
                <w:sz w:val="18"/>
                <w:szCs w:val="18"/>
              </w:rPr>
              <w:t>99</w:t>
            </w:r>
            <w:r>
              <w:rPr>
                <w:rFonts w:hint="eastAsia" w:asciiTheme="minorEastAsia" w:hAnsiTheme="minorEastAsia" w:eastAsiaTheme="minorEastAsia" w:cstheme="minorEastAsia"/>
                <w:color w:val="000000"/>
                <w:kern w:val="0"/>
                <w:sz w:val="18"/>
                <w:szCs w:val="18"/>
              </w:rPr>
              <w:t>.</w:t>
            </w:r>
            <w:r>
              <w:rPr>
                <w:rFonts w:hint="eastAsia" w:ascii="Times New Roman" w:hAnsi="Times New Roman" w:eastAsiaTheme="minorEastAsia" w:cstheme="minorEastAsia"/>
                <w:color w:val="000000"/>
                <w:kern w:val="0"/>
                <w:sz w:val="18"/>
                <w:szCs w:val="18"/>
              </w:rPr>
              <w:t>07%</w:t>
            </w:r>
            <w:r>
              <w:rPr>
                <w:rFonts w:hint="eastAsia" w:asciiTheme="minorEastAsia" w:hAnsiTheme="minorEastAsia" w:eastAsiaTheme="minorEastAsia" w:cstheme="minorEastAsia"/>
                <w:color w:val="000000"/>
                <w:kern w:val="0"/>
                <w:sz w:val="18"/>
                <w:szCs w:val="18"/>
              </w:rPr>
              <w:t>（除部分新入职或退休人员，已实现</w:t>
            </w:r>
            <w:r>
              <w:rPr>
                <w:rFonts w:hint="eastAsia" w:ascii="Times New Roman" w:hAnsi="Times New Roman" w:eastAsiaTheme="minorEastAsia" w:cstheme="minorEastAsia"/>
                <w:color w:val="000000"/>
                <w:kern w:val="0"/>
                <w:sz w:val="18"/>
                <w:szCs w:val="18"/>
              </w:rPr>
              <w:t>100%</w:t>
            </w:r>
            <w:r>
              <w:rPr>
                <w:rFonts w:hint="eastAsia" w:asciiTheme="minorEastAsia" w:hAnsiTheme="minorEastAsia" w:eastAsiaTheme="minorEastAsia" w:cstheme="minorEastAsia"/>
                <w:color w:val="000000"/>
                <w:kern w:val="0"/>
                <w:sz w:val="18"/>
                <w:szCs w:val="18"/>
              </w:rPr>
              <w:t>达标）。经核实，待</w:t>
            </w:r>
            <w:r>
              <w:rPr>
                <w:rFonts w:hint="eastAsia" w:ascii="Times New Roman" w:hAnsi="Times New Roman" w:eastAsiaTheme="minorEastAsia" w:cstheme="minorEastAsia"/>
                <w:color w:val="000000"/>
                <w:kern w:val="0"/>
                <w:sz w:val="18"/>
                <w:szCs w:val="18"/>
              </w:rPr>
              <w:t>2502</w:t>
            </w:r>
            <w:r>
              <w:rPr>
                <w:rFonts w:hint="eastAsia" w:asciiTheme="minorEastAsia" w:hAnsiTheme="minorEastAsia" w:eastAsiaTheme="minorEastAsia" w:cstheme="minorEastAsia"/>
                <w:color w:val="000000"/>
                <w:kern w:val="0"/>
                <w:sz w:val="18"/>
                <w:szCs w:val="18"/>
              </w:rPr>
              <w:t>期继续教育结束后可确保</w:t>
            </w:r>
            <w:r>
              <w:rPr>
                <w:rFonts w:hint="eastAsia" w:ascii="Times New Roman" w:hAnsi="Times New Roman" w:eastAsiaTheme="minorEastAsia" w:cstheme="minorEastAsia"/>
                <w:color w:val="000000"/>
                <w:kern w:val="0"/>
                <w:sz w:val="18"/>
                <w:szCs w:val="18"/>
              </w:rPr>
              <w:t>100%</w:t>
            </w:r>
            <w:r>
              <w:rPr>
                <w:rFonts w:hint="eastAsia" w:asciiTheme="minorEastAsia" w:hAnsiTheme="minorEastAsia" w:eastAsiaTheme="minorEastAsia" w:cstheme="minorEastAsia"/>
                <w:color w:val="000000"/>
                <w:kern w:val="0"/>
                <w:sz w:val="18"/>
                <w:szCs w:val="18"/>
                <w:lang w:val="en-US" w:eastAsia="zh-CN"/>
              </w:rPr>
              <w:t>达标</w:t>
            </w:r>
            <w:r>
              <w:rPr>
                <w:rFonts w:hint="eastAsia" w:asciiTheme="minorEastAsia" w:hAnsiTheme="minorEastAsia" w:eastAsiaTheme="minorEastAsia" w:cstheme="minorEastAsia"/>
                <w:color w:val="000000"/>
                <w:kern w:val="0"/>
                <w:sz w:val="18"/>
                <w:szCs w:val="18"/>
              </w:rPr>
              <w:t>。</w:t>
            </w:r>
          </w:p>
        </w:tc>
        <w:tc>
          <w:tcPr>
            <w:tcW w:w="1297" w:type="dxa"/>
            <w:tcBorders>
              <w:top w:val="single" w:color="auto" w:sz="4" w:space="0"/>
              <w:bottom w:val="single" w:color="000000" w:sz="4" w:space="0"/>
              <w:right w:val="single" w:color="000000" w:sz="4" w:space="0"/>
            </w:tcBorders>
            <w:noWrap w:val="0"/>
            <w:vAlign w:val="center"/>
          </w:tcPr>
          <w:p w14:paraId="274A40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4081EAFC">
        <w:tblPrEx>
          <w:tblCellMar>
            <w:top w:w="0" w:type="dxa"/>
            <w:left w:w="108" w:type="dxa"/>
            <w:bottom w:w="0" w:type="dxa"/>
            <w:right w:w="108" w:type="dxa"/>
          </w:tblCellMar>
        </w:tblPrEx>
        <w:trPr>
          <w:trHeight w:val="683" w:hRule="atLeast"/>
        </w:trPr>
        <w:tc>
          <w:tcPr>
            <w:tcW w:w="5617" w:type="dxa"/>
            <w:tcBorders>
              <w:left w:val="single" w:color="000000" w:sz="4" w:space="0"/>
              <w:bottom w:val="single" w:color="000000" w:sz="4" w:space="0"/>
              <w:right w:val="single" w:color="000000" w:sz="4" w:space="0"/>
            </w:tcBorders>
            <w:noWrap w:val="0"/>
            <w:vAlign w:val="center"/>
          </w:tcPr>
          <w:p w14:paraId="3E153C86">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10</w:t>
            </w:r>
            <w:r>
              <w:rPr>
                <w:rFonts w:hint="eastAsia" w:asciiTheme="minorEastAsia" w:hAnsiTheme="minorEastAsia" w:eastAsiaTheme="minorEastAsia" w:cstheme="minorEastAsia"/>
                <w:color w:val="000000"/>
                <w:kern w:val="0"/>
                <w:sz w:val="18"/>
                <w:szCs w:val="18"/>
              </w:rPr>
              <w:t>.县级教育行政部门在核定的教职工编制总额和岗位总量内，统筹分配各校教职工编制和岗位数量</w:t>
            </w:r>
          </w:p>
        </w:tc>
        <w:tc>
          <w:tcPr>
            <w:tcW w:w="7532" w:type="dxa"/>
            <w:tcBorders>
              <w:bottom w:val="single" w:color="000000" w:sz="4" w:space="0"/>
              <w:right w:val="single" w:color="000000" w:sz="4" w:space="0"/>
            </w:tcBorders>
            <w:noWrap w:val="0"/>
            <w:vAlign w:val="center"/>
          </w:tcPr>
          <w:p w14:paraId="0A095E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按照《增城区中小学教师“区管校聘”管理改革实施意见》，区教育局在核定的教职工编制总额和岗位总量内，统筹分配各校教职工编制和岗位数量。</w:t>
            </w:r>
          </w:p>
        </w:tc>
        <w:tc>
          <w:tcPr>
            <w:tcW w:w="1297" w:type="dxa"/>
            <w:tcBorders>
              <w:bottom w:val="single" w:color="000000" w:sz="4" w:space="0"/>
              <w:right w:val="single" w:color="000000" w:sz="4" w:space="0"/>
            </w:tcBorders>
            <w:noWrap w:val="0"/>
            <w:vAlign w:val="center"/>
          </w:tcPr>
          <w:p w14:paraId="51397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2CFBF64D">
        <w:tblPrEx>
          <w:tblCellMar>
            <w:top w:w="0" w:type="dxa"/>
            <w:left w:w="108" w:type="dxa"/>
            <w:bottom w:w="0" w:type="dxa"/>
            <w:right w:w="108" w:type="dxa"/>
          </w:tblCellMar>
        </w:tblPrEx>
        <w:trPr>
          <w:trHeight w:val="936" w:hRule="atLeast"/>
        </w:trPr>
        <w:tc>
          <w:tcPr>
            <w:tcW w:w="5617" w:type="dxa"/>
            <w:tcBorders>
              <w:left w:val="single" w:color="000000" w:sz="4" w:space="0"/>
              <w:bottom w:val="single" w:color="000000" w:sz="4" w:space="0"/>
              <w:right w:val="single" w:color="000000" w:sz="4" w:space="0"/>
            </w:tcBorders>
            <w:noWrap w:val="0"/>
            <w:vAlign w:val="center"/>
          </w:tcPr>
          <w:p w14:paraId="0874837C">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11</w:t>
            </w:r>
            <w:r>
              <w:rPr>
                <w:rFonts w:hint="eastAsia" w:asciiTheme="minorEastAsia" w:hAnsiTheme="minorEastAsia" w:eastAsiaTheme="minorEastAsia" w:cstheme="minorEastAsia"/>
                <w:color w:val="000000"/>
                <w:kern w:val="0"/>
                <w:sz w:val="18"/>
                <w:szCs w:val="18"/>
              </w:rPr>
              <w:t>.全县每年交流轮岗教师的比例不低于符合交流轮岗条件教师总数的</w:t>
            </w:r>
            <w:r>
              <w:rPr>
                <w:rFonts w:hint="eastAsia" w:ascii="Times New Roman" w:hAnsi="Times New Roman" w:eastAsiaTheme="minorEastAsia" w:cstheme="minorEastAsia"/>
                <w:color w:val="000000"/>
                <w:kern w:val="0"/>
                <w:sz w:val="18"/>
                <w:szCs w:val="18"/>
              </w:rPr>
              <w:t>10%</w:t>
            </w:r>
            <w:r>
              <w:rPr>
                <w:rFonts w:hint="eastAsia" w:asciiTheme="minorEastAsia" w:hAnsiTheme="minorEastAsia" w:eastAsiaTheme="minorEastAsia" w:cstheme="minorEastAsia"/>
                <w:color w:val="000000"/>
                <w:kern w:val="0"/>
                <w:sz w:val="18"/>
                <w:szCs w:val="18"/>
              </w:rPr>
              <w:t>；其中，骨干教师不低于交流轮岗教师总数的</w:t>
            </w:r>
            <w:r>
              <w:rPr>
                <w:rFonts w:hint="eastAsia" w:ascii="Times New Roman" w:hAnsi="Times New Roman" w:eastAsiaTheme="minorEastAsia" w:cstheme="minorEastAsia"/>
                <w:color w:val="000000"/>
                <w:kern w:val="0"/>
                <w:sz w:val="18"/>
                <w:szCs w:val="18"/>
              </w:rPr>
              <w:t>20%</w:t>
            </w:r>
          </w:p>
        </w:tc>
        <w:tc>
          <w:tcPr>
            <w:tcW w:w="7532" w:type="dxa"/>
            <w:tcBorders>
              <w:bottom w:val="single" w:color="000000" w:sz="4" w:space="0"/>
              <w:right w:val="single" w:color="000000" w:sz="4" w:space="0"/>
            </w:tcBorders>
            <w:noWrap w:val="0"/>
            <w:vAlign w:val="center"/>
          </w:tcPr>
          <w:p w14:paraId="580D0B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全区符合交流轮岗条件教师总数</w:t>
            </w:r>
            <w:r>
              <w:rPr>
                <w:rFonts w:hint="eastAsia" w:ascii="Times New Roman" w:hAnsi="Times New Roman" w:eastAsiaTheme="minorEastAsia" w:cstheme="minorEastAsia"/>
                <w:i w:val="0"/>
                <w:iCs w:val="0"/>
                <w:color w:val="000000"/>
                <w:kern w:val="0"/>
                <w:sz w:val="18"/>
                <w:szCs w:val="18"/>
                <w:u w:val="none"/>
                <w:lang w:val="en-US" w:eastAsia="zh-CN" w:bidi="ar"/>
              </w:rPr>
              <w:t>1878</w:t>
            </w:r>
            <w:r>
              <w:rPr>
                <w:rFonts w:hint="eastAsia" w:asciiTheme="minorEastAsia" w:hAnsiTheme="minorEastAsia" w:eastAsiaTheme="minorEastAsia" w:cstheme="minorEastAsia"/>
                <w:i w:val="0"/>
                <w:iCs w:val="0"/>
                <w:color w:val="000000"/>
                <w:kern w:val="0"/>
                <w:sz w:val="18"/>
                <w:szCs w:val="18"/>
                <w:u w:val="none"/>
                <w:lang w:val="en-US" w:eastAsia="zh-CN" w:bidi="ar"/>
              </w:rPr>
              <w:t>名，上一年度交流轮岗教师</w:t>
            </w:r>
            <w:r>
              <w:rPr>
                <w:rFonts w:hint="eastAsia" w:ascii="Times New Roman" w:hAnsi="Times New Roman" w:eastAsiaTheme="minorEastAsia" w:cstheme="minorEastAsia"/>
                <w:i w:val="0"/>
                <w:iCs w:val="0"/>
                <w:color w:val="000000"/>
                <w:kern w:val="0"/>
                <w:sz w:val="18"/>
                <w:szCs w:val="18"/>
                <w:u w:val="none"/>
                <w:lang w:val="en-US" w:eastAsia="zh-CN" w:bidi="ar"/>
              </w:rPr>
              <w:t>491</w:t>
            </w:r>
            <w:r>
              <w:rPr>
                <w:rFonts w:hint="eastAsia" w:asciiTheme="minorEastAsia" w:hAnsiTheme="minorEastAsia" w:eastAsiaTheme="minorEastAsia" w:cstheme="minorEastAsia"/>
                <w:i w:val="0"/>
                <w:iCs w:val="0"/>
                <w:color w:val="000000"/>
                <w:kern w:val="0"/>
                <w:sz w:val="18"/>
                <w:szCs w:val="18"/>
                <w:u w:val="none"/>
                <w:lang w:val="en-US" w:eastAsia="zh-CN" w:bidi="ar"/>
              </w:rPr>
              <w:t>名，交流轮岗教师占符合交流轮岗条件教师总数的比例</w:t>
            </w:r>
            <w:r>
              <w:rPr>
                <w:rFonts w:hint="eastAsia" w:ascii="Times New Roman" w:hAnsi="Times New Roman" w:eastAsiaTheme="minorEastAsia" w:cstheme="minorEastAsia"/>
                <w:i w:val="0"/>
                <w:iCs w:val="0"/>
                <w:color w:val="000000"/>
                <w:kern w:val="0"/>
                <w:sz w:val="18"/>
                <w:szCs w:val="18"/>
                <w:u w:val="none"/>
                <w:lang w:val="en-US" w:eastAsia="zh-CN" w:bidi="ar"/>
              </w:rPr>
              <w:t>26</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imes New Roman" w:hAnsi="Times New Roman" w:eastAsia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；交流轮岗的骨干教师</w:t>
            </w:r>
            <w:r>
              <w:rPr>
                <w:rFonts w:hint="eastAsia" w:ascii="Times New Roman" w:hAnsi="Times New Roman" w:eastAsiaTheme="minorEastAsia" w:cstheme="minorEastAsia"/>
                <w:i w:val="0"/>
                <w:iCs w:val="0"/>
                <w:color w:val="000000"/>
                <w:kern w:val="0"/>
                <w:sz w:val="18"/>
                <w:szCs w:val="18"/>
                <w:u w:val="none"/>
                <w:lang w:val="en-US" w:eastAsia="zh-CN" w:bidi="ar"/>
              </w:rPr>
              <w:t>202</w:t>
            </w:r>
            <w:r>
              <w:rPr>
                <w:rFonts w:hint="eastAsia" w:asciiTheme="minorEastAsia" w:hAnsiTheme="minorEastAsia" w:eastAsiaTheme="minorEastAsia" w:cstheme="minorEastAsia"/>
                <w:i w:val="0"/>
                <w:iCs w:val="0"/>
                <w:color w:val="000000"/>
                <w:kern w:val="0"/>
                <w:sz w:val="18"/>
                <w:szCs w:val="18"/>
                <w:u w:val="none"/>
                <w:lang w:val="en-US" w:eastAsia="zh-CN" w:bidi="ar"/>
              </w:rPr>
              <w:t>名，占交流轮岗教师总数的比例</w:t>
            </w:r>
            <w:r>
              <w:rPr>
                <w:rFonts w:hint="eastAsia" w:ascii="Times New Roman" w:hAnsi="Times New Roman" w:eastAsiaTheme="minorEastAsia" w:cstheme="minorEastAsia"/>
                <w:i w:val="0"/>
                <w:iCs w:val="0"/>
                <w:color w:val="000000"/>
                <w:kern w:val="0"/>
                <w:sz w:val="18"/>
                <w:szCs w:val="18"/>
                <w:u w:val="none"/>
                <w:lang w:val="en-US" w:eastAsia="zh-CN" w:bidi="ar"/>
              </w:rPr>
              <w:t>41</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imes New Roman" w:hAnsi="Times New Roman" w:eastAsia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297" w:type="dxa"/>
            <w:tcBorders>
              <w:bottom w:val="single" w:color="000000" w:sz="4" w:space="0"/>
              <w:right w:val="single" w:color="000000" w:sz="4" w:space="0"/>
            </w:tcBorders>
            <w:noWrap w:val="0"/>
            <w:vAlign w:val="center"/>
          </w:tcPr>
          <w:p w14:paraId="23641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5D436E83">
        <w:tblPrEx>
          <w:tblCellMar>
            <w:top w:w="0" w:type="dxa"/>
            <w:left w:w="108" w:type="dxa"/>
            <w:bottom w:w="0" w:type="dxa"/>
            <w:right w:w="108" w:type="dxa"/>
          </w:tblCellMar>
        </w:tblPrEx>
        <w:trPr>
          <w:trHeight w:val="475" w:hRule="atLeast"/>
        </w:trPr>
        <w:tc>
          <w:tcPr>
            <w:tcW w:w="5617" w:type="dxa"/>
            <w:tcBorders>
              <w:left w:val="single" w:color="000000" w:sz="4" w:space="0"/>
              <w:bottom w:val="single" w:color="000000" w:sz="4" w:space="0"/>
              <w:right w:val="single" w:color="000000" w:sz="4" w:space="0"/>
            </w:tcBorders>
            <w:noWrap w:val="0"/>
            <w:vAlign w:val="center"/>
          </w:tcPr>
          <w:p w14:paraId="385C5512">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12</w:t>
            </w:r>
            <w:r>
              <w:rPr>
                <w:rFonts w:hint="eastAsia" w:asciiTheme="minorEastAsia" w:hAnsiTheme="minorEastAsia" w:eastAsiaTheme="minorEastAsia" w:cstheme="minorEastAsia"/>
                <w:color w:val="000000"/>
                <w:kern w:val="0"/>
                <w:sz w:val="18"/>
                <w:szCs w:val="18"/>
              </w:rPr>
              <w:t>.专任教师持有教师资格证上岗率达到</w:t>
            </w:r>
            <w:r>
              <w:rPr>
                <w:rFonts w:hint="eastAsia" w:ascii="Times New Roman" w:hAnsi="Times New Roman" w:eastAsiaTheme="minorEastAsia" w:cstheme="minorEastAsia"/>
                <w:color w:val="000000"/>
                <w:kern w:val="0"/>
                <w:sz w:val="18"/>
                <w:szCs w:val="18"/>
              </w:rPr>
              <w:t>100%</w:t>
            </w:r>
          </w:p>
        </w:tc>
        <w:tc>
          <w:tcPr>
            <w:tcW w:w="7532" w:type="dxa"/>
            <w:tcBorders>
              <w:bottom w:val="single" w:color="000000" w:sz="4" w:space="0"/>
              <w:right w:val="single" w:color="000000" w:sz="4" w:space="0"/>
            </w:tcBorders>
            <w:noWrap w:val="0"/>
            <w:vAlign w:val="center"/>
          </w:tcPr>
          <w:p w14:paraId="6C726D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全区在岗专任教师</w:t>
            </w:r>
            <w:r>
              <w:rPr>
                <w:rFonts w:hint="eastAsia" w:ascii="Times New Roman" w:hAnsi="Times New Roman" w:eastAsiaTheme="minorEastAsia" w:cstheme="minorEastAsia"/>
                <w:i w:val="0"/>
                <w:iCs w:val="0"/>
                <w:color w:val="000000"/>
                <w:kern w:val="0"/>
                <w:sz w:val="18"/>
                <w:szCs w:val="18"/>
                <w:u w:val="none"/>
                <w:lang w:val="en-US" w:eastAsia="zh-CN" w:bidi="ar"/>
              </w:rPr>
              <w:t>14054</w:t>
            </w:r>
            <w:r>
              <w:rPr>
                <w:rFonts w:hint="eastAsia" w:asciiTheme="minorEastAsia" w:hAnsiTheme="minorEastAsia" w:eastAsiaTheme="minorEastAsia" w:cstheme="minorEastAsia"/>
                <w:i w:val="0"/>
                <w:iCs w:val="0"/>
                <w:color w:val="000000"/>
                <w:kern w:val="0"/>
                <w:sz w:val="18"/>
                <w:szCs w:val="18"/>
                <w:u w:val="none"/>
                <w:lang w:val="en-US" w:eastAsia="zh-CN" w:bidi="ar"/>
              </w:rPr>
              <w:t>人，其中持有教师资格证的专任教师</w:t>
            </w:r>
            <w:r>
              <w:rPr>
                <w:rFonts w:hint="eastAsia" w:ascii="Times New Roman" w:hAnsi="Times New Roman" w:eastAsiaTheme="minorEastAsia" w:cstheme="minorEastAsia"/>
                <w:i w:val="0"/>
                <w:iCs w:val="0"/>
                <w:color w:val="000000"/>
                <w:kern w:val="0"/>
                <w:sz w:val="18"/>
                <w:szCs w:val="18"/>
                <w:u w:val="none"/>
                <w:lang w:val="en-US" w:eastAsia="zh-CN" w:bidi="ar"/>
              </w:rPr>
              <w:t>14054</w:t>
            </w:r>
            <w:r>
              <w:rPr>
                <w:rFonts w:hint="eastAsia" w:asciiTheme="minorEastAsia" w:hAnsiTheme="minorEastAsia" w:eastAsiaTheme="minorEastAsia" w:cstheme="minorEastAsia"/>
                <w:i w:val="0"/>
                <w:iCs w:val="0"/>
                <w:color w:val="000000"/>
                <w:kern w:val="0"/>
                <w:sz w:val="18"/>
                <w:szCs w:val="18"/>
                <w:u w:val="none"/>
                <w:lang w:val="en-US" w:eastAsia="zh-CN" w:bidi="ar"/>
              </w:rPr>
              <w:t>人，占比</w:t>
            </w:r>
            <w:r>
              <w:rPr>
                <w:rFonts w:hint="eastAsia" w:ascii="Times New Roman" w:hAnsi="Times New Roman" w:eastAsiaTheme="minorEastAsia" w:cstheme="minorEastAsia"/>
                <w:i w:val="0"/>
                <w:iCs w:val="0"/>
                <w:color w:val="000000"/>
                <w:kern w:val="0"/>
                <w:sz w:val="18"/>
                <w:szCs w:val="18"/>
                <w:u w:val="none"/>
                <w:lang w:val="en-US" w:eastAsia="zh-CN" w:bidi="ar"/>
              </w:rPr>
              <w:t>100</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imes New Roman" w:hAnsi="Times New Roman" w:eastAsiaTheme="minorEastAsia" w:cstheme="minorEastAsia"/>
                <w:i w:val="0"/>
                <w:iCs w:val="0"/>
                <w:color w:val="000000"/>
                <w:kern w:val="0"/>
                <w:sz w:val="18"/>
                <w:szCs w:val="18"/>
                <w:u w:val="none"/>
                <w:lang w:val="en-US" w:eastAsia="zh-CN" w:bidi="ar"/>
              </w:rPr>
              <w:t>0%</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297" w:type="dxa"/>
            <w:tcBorders>
              <w:bottom w:val="single" w:color="000000" w:sz="4" w:space="0"/>
              <w:right w:val="single" w:color="000000" w:sz="4" w:space="0"/>
            </w:tcBorders>
            <w:noWrap w:val="0"/>
            <w:vAlign w:val="center"/>
          </w:tcPr>
          <w:p w14:paraId="78879D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333C0388">
        <w:tblPrEx>
          <w:tblCellMar>
            <w:top w:w="0" w:type="dxa"/>
            <w:left w:w="108" w:type="dxa"/>
            <w:bottom w:w="0" w:type="dxa"/>
            <w:right w:w="108" w:type="dxa"/>
          </w:tblCellMar>
        </w:tblPrEx>
        <w:trPr>
          <w:trHeight w:val="411" w:hRule="atLeast"/>
        </w:trPr>
        <w:tc>
          <w:tcPr>
            <w:tcW w:w="5617" w:type="dxa"/>
            <w:tcBorders>
              <w:left w:val="single" w:color="000000" w:sz="4" w:space="0"/>
              <w:bottom w:val="single" w:color="000000" w:sz="4" w:space="0"/>
              <w:right w:val="single" w:color="000000" w:sz="4" w:space="0"/>
            </w:tcBorders>
            <w:noWrap w:val="0"/>
            <w:vAlign w:val="center"/>
          </w:tcPr>
          <w:p w14:paraId="16C30D03">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13</w:t>
            </w:r>
            <w:r>
              <w:rPr>
                <w:rFonts w:hint="eastAsia" w:asciiTheme="minorEastAsia" w:hAnsiTheme="minorEastAsia" w:eastAsiaTheme="minorEastAsia" w:cstheme="minorEastAsia"/>
                <w:color w:val="000000"/>
                <w:kern w:val="0"/>
                <w:sz w:val="18"/>
                <w:szCs w:val="18"/>
              </w:rPr>
              <w:t>.城区和镇区公办小学、初中（均不含寄宿制学校）就近划片入学比例分别达到</w:t>
            </w:r>
            <w:r>
              <w:rPr>
                <w:rFonts w:hint="eastAsia" w:ascii="Times New Roman" w:hAnsi="Times New Roman" w:eastAsiaTheme="minorEastAsia" w:cstheme="minorEastAsia"/>
                <w:color w:val="000000"/>
                <w:kern w:val="0"/>
                <w:sz w:val="18"/>
                <w:szCs w:val="18"/>
              </w:rPr>
              <w:t>100%</w:t>
            </w:r>
            <w:r>
              <w:rPr>
                <w:rFonts w:hint="eastAsia" w:asciiTheme="minorEastAsia" w:hAnsiTheme="minorEastAsia" w:eastAsiaTheme="minorEastAsia" w:cstheme="minorEastAsia"/>
                <w:color w:val="000000"/>
                <w:kern w:val="0"/>
                <w:sz w:val="18"/>
                <w:szCs w:val="18"/>
              </w:rPr>
              <w:t>、</w:t>
            </w:r>
            <w:r>
              <w:rPr>
                <w:rFonts w:hint="eastAsia" w:ascii="Times New Roman" w:hAnsi="Times New Roman" w:eastAsiaTheme="minorEastAsia" w:cstheme="minorEastAsia"/>
                <w:color w:val="000000"/>
                <w:kern w:val="0"/>
                <w:sz w:val="18"/>
                <w:szCs w:val="18"/>
              </w:rPr>
              <w:t>95%</w:t>
            </w:r>
            <w:r>
              <w:rPr>
                <w:rFonts w:hint="eastAsia" w:asciiTheme="minorEastAsia" w:hAnsiTheme="minorEastAsia" w:eastAsiaTheme="minorEastAsia" w:cstheme="minorEastAsia"/>
                <w:color w:val="000000"/>
                <w:kern w:val="0"/>
                <w:sz w:val="18"/>
                <w:szCs w:val="18"/>
              </w:rPr>
              <w:t>以上</w:t>
            </w:r>
          </w:p>
        </w:tc>
        <w:tc>
          <w:tcPr>
            <w:tcW w:w="7532" w:type="dxa"/>
            <w:tcBorders>
              <w:bottom w:val="single" w:color="000000" w:sz="4" w:space="0"/>
              <w:right w:val="single" w:color="000000" w:sz="4" w:space="0"/>
            </w:tcBorders>
            <w:noWrap w:val="0"/>
            <w:vAlign w:val="center"/>
          </w:tcPr>
          <w:p w14:paraId="64E48D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城区和镇区公办小学、初中（均不含寄宿制学校）就近划片入学比例分别</w:t>
            </w:r>
            <w:r>
              <w:rPr>
                <w:rFonts w:hint="eastAsia" w:ascii="Times New Roman" w:hAnsi="Times New Roman" w:eastAsiaTheme="minorEastAsia" w:cstheme="minorEastAsia"/>
                <w:i w:val="0"/>
                <w:iCs w:val="0"/>
                <w:color w:val="000000"/>
                <w:kern w:val="0"/>
                <w:sz w:val="18"/>
                <w:szCs w:val="18"/>
                <w:u w:val="none"/>
                <w:lang w:val="en-US" w:eastAsia="zh-CN" w:bidi="ar"/>
              </w:rPr>
              <w:t>100%</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imes New Roman" w:hAnsi="Times New Roman" w:eastAsiaTheme="minorEastAsia" w:cstheme="minorEastAsia"/>
                <w:i w:val="0"/>
                <w:iCs w:val="0"/>
                <w:color w:val="000000"/>
                <w:kern w:val="0"/>
                <w:sz w:val="18"/>
                <w:szCs w:val="18"/>
                <w:u w:val="none"/>
                <w:lang w:val="en-US" w:eastAsia="zh-CN" w:bidi="ar"/>
              </w:rPr>
              <w:t>100%</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297" w:type="dxa"/>
            <w:tcBorders>
              <w:bottom w:val="single" w:color="000000" w:sz="4" w:space="0"/>
              <w:right w:val="single" w:color="000000" w:sz="4" w:space="0"/>
            </w:tcBorders>
            <w:noWrap w:val="0"/>
            <w:vAlign w:val="center"/>
          </w:tcPr>
          <w:p w14:paraId="4BE67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0EE25E88">
        <w:tblPrEx>
          <w:tblCellMar>
            <w:top w:w="0" w:type="dxa"/>
            <w:left w:w="108" w:type="dxa"/>
            <w:bottom w:w="0" w:type="dxa"/>
            <w:right w:w="108" w:type="dxa"/>
          </w:tblCellMar>
        </w:tblPrEx>
        <w:trPr>
          <w:trHeight w:val="604" w:hRule="atLeast"/>
        </w:trPr>
        <w:tc>
          <w:tcPr>
            <w:tcW w:w="5617" w:type="dxa"/>
            <w:tcBorders>
              <w:left w:val="single" w:color="000000" w:sz="4" w:space="0"/>
              <w:bottom w:val="single" w:color="000000" w:sz="4" w:space="0"/>
              <w:right w:val="single" w:color="000000" w:sz="4" w:space="0"/>
            </w:tcBorders>
            <w:noWrap w:val="0"/>
            <w:vAlign w:val="center"/>
          </w:tcPr>
          <w:p w14:paraId="701A242D">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14</w:t>
            </w:r>
            <w:r>
              <w:rPr>
                <w:rFonts w:hint="eastAsia" w:asciiTheme="minorEastAsia" w:hAnsiTheme="minorEastAsia" w:eastAsiaTheme="minorEastAsia" w:cstheme="minorEastAsia"/>
                <w:color w:val="000000"/>
                <w:kern w:val="0"/>
                <w:sz w:val="18"/>
                <w:szCs w:val="18"/>
              </w:rPr>
              <w:t>.全县优质高中招生名额分配比例不低于</w:t>
            </w:r>
            <w:r>
              <w:rPr>
                <w:rFonts w:hint="eastAsia" w:ascii="Times New Roman" w:hAnsi="Times New Roman" w:eastAsiaTheme="minorEastAsia" w:cstheme="minorEastAsia"/>
                <w:color w:val="000000"/>
                <w:kern w:val="0"/>
                <w:sz w:val="18"/>
                <w:szCs w:val="18"/>
              </w:rPr>
              <w:t>50%</w:t>
            </w:r>
            <w:r>
              <w:rPr>
                <w:rFonts w:hint="eastAsia" w:asciiTheme="minorEastAsia" w:hAnsiTheme="minorEastAsia" w:eastAsiaTheme="minorEastAsia" w:cstheme="minorEastAsia"/>
                <w:color w:val="000000"/>
                <w:kern w:val="0"/>
                <w:sz w:val="18"/>
                <w:szCs w:val="18"/>
              </w:rPr>
              <w:t>，并向农村初中倾斜</w:t>
            </w:r>
          </w:p>
        </w:tc>
        <w:tc>
          <w:tcPr>
            <w:tcW w:w="7532" w:type="dxa"/>
            <w:tcBorders>
              <w:bottom w:val="single" w:color="000000" w:sz="4" w:space="0"/>
              <w:right w:val="single" w:color="000000" w:sz="4" w:space="0"/>
            </w:tcBorders>
            <w:noWrap w:val="0"/>
            <w:vAlign w:val="center"/>
          </w:tcPr>
          <w:p w14:paraId="0A9902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我区</w:t>
            </w:r>
            <w:r>
              <w:rPr>
                <w:rFonts w:hint="eastAsia" w:ascii="Times New Roman" w:hAnsi="Times New Roman" w:eastAsiaTheme="minorEastAsia" w:cstheme="minorEastAsia"/>
                <w:i w:val="0"/>
                <w:iCs w:val="0"/>
                <w:color w:val="000000"/>
                <w:kern w:val="0"/>
                <w:sz w:val="18"/>
                <w:szCs w:val="18"/>
                <w:u w:val="none"/>
                <w:lang w:val="en-US" w:eastAsia="zh-CN" w:bidi="ar"/>
              </w:rPr>
              <w:t>2025</w:t>
            </w:r>
            <w:r>
              <w:rPr>
                <w:rFonts w:hint="eastAsia" w:asciiTheme="minorEastAsia" w:hAnsiTheme="minorEastAsia" w:eastAsiaTheme="minorEastAsia" w:cstheme="minorEastAsia"/>
                <w:i w:val="0"/>
                <w:iCs w:val="0"/>
                <w:color w:val="000000"/>
                <w:kern w:val="0"/>
                <w:sz w:val="18"/>
                <w:szCs w:val="18"/>
                <w:u w:val="none"/>
                <w:lang w:val="en-US" w:eastAsia="zh-CN" w:bidi="ar"/>
              </w:rPr>
              <w:t>年优质高中招生名额</w:t>
            </w:r>
            <w:r>
              <w:rPr>
                <w:rFonts w:hint="eastAsia" w:ascii="Times New Roman" w:hAnsi="Times New Roman" w:eastAsiaTheme="minorEastAsia" w:cstheme="minorEastAsia"/>
                <w:i w:val="0"/>
                <w:iCs w:val="0"/>
                <w:color w:val="000000"/>
                <w:kern w:val="0"/>
                <w:sz w:val="18"/>
                <w:szCs w:val="18"/>
                <w:u w:val="none"/>
                <w:lang w:val="en-US" w:eastAsia="zh-CN" w:bidi="ar"/>
              </w:rPr>
              <w:t>3978</w:t>
            </w:r>
            <w:r>
              <w:rPr>
                <w:rFonts w:hint="eastAsia" w:asciiTheme="minorEastAsia" w:hAnsiTheme="minorEastAsia" w:eastAsiaTheme="minorEastAsia" w:cstheme="minorEastAsia"/>
                <w:i w:val="0"/>
                <w:iCs w:val="0"/>
                <w:color w:val="000000"/>
                <w:kern w:val="0"/>
                <w:sz w:val="18"/>
                <w:szCs w:val="18"/>
                <w:u w:val="none"/>
                <w:lang w:val="en-US" w:eastAsia="zh-CN" w:bidi="ar"/>
              </w:rPr>
              <w:t>人，区属名额分配计划招生</w:t>
            </w:r>
            <w:r>
              <w:rPr>
                <w:rFonts w:hint="eastAsia" w:ascii="Times New Roman" w:hAnsi="Times New Roman" w:eastAsiaTheme="minorEastAsia" w:cstheme="minorEastAsia"/>
                <w:i w:val="0"/>
                <w:iCs w:val="0"/>
                <w:color w:val="000000"/>
                <w:kern w:val="0"/>
                <w:sz w:val="18"/>
                <w:szCs w:val="18"/>
                <w:u w:val="none"/>
                <w:lang w:val="en-US" w:eastAsia="zh-CN" w:bidi="ar"/>
              </w:rPr>
              <w:t>1989</w:t>
            </w:r>
            <w:r>
              <w:rPr>
                <w:rFonts w:hint="eastAsia" w:asciiTheme="minorEastAsia" w:hAnsiTheme="minorEastAsia" w:eastAsiaTheme="minorEastAsia" w:cstheme="minorEastAsia"/>
                <w:i w:val="0"/>
                <w:iCs w:val="0"/>
                <w:color w:val="000000"/>
                <w:kern w:val="0"/>
                <w:sz w:val="18"/>
                <w:szCs w:val="18"/>
                <w:u w:val="none"/>
                <w:lang w:val="en-US" w:eastAsia="zh-CN" w:bidi="ar"/>
              </w:rPr>
              <w:t>人，占比</w:t>
            </w:r>
            <w:r>
              <w:rPr>
                <w:rFonts w:hint="eastAsia" w:ascii="Times New Roman" w:hAnsi="Times New Roman" w:eastAsiaTheme="minorEastAsia" w:cstheme="minorEastAsia"/>
                <w:i w:val="0"/>
                <w:iCs w:val="0"/>
                <w:color w:val="000000"/>
                <w:kern w:val="0"/>
                <w:sz w:val="18"/>
                <w:szCs w:val="18"/>
                <w:u w:val="none"/>
                <w:lang w:val="en-US" w:eastAsia="zh-CN" w:bidi="ar"/>
              </w:rPr>
              <w:t>50%</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297" w:type="dxa"/>
            <w:tcBorders>
              <w:bottom w:val="single" w:color="000000" w:sz="4" w:space="0"/>
              <w:right w:val="single" w:color="000000" w:sz="4" w:space="0"/>
            </w:tcBorders>
            <w:noWrap w:val="0"/>
            <w:vAlign w:val="center"/>
          </w:tcPr>
          <w:p w14:paraId="450AE2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r w14:paraId="00FF09BD">
        <w:tblPrEx>
          <w:tblCellMar>
            <w:top w:w="0" w:type="dxa"/>
            <w:left w:w="108" w:type="dxa"/>
            <w:bottom w:w="0" w:type="dxa"/>
            <w:right w:w="108" w:type="dxa"/>
          </w:tblCellMar>
        </w:tblPrEx>
        <w:trPr>
          <w:trHeight w:val="839" w:hRule="atLeast"/>
        </w:trPr>
        <w:tc>
          <w:tcPr>
            <w:tcW w:w="5617" w:type="dxa"/>
            <w:tcBorders>
              <w:left w:val="single" w:color="000000" w:sz="4" w:space="0"/>
              <w:bottom w:val="single" w:color="000000" w:sz="4" w:space="0"/>
              <w:right w:val="single" w:color="000000" w:sz="4" w:space="0"/>
            </w:tcBorders>
            <w:noWrap w:val="0"/>
            <w:vAlign w:val="center"/>
          </w:tcPr>
          <w:p w14:paraId="415A4410">
            <w:pPr>
              <w:keepNext w:val="0"/>
              <w:keepLines w:val="0"/>
              <w:pageBreakBefore w:val="0"/>
              <w:widowControl/>
              <w:kinsoku/>
              <w:wordWrap/>
              <w:overflowPunct/>
              <w:topLinePunct w:val="0"/>
              <w:autoSpaceDE/>
              <w:autoSpaceDN/>
              <w:bidi w:val="0"/>
              <w:adjustRightInd/>
              <w:snapToGrid/>
              <w:spacing w:line="280" w:lineRule="exact"/>
              <w:rPr>
                <w:rFonts w:hint="eastAsia" w:asciiTheme="minorEastAsia" w:hAnsiTheme="minorEastAsia" w:eastAsiaTheme="minorEastAsia" w:cstheme="minorEastAsia"/>
                <w:color w:val="000000"/>
                <w:kern w:val="0"/>
                <w:sz w:val="18"/>
                <w:szCs w:val="18"/>
              </w:rPr>
            </w:pPr>
            <w:r>
              <w:rPr>
                <w:rFonts w:hint="eastAsia" w:ascii="Times New Roman" w:hAnsi="Times New Roman" w:eastAsiaTheme="minorEastAsia" w:cstheme="minorEastAsia"/>
                <w:color w:val="000000"/>
                <w:kern w:val="0"/>
                <w:sz w:val="18"/>
                <w:szCs w:val="18"/>
              </w:rPr>
              <w:t>15</w:t>
            </w:r>
            <w:r>
              <w:rPr>
                <w:rFonts w:hint="eastAsia" w:asciiTheme="minorEastAsia" w:hAnsiTheme="minorEastAsia" w:eastAsiaTheme="minorEastAsia" w:cstheme="minorEastAsia"/>
                <w:color w:val="000000"/>
                <w:kern w:val="0"/>
                <w:sz w:val="18"/>
                <w:szCs w:val="18"/>
              </w:rPr>
              <w:t>.留守儿童关爱体系健全，全县符合条件的随迁子女在公办学校和政府购买服务的民办学校就读的比例不低于</w:t>
            </w:r>
            <w:r>
              <w:rPr>
                <w:rFonts w:hint="eastAsia" w:ascii="Times New Roman" w:hAnsi="Times New Roman" w:eastAsiaTheme="minorEastAsia" w:cstheme="minorEastAsia"/>
                <w:color w:val="000000"/>
                <w:kern w:val="0"/>
                <w:sz w:val="18"/>
                <w:szCs w:val="18"/>
              </w:rPr>
              <w:t>85%</w:t>
            </w:r>
          </w:p>
        </w:tc>
        <w:tc>
          <w:tcPr>
            <w:tcW w:w="7532" w:type="dxa"/>
            <w:tcBorders>
              <w:bottom w:val="single" w:color="000000" w:sz="4" w:space="0"/>
              <w:right w:val="single" w:color="000000" w:sz="4" w:space="0"/>
            </w:tcBorders>
            <w:noWrap w:val="0"/>
            <w:vAlign w:val="center"/>
          </w:tcPr>
          <w:p w14:paraId="486AC0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全区符合条件的随迁子女数</w:t>
            </w:r>
            <w:r>
              <w:rPr>
                <w:rFonts w:hint="eastAsia" w:ascii="Times New Roman" w:hAnsi="Times New Roman" w:eastAsiaTheme="minorEastAsia" w:cstheme="minorEastAsia"/>
                <w:i w:val="0"/>
                <w:iCs w:val="0"/>
                <w:color w:val="000000"/>
                <w:kern w:val="0"/>
                <w:sz w:val="18"/>
                <w:szCs w:val="18"/>
                <w:u w:val="none"/>
                <w:lang w:val="en-US" w:eastAsia="zh-CN" w:bidi="ar"/>
              </w:rPr>
              <w:t>50184</w:t>
            </w:r>
            <w:r>
              <w:rPr>
                <w:rFonts w:hint="eastAsia" w:asciiTheme="minorEastAsia" w:hAnsiTheme="minorEastAsia" w:eastAsiaTheme="minorEastAsia" w:cstheme="minorEastAsia"/>
                <w:i w:val="0"/>
                <w:iCs w:val="0"/>
                <w:color w:val="000000"/>
                <w:kern w:val="0"/>
                <w:sz w:val="18"/>
                <w:szCs w:val="18"/>
                <w:u w:val="none"/>
                <w:lang w:val="en-US" w:eastAsia="zh-CN" w:bidi="ar"/>
              </w:rPr>
              <w:t>人，在公办学校就读</w:t>
            </w:r>
            <w:r>
              <w:rPr>
                <w:rFonts w:hint="eastAsia" w:ascii="Times New Roman" w:hAnsi="Times New Roman" w:eastAsiaTheme="minorEastAsia" w:cstheme="minorEastAsia"/>
                <w:i w:val="0"/>
                <w:iCs w:val="0"/>
                <w:color w:val="000000"/>
                <w:kern w:val="0"/>
                <w:sz w:val="18"/>
                <w:szCs w:val="18"/>
                <w:u w:val="none"/>
                <w:lang w:val="en-US" w:eastAsia="zh-CN" w:bidi="ar"/>
              </w:rPr>
              <w:t>22689</w:t>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人，在政府购买服务的民办学校就读</w:t>
            </w:r>
            <w:r>
              <w:rPr>
                <w:rFonts w:hint="eastAsia" w:ascii="Times New Roman" w:hAnsi="Times New Roman" w:eastAsiaTheme="minorEastAsia" w:cstheme="minorEastAsia"/>
                <w:i w:val="0"/>
                <w:iCs w:val="0"/>
                <w:color w:val="000000"/>
                <w:kern w:val="0"/>
                <w:sz w:val="18"/>
                <w:szCs w:val="18"/>
                <w:u w:val="none"/>
                <w:lang w:val="en-US" w:eastAsia="zh-CN" w:bidi="ar"/>
              </w:rPr>
              <w:t>27495</w:t>
            </w:r>
            <w:r>
              <w:rPr>
                <w:rFonts w:hint="eastAsia" w:asciiTheme="minorEastAsia" w:hAnsiTheme="minorEastAsia" w:eastAsiaTheme="minorEastAsia" w:cstheme="minorEastAsia"/>
                <w:i w:val="0"/>
                <w:iCs w:val="0"/>
                <w:color w:val="000000"/>
                <w:kern w:val="0"/>
                <w:sz w:val="18"/>
                <w:szCs w:val="18"/>
                <w:u w:val="none"/>
                <w:lang w:val="en-US" w:eastAsia="zh-CN" w:bidi="ar"/>
              </w:rPr>
              <w:t>人，合计</w:t>
            </w:r>
            <w:r>
              <w:rPr>
                <w:rFonts w:hint="eastAsia" w:ascii="Times New Roman" w:hAnsi="Times New Roman" w:eastAsiaTheme="minorEastAsia" w:cstheme="minorEastAsia"/>
                <w:i w:val="0"/>
                <w:iCs w:val="0"/>
                <w:color w:val="000000"/>
                <w:kern w:val="0"/>
                <w:sz w:val="18"/>
                <w:szCs w:val="18"/>
                <w:u w:val="none"/>
                <w:lang w:val="en-US" w:eastAsia="zh-CN" w:bidi="ar"/>
              </w:rPr>
              <w:t>50184</w:t>
            </w:r>
            <w:r>
              <w:rPr>
                <w:rFonts w:hint="eastAsia" w:asciiTheme="minorEastAsia" w:hAnsiTheme="minorEastAsia" w:eastAsiaTheme="minorEastAsia" w:cstheme="minorEastAsia"/>
                <w:i w:val="0"/>
                <w:iCs w:val="0"/>
                <w:color w:val="000000"/>
                <w:kern w:val="0"/>
                <w:sz w:val="18"/>
                <w:szCs w:val="18"/>
                <w:u w:val="none"/>
                <w:lang w:val="en-US" w:eastAsia="zh-CN" w:bidi="ar"/>
              </w:rPr>
              <w:t>人，占比</w:t>
            </w:r>
            <w:r>
              <w:rPr>
                <w:rFonts w:hint="eastAsia" w:ascii="Times New Roman" w:hAnsi="Times New Roman" w:eastAsiaTheme="minorEastAsia" w:cstheme="minorEastAsia"/>
                <w:i w:val="0"/>
                <w:iCs w:val="0"/>
                <w:color w:val="000000"/>
                <w:kern w:val="0"/>
                <w:sz w:val="18"/>
                <w:szCs w:val="18"/>
                <w:u w:val="none"/>
                <w:lang w:val="en-US" w:eastAsia="zh-CN" w:bidi="ar"/>
              </w:rPr>
              <w:t>100</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imes New Roman" w:hAnsi="Times New Roman" w:eastAsiaTheme="minorEastAsia" w:cstheme="minorEastAsia"/>
                <w:i w:val="0"/>
                <w:iCs w:val="0"/>
                <w:color w:val="000000"/>
                <w:kern w:val="0"/>
                <w:sz w:val="18"/>
                <w:szCs w:val="18"/>
                <w:u w:val="none"/>
                <w:lang w:val="en-US" w:eastAsia="zh-CN" w:bidi="ar"/>
              </w:rPr>
              <w:t>0%</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297" w:type="dxa"/>
            <w:tcBorders>
              <w:bottom w:val="single" w:color="000000" w:sz="4" w:space="0"/>
              <w:right w:val="single" w:color="000000" w:sz="4" w:space="0"/>
            </w:tcBorders>
            <w:noWrap w:val="0"/>
            <w:vAlign w:val="center"/>
          </w:tcPr>
          <w:p w14:paraId="3157C5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是</w:t>
            </w:r>
          </w:p>
        </w:tc>
      </w:tr>
    </w:tbl>
    <w:p w14:paraId="2035FE34">
      <w:pPr>
        <w:widowControl/>
        <w:rPr>
          <w:rFonts w:hint="eastAsia" w:ascii="仿宋_GB2312" w:hAnsi="仿宋_GB2312" w:eastAsia="仿宋_GB2312" w:cs="仿宋_GB2312"/>
          <w:szCs w:val="21"/>
        </w:rPr>
      </w:pPr>
      <w:r>
        <w:rPr>
          <w:rFonts w:hint="eastAsia" w:ascii="仿宋_GB2312" w:hAnsi="仿宋_GB2312" w:eastAsia="仿宋_GB2312" w:cs="仿宋_GB2312"/>
          <w:sz w:val="18"/>
          <w:szCs w:val="18"/>
        </w:rPr>
        <w:t>注：表中所有比例数值保留一位小数，其余保留整数。</w:t>
      </w:r>
    </w:p>
    <w:p w14:paraId="61EA292B">
      <w:pPr>
        <w:widowControl/>
        <w:jc w:val="center"/>
        <w:rPr>
          <w:rFonts w:hint="eastAsia" w:ascii="黑体" w:hAnsi="黑体" w:eastAsia="黑体" w:cs="黑体"/>
          <w:kern w:val="0"/>
          <w:sz w:val="32"/>
          <w:szCs w:val="32"/>
        </w:rPr>
      </w:pPr>
    </w:p>
    <w:p w14:paraId="2568F6A9">
      <w:pPr>
        <w:widowControl/>
        <w:jc w:val="center"/>
        <w:rPr>
          <w:rFonts w:hint="eastAsia" w:ascii="黑体" w:hAnsi="黑体" w:eastAsia="黑体" w:cs="黑体"/>
          <w:kern w:val="0"/>
          <w:sz w:val="32"/>
          <w:szCs w:val="32"/>
        </w:rPr>
      </w:pPr>
    </w:p>
    <w:p w14:paraId="47224DC4">
      <w:pPr>
        <w:widowControl/>
        <w:jc w:val="center"/>
        <w:rPr>
          <w:rFonts w:hint="eastAsia" w:ascii="黑体" w:hAnsi="黑体" w:eastAsia="黑体" w:cs="黑体"/>
          <w:kern w:val="0"/>
          <w:sz w:val="32"/>
          <w:szCs w:val="32"/>
        </w:rPr>
      </w:pPr>
    </w:p>
    <w:p w14:paraId="642FAB80">
      <w:pPr>
        <w:widowControl/>
        <w:jc w:val="center"/>
        <w:rPr>
          <w:rFonts w:hint="eastAsia" w:ascii="黑体" w:hAnsi="黑体" w:eastAsia="黑体" w:cs="黑体"/>
          <w:kern w:val="0"/>
          <w:sz w:val="32"/>
          <w:szCs w:val="32"/>
        </w:rPr>
      </w:pPr>
    </w:p>
    <w:p w14:paraId="023F1C58">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表Ⅴ 教育质量评估指标</w:t>
      </w:r>
    </w:p>
    <w:tbl>
      <w:tblPr>
        <w:tblStyle w:val="7"/>
        <w:tblW w:w="14542" w:type="dxa"/>
        <w:tblInd w:w="0" w:type="dxa"/>
        <w:tblLayout w:type="fixed"/>
        <w:tblCellMar>
          <w:top w:w="0" w:type="dxa"/>
          <w:left w:w="108" w:type="dxa"/>
          <w:bottom w:w="0" w:type="dxa"/>
          <w:right w:w="108" w:type="dxa"/>
        </w:tblCellMar>
      </w:tblPr>
      <w:tblGrid>
        <w:gridCol w:w="6046"/>
        <w:gridCol w:w="7475"/>
        <w:gridCol w:w="1021"/>
      </w:tblGrid>
      <w:tr w14:paraId="18D6287A">
        <w:tblPrEx>
          <w:tblCellMar>
            <w:top w:w="0" w:type="dxa"/>
            <w:left w:w="108" w:type="dxa"/>
            <w:bottom w:w="0" w:type="dxa"/>
            <w:right w:w="108" w:type="dxa"/>
          </w:tblCellMar>
        </w:tblPrEx>
        <w:trPr>
          <w:trHeight w:val="285" w:hRule="atLeast"/>
        </w:trPr>
        <w:tc>
          <w:tcPr>
            <w:tcW w:w="6046" w:type="dxa"/>
            <w:tcBorders>
              <w:top w:val="single" w:color="000000" w:sz="4" w:space="0"/>
              <w:left w:val="single" w:color="000000" w:sz="4" w:space="0"/>
              <w:bottom w:val="single" w:color="000000" w:sz="4" w:space="0"/>
              <w:right w:val="single" w:color="000000" w:sz="4" w:space="0"/>
            </w:tcBorders>
            <w:noWrap w:val="0"/>
            <w:vAlign w:val="center"/>
          </w:tcPr>
          <w:p w14:paraId="5F4E505D">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指标名称</w:t>
            </w:r>
          </w:p>
        </w:tc>
        <w:tc>
          <w:tcPr>
            <w:tcW w:w="7475" w:type="dxa"/>
            <w:tcBorders>
              <w:top w:val="single" w:color="auto" w:sz="4" w:space="0"/>
              <w:bottom w:val="single" w:color="000000" w:sz="4" w:space="0"/>
              <w:right w:val="single" w:color="000000" w:sz="4" w:space="0"/>
            </w:tcBorders>
            <w:noWrap w:val="0"/>
            <w:vAlign w:val="center"/>
          </w:tcPr>
          <w:p w14:paraId="2E6172A8">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指标值或简要结论</w:t>
            </w:r>
          </w:p>
        </w:tc>
        <w:tc>
          <w:tcPr>
            <w:tcW w:w="1021" w:type="dxa"/>
            <w:tcBorders>
              <w:top w:val="single" w:color="auto" w:sz="4" w:space="0"/>
              <w:bottom w:val="single" w:color="000000" w:sz="4" w:space="0"/>
              <w:right w:val="single" w:color="000000" w:sz="4" w:space="0"/>
            </w:tcBorders>
            <w:noWrap w:val="0"/>
            <w:vAlign w:val="top"/>
          </w:tcPr>
          <w:p w14:paraId="0F9D477C">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是否达标</w:t>
            </w:r>
          </w:p>
        </w:tc>
      </w:tr>
      <w:tr w14:paraId="1DB431BC">
        <w:tblPrEx>
          <w:tblCellMar>
            <w:top w:w="0" w:type="dxa"/>
            <w:left w:w="108" w:type="dxa"/>
            <w:bottom w:w="0" w:type="dxa"/>
            <w:right w:w="108" w:type="dxa"/>
          </w:tblCellMar>
        </w:tblPrEx>
        <w:trPr>
          <w:trHeight w:val="1028" w:hRule="atLeast"/>
        </w:trPr>
        <w:tc>
          <w:tcPr>
            <w:tcW w:w="6046" w:type="dxa"/>
            <w:tcBorders>
              <w:left w:val="single" w:color="000000" w:sz="4" w:space="0"/>
              <w:bottom w:val="single" w:color="000000" w:sz="4" w:space="0"/>
              <w:right w:val="single" w:color="000000" w:sz="4" w:space="0"/>
            </w:tcBorders>
            <w:noWrap w:val="0"/>
            <w:vAlign w:val="center"/>
          </w:tcPr>
          <w:p w14:paraId="798F047F">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1</w:t>
            </w:r>
            <w:r>
              <w:rPr>
                <w:rFonts w:hint="eastAsia" w:asciiTheme="majorEastAsia" w:hAnsiTheme="majorEastAsia" w:eastAsiaTheme="majorEastAsia" w:cstheme="majorEastAsia"/>
                <w:color w:val="000000"/>
                <w:kern w:val="0"/>
                <w:sz w:val="18"/>
                <w:szCs w:val="18"/>
              </w:rPr>
              <w:t>. 全县初中三年巩固率达到</w:t>
            </w:r>
            <w:r>
              <w:rPr>
                <w:rFonts w:hint="eastAsia" w:ascii="Times New Roman" w:hAnsi="Times New Roman" w:eastAsiaTheme="majorEastAsia" w:cstheme="majorEastAsia"/>
                <w:color w:val="000000"/>
                <w:kern w:val="0"/>
                <w:sz w:val="18"/>
                <w:szCs w:val="18"/>
              </w:rPr>
              <w:t>95%</w:t>
            </w:r>
            <w:r>
              <w:rPr>
                <w:rFonts w:hint="eastAsia" w:asciiTheme="majorEastAsia" w:hAnsiTheme="majorEastAsia" w:eastAsiaTheme="majorEastAsia" w:cstheme="majorEastAsia"/>
                <w:color w:val="000000"/>
                <w:kern w:val="0"/>
                <w:sz w:val="18"/>
                <w:szCs w:val="18"/>
              </w:rPr>
              <w:t>以上</w:t>
            </w:r>
          </w:p>
        </w:tc>
        <w:tc>
          <w:tcPr>
            <w:tcW w:w="7475" w:type="dxa"/>
            <w:tcBorders>
              <w:bottom w:val="single" w:color="000000" w:sz="4" w:space="0"/>
              <w:right w:val="single" w:color="000000" w:sz="4" w:space="0"/>
            </w:tcBorders>
            <w:noWrap w:val="0"/>
            <w:vAlign w:val="center"/>
          </w:tcPr>
          <w:p w14:paraId="7767494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imes New Roman" w:hAnsi="Times New Roman" w:eastAsiaTheme="majorEastAsia" w:cstheme="majorEastAsia"/>
                <w:i w:val="0"/>
                <w:iCs w:val="0"/>
                <w:color w:val="000000"/>
                <w:kern w:val="0"/>
                <w:sz w:val="18"/>
                <w:szCs w:val="18"/>
                <w:u w:val="none"/>
                <w:lang w:val="en-US" w:eastAsia="zh-CN" w:bidi="ar"/>
              </w:rPr>
              <w:t>2025</w:t>
            </w:r>
            <w:r>
              <w:rPr>
                <w:rFonts w:hint="eastAsia" w:asciiTheme="majorEastAsia" w:hAnsiTheme="majorEastAsia" w:eastAsiaTheme="majorEastAsia" w:cstheme="majorEastAsia"/>
                <w:i w:val="0"/>
                <w:iCs w:val="0"/>
                <w:color w:val="000000"/>
                <w:kern w:val="0"/>
                <w:sz w:val="18"/>
                <w:szCs w:val="18"/>
                <w:u w:val="none"/>
                <w:lang w:val="en-US" w:eastAsia="zh-CN" w:bidi="ar"/>
              </w:rPr>
              <w:t>年初中毕业生数为</w:t>
            </w:r>
            <w:r>
              <w:rPr>
                <w:rFonts w:hint="eastAsia" w:ascii="Times New Roman" w:hAnsi="Times New Roman" w:eastAsiaTheme="majorEastAsia" w:cstheme="majorEastAsia"/>
                <w:i w:val="0"/>
                <w:iCs w:val="0"/>
                <w:color w:val="000000"/>
                <w:kern w:val="0"/>
                <w:sz w:val="18"/>
                <w:szCs w:val="18"/>
                <w:u w:val="none"/>
                <w:lang w:val="en-US" w:eastAsia="zh-CN" w:bidi="ar"/>
              </w:rPr>
              <w:t>16748</w:t>
            </w:r>
            <w:r>
              <w:rPr>
                <w:rFonts w:hint="eastAsia" w:asciiTheme="majorEastAsia" w:hAnsiTheme="majorEastAsia" w:eastAsiaTheme="majorEastAsia" w:cstheme="majorEastAsia"/>
                <w:i w:val="0"/>
                <w:iCs w:val="0"/>
                <w:color w:val="000000"/>
                <w:kern w:val="0"/>
                <w:sz w:val="18"/>
                <w:szCs w:val="18"/>
                <w:u w:val="none"/>
                <w:lang w:val="en-US" w:eastAsia="zh-CN" w:bidi="ar"/>
              </w:rPr>
              <w:t>人，三年前初中在校生数为</w:t>
            </w:r>
            <w:r>
              <w:rPr>
                <w:rFonts w:hint="eastAsia" w:ascii="Times New Roman" w:hAnsi="Times New Roman" w:eastAsiaTheme="majorEastAsia" w:cstheme="majorEastAsia"/>
                <w:i w:val="0"/>
                <w:iCs w:val="0"/>
                <w:color w:val="000000"/>
                <w:kern w:val="0"/>
                <w:sz w:val="18"/>
                <w:szCs w:val="18"/>
                <w:u w:val="none"/>
                <w:lang w:val="en-US" w:eastAsia="zh-CN" w:bidi="ar"/>
              </w:rPr>
              <w:t>17065</w:t>
            </w:r>
            <w:r>
              <w:rPr>
                <w:rFonts w:hint="eastAsia" w:asciiTheme="majorEastAsia" w:hAnsiTheme="majorEastAsia" w:eastAsiaTheme="majorEastAsia" w:cstheme="majorEastAsia"/>
                <w:i w:val="0"/>
                <w:iCs w:val="0"/>
                <w:color w:val="000000"/>
                <w:kern w:val="0"/>
                <w:sz w:val="18"/>
                <w:szCs w:val="18"/>
                <w:u w:val="none"/>
                <w:lang w:val="en-US" w:eastAsia="zh-CN" w:bidi="ar"/>
              </w:rPr>
              <w:t>人，三年内转入</w:t>
            </w:r>
            <w:r>
              <w:rPr>
                <w:rFonts w:hint="eastAsia" w:ascii="Times New Roman" w:hAnsi="Times New Roman" w:eastAsiaTheme="majorEastAsia" w:cstheme="majorEastAsia"/>
                <w:i w:val="0"/>
                <w:iCs w:val="0"/>
                <w:color w:val="000000"/>
                <w:kern w:val="0"/>
                <w:sz w:val="18"/>
                <w:szCs w:val="18"/>
                <w:u w:val="none"/>
                <w:lang w:val="en-US" w:eastAsia="zh-CN" w:bidi="ar"/>
              </w:rPr>
              <w:t>2427</w:t>
            </w:r>
            <w:r>
              <w:rPr>
                <w:rFonts w:hint="eastAsia" w:asciiTheme="majorEastAsia" w:hAnsiTheme="majorEastAsia" w:eastAsiaTheme="majorEastAsia" w:cstheme="majorEastAsia"/>
                <w:i w:val="0"/>
                <w:iCs w:val="0"/>
                <w:color w:val="000000"/>
                <w:kern w:val="0"/>
                <w:sz w:val="18"/>
                <w:szCs w:val="18"/>
                <w:u w:val="none"/>
                <w:lang w:val="en-US" w:eastAsia="zh-CN" w:bidi="ar"/>
              </w:rPr>
              <w:t>人，复学</w:t>
            </w:r>
            <w:r>
              <w:rPr>
                <w:rFonts w:hint="eastAsia" w:ascii="Times New Roman" w:hAnsi="Times New Roman" w:eastAsiaTheme="majorEastAsia" w:cstheme="majorEastAsia"/>
                <w:i w:val="0"/>
                <w:iCs w:val="0"/>
                <w:color w:val="000000"/>
                <w:kern w:val="0"/>
                <w:sz w:val="18"/>
                <w:szCs w:val="18"/>
                <w:u w:val="none"/>
                <w:lang w:val="en-US" w:eastAsia="zh-CN" w:bidi="ar"/>
              </w:rPr>
              <w:t>194</w:t>
            </w:r>
            <w:r>
              <w:rPr>
                <w:rFonts w:hint="eastAsia" w:asciiTheme="majorEastAsia" w:hAnsiTheme="majorEastAsia" w:eastAsiaTheme="majorEastAsia" w:cstheme="majorEastAsia"/>
                <w:i w:val="0"/>
                <w:iCs w:val="0"/>
                <w:color w:val="000000"/>
                <w:kern w:val="0"/>
                <w:sz w:val="18"/>
                <w:szCs w:val="18"/>
                <w:u w:val="none"/>
                <w:lang w:val="en-US" w:eastAsia="zh-CN" w:bidi="ar"/>
              </w:rPr>
              <w:t>人，转出</w:t>
            </w:r>
            <w:r>
              <w:rPr>
                <w:rFonts w:hint="eastAsia" w:ascii="Times New Roman" w:hAnsi="Times New Roman" w:eastAsiaTheme="majorEastAsia" w:cstheme="majorEastAsia"/>
                <w:i w:val="0"/>
                <w:iCs w:val="0"/>
                <w:color w:val="000000"/>
                <w:kern w:val="0"/>
                <w:sz w:val="18"/>
                <w:szCs w:val="18"/>
                <w:u w:val="none"/>
                <w:lang w:val="en-US" w:eastAsia="zh-CN" w:bidi="ar"/>
              </w:rPr>
              <w:t>3042</w:t>
            </w:r>
            <w:r>
              <w:rPr>
                <w:rFonts w:hint="eastAsia" w:asciiTheme="majorEastAsia" w:hAnsiTheme="majorEastAsia" w:eastAsiaTheme="majorEastAsia" w:cstheme="majorEastAsia"/>
                <w:i w:val="0"/>
                <w:iCs w:val="0"/>
                <w:color w:val="000000"/>
                <w:kern w:val="0"/>
                <w:sz w:val="18"/>
                <w:szCs w:val="18"/>
                <w:u w:val="none"/>
                <w:lang w:val="en-US" w:eastAsia="zh-CN" w:bidi="ar"/>
              </w:rPr>
              <w:t>人，休学</w:t>
            </w:r>
            <w:r>
              <w:rPr>
                <w:rFonts w:hint="eastAsia" w:ascii="Times New Roman" w:hAnsi="Times New Roman" w:eastAsiaTheme="majorEastAsia" w:cstheme="majorEastAsia"/>
                <w:i w:val="0"/>
                <w:iCs w:val="0"/>
                <w:color w:val="000000"/>
                <w:kern w:val="0"/>
                <w:sz w:val="18"/>
                <w:szCs w:val="18"/>
                <w:u w:val="none"/>
                <w:lang w:val="en-US" w:eastAsia="zh-CN" w:bidi="ar"/>
              </w:rPr>
              <w:t>307</w:t>
            </w:r>
            <w:r>
              <w:rPr>
                <w:rFonts w:hint="eastAsia" w:asciiTheme="majorEastAsia" w:hAnsiTheme="majorEastAsia" w:eastAsiaTheme="majorEastAsia" w:cstheme="majorEastAsia"/>
                <w:i w:val="0"/>
                <w:iCs w:val="0"/>
                <w:color w:val="000000"/>
                <w:kern w:val="0"/>
                <w:sz w:val="18"/>
                <w:szCs w:val="18"/>
                <w:u w:val="none"/>
                <w:lang w:val="en-US" w:eastAsia="zh-CN" w:bidi="ar"/>
              </w:rPr>
              <w:t>人，死亡</w:t>
            </w:r>
            <w:r>
              <w:rPr>
                <w:rFonts w:hint="eastAsia" w:ascii="Times New Roman" w:hAnsi="Times New Roman" w:eastAsiaTheme="majorEastAsia" w:cstheme="majorEastAsia"/>
                <w:i w:val="0"/>
                <w:iCs w:val="0"/>
                <w:color w:val="000000"/>
                <w:kern w:val="0"/>
                <w:sz w:val="18"/>
                <w:szCs w:val="18"/>
                <w:u w:val="none"/>
                <w:lang w:val="en-US" w:eastAsia="zh-CN" w:bidi="ar"/>
              </w:rPr>
              <w:t>8</w:t>
            </w:r>
            <w:r>
              <w:rPr>
                <w:rFonts w:hint="eastAsia" w:asciiTheme="majorEastAsia" w:hAnsiTheme="majorEastAsia" w:eastAsiaTheme="majorEastAsia" w:cstheme="majorEastAsia"/>
                <w:i w:val="0"/>
                <w:iCs w:val="0"/>
                <w:color w:val="000000"/>
                <w:kern w:val="0"/>
                <w:sz w:val="18"/>
                <w:szCs w:val="18"/>
                <w:u w:val="none"/>
                <w:lang w:val="en-US" w:eastAsia="zh-CN" w:bidi="ar"/>
              </w:rPr>
              <w:t>人，全区初中三年巩固率为</w:t>
            </w:r>
            <w:r>
              <w:rPr>
                <w:rFonts w:hint="eastAsia" w:ascii="Times New Roman" w:hAnsi="Times New Roman" w:eastAsiaTheme="majorEastAsia" w:cstheme="majorEastAsia"/>
                <w:i w:val="0"/>
                <w:iCs w:val="0"/>
                <w:color w:val="000000"/>
                <w:kern w:val="0"/>
                <w:sz w:val="18"/>
                <w:szCs w:val="18"/>
                <w:u w:val="none"/>
                <w:lang w:val="en-US" w:eastAsia="zh-CN" w:bidi="ar"/>
              </w:rPr>
              <w:t>99</w:t>
            </w:r>
            <w:r>
              <w:rPr>
                <w:rFonts w:hint="eastAsia" w:asciiTheme="majorEastAsia" w:hAnsiTheme="majorEastAsia" w:eastAsiaTheme="majorEastAsia" w:cstheme="majorEastAsia"/>
                <w:i w:val="0"/>
                <w:iCs w:val="0"/>
                <w:color w:val="000000"/>
                <w:kern w:val="0"/>
                <w:sz w:val="18"/>
                <w:szCs w:val="18"/>
                <w:u w:val="none"/>
                <w:lang w:val="en-US" w:eastAsia="zh-CN" w:bidi="ar"/>
              </w:rPr>
              <w:t>.</w:t>
            </w:r>
            <w:r>
              <w:rPr>
                <w:rFonts w:hint="eastAsia" w:ascii="Times New Roman" w:hAnsi="Times New Roman" w:eastAsiaTheme="majorEastAsia" w:cstheme="majorEastAsia"/>
                <w:i w:val="0"/>
                <w:iCs w:val="0"/>
                <w:color w:val="000000"/>
                <w:kern w:val="0"/>
                <w:sz w:val="18"/>
                <w:szCs w:val="18"/>
                <w:u w:val="none"/>
                <w:lang w:val="en-US" w:eastAsia="zh-CN" w:bidi="ar"/>
              </w:rPr>
              <w:t>59%</w:t>
            </w:r>
            <w:r>
              <w:rPr>
                <w:rFonts w:hint="eastAsia" w:asciiTheme="majorEastAsia" w:hAnsiTheme="majorEastAsia" w:eastAsiaTheme="majorEastAsia" w:cstheme="majorEastAsia"/>
                <w:i w:val="0"/>
                <w:iCs w:val="0"/>
                <w:color w:val="000000"/>
                <w:kern w:val="0"/>
                <w:sz w:val="18"/>
                <w:szCs w:val="18"/>
                <w:u w:val="none"/>
                <w:lang w:val="en-US" w:eastAsia="zh-CN" w:bidi="ar"/>
              </w:rPr>
              <w:t>。</w:t>
            </w:r>
          </w:p>
        </w:tc>
        <w:tc>
          <w:tcPr>
            <w:tcW w:w="1021" w:type="dxa"/>
            <w:tcBorders>
              <w:bottom w:val="single" w:color="000000" w:sz="4" w:space="0"/>
              <w:right w:val="single" w:color="000000" w:sz="4" w:space="0"/>
            </w:tcBorders>
            <w:noWrap w:val="0"/>
            <w:vAlign w:val="center"/>
          </w:tcPr>
          <w:p w14:paraId="7BB7596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24EAB789">
        <w:tblPrEx>
          <w:tblCellMar>
            <w:top w:w="0" w:type="dxa"/>
            <w:left w:w="108" w:type="dxa"/>
            <w:bottom w:w="0" w:type="dxa"/>
            <w:right w:w="108" w:type="dxa"/>
          </w:tblCellMar>
        </w:tblPrEx>
        <w:trPr>
          <w:trHeight w:val="1051" w:hRule="atLeast"/>
        </w:trPr>
        <w:tc>
          <w:tcPr>
            <w:tcW w:w="6046" w:type="dxa"/>
            <w:tcBorders>
              <w:left w:val="single" w:color="000000" w:sz="4" w:space="0"/>
              <w:bottom w:val="single" w:color="000000" w:sz="4" w:space="0"/>
              <w:right w:val="single" w:color="000000" w:sz="4" w:space="0"/>
            </w:tcBorders>
            <w:noWrap w:val="0"/>
            <w:vAlign w:val="center"/>
          </w:tcPr>
          <w:p w14:paraId="134A4E65">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2</w:t>
            </w:r>
            <w:r>
              <w:rPr>
                <w:rFonts w:hint="eastAsia" w:asciiTheme="majorEastAsia" w:hAnsiTheme="majorEastAsia" w:eastAsiaTheme="majorEastAsia" w:cstheme="majorEastAsia"/>
                <w:color w:val="000000"/>
                <w:kern w:val="0"/>
                <w:sz w:val="18"/>
                <w:szCs w:val="18"/>
              </w:rPr>
              <w:t>. 全县残疾儿童少年入学率达到</w:t>
            </w:r>
            <w:r>
              <w:rPr>
                <w:rFonts w:hint="eastAsia" w:ascii="Times New Roman" w:hAnsi="Times New Roman" w:eastAsiaTheme="majorEastAsia" w:cstheme="majorEastAsia"/>
                <w:color w:val="000000"/>
                <w:kern w:val="0"/>
                <w:sz w:val="18"/>
                <w:szCs w:val="18"/>
              </w:rPr>
              <w:t>95%</w:t>
            </w:r>
            <w:r>
              <w:rPr>
                <w:rFonts w:hint="eastAsia" w:asciiTheme="majorEastAsia" w:hAnsiTheme="majorEastAsia" w:eastAsiaTheme="majorEastAsia" w:cstheme="majorEastAsia"/>
                <w:color w:val="000000"/>
                <w:kern w:val="0"/>
                <w:sz w:val="18"/>
                <w:szCs w:val="18"/>
              </w:rPr>
              <w:t>以上</w:t>
            </w:r>
          </w:p>
        </w:tc>
        <w:tc>
          <w:tcPr>
            <w:tcW w:w="7475" w:type="dxa"/>
            <w:tcBorders>
              <w:bottom w:val="single" w:color="000000" w:sz="4" w:space="0"/>
              <w:right w:val="single" w:color="000000" w:sz="4" w:space="0"/>
            </w:tcBorders>
            <w:noWrap w:val="0"/>
            <w:vAlign w:val="center"/>
          </w:tcPr>
          <w:p w14:paraId="20FB16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全区残疾儿童少年为</w:t>
            </w:r>
            <w:r>
              <w:rPr>
                <w:rFonts w:hint="eastAsia" w:ascii="Times New Roman" w:hAnsi="Times New Roman" w:eastAsiaTheme="majorEastAsia" w:cstheme="majorEastAsia"/>
                <w:i w:val="0"/>
                <w:iCs w:val="0"/>
                <w:color w:val="000000"/>
                <w:kern w:val="0"/>
                <w:sz w:val="18"/>
                <w:szCs w:val="18"/>
                <w:u w:val="none"/>
                <w:lang w:val="en-US" w:eastAsia="zh-CN" w:bidi="ar"/>
              </w:rPr>
              <w:t>857</w:t>
            </w:r>
            <w:r>
              <w:rPr>
                <w:rFonts w:hint="eastAsia" w:asciiTheme="majorEastAsia" w:hAnsiTheme="majorEastAsia" w:eastAsiaTheme="majorEastAsia" w:cstheme="majorEastAsia"/>
                <w:i w:val="0"/>
                <w:iCs w:val="0"/>
                <w:color w:val="000000"/>
                <w:kern w:val="0"/>
                <w:sz w:val="18"/>
                <w:szCs w:val="18"/>
                <w:u w:val="none"/>
                <w:lang w:val="en-US" w:eastAsia="zh-CN" w:bidi="ar"/>
              </w:rPr>
              <w:t>人，其中延缓入学</w:t>
            </w:r>
            <w:r>
              <w:rPr>
                <w:rFonts w:hint="eastAsia" w:ascii="Times New Roman" w:hAnsi="Times New Roman" w:eastAsiaTheme="majorEastAsia" w:cstheme="majorEastAsia"/>
                <w:i w:val="0"/>
                <w:iCs w:val="0"/>
                <w:color w:val="000000"/>
                <w:kern w:val="0"/>
                <w:sz w:val="18"/>
                <w:szCs w:val="18"/>
                <w:u w:val="none"/>
                <w:lang w:val="en-US" w:eastAsia="zh-CN" w:bidi="ar"/>
              </w:rPr>
              <w:t>50</w:t>
            </w:r>
            <w:r>
              <w:rPr>
                <w:rFonts w:hint="eastAsia" w:asciiTheme="majorEastAsia" w:hAnsiTheme="majorEastAsia" w:eastAsiaTheme="majorEastAsia" w:cstheme="majorEastAsia"/>
                <w:i w:val="0"/>
                <w:iCs w:val="0"/>
                <w:color w:val="000000"/>
                <w:kern w:val="0"/>
                <w:sz w:val="18"/>
                <w:szCs w:val="18"/>
                <w:u w:val="none"/>
                <w:lang w:val="en-US" w:eastAsia="zh-CN" w:bidi="ar"/>
              </w:rPr>
              <w:t>人、已毕业</w:t>
            </w:r>
            <w:r>
              <w:rPr>
                <w:rFonts w:hint="eastAsia" w:ascii="Times New Roman" w:hAnsi="Times New Roman" w:eastAsiaTheme="majorEastAsia" w:cstheme="majorEastAsia"/>
                <w:i w:val="0"/>
                <w:iCs w:val="0"/>
                <w:color w:val="000000"/>
                <w:kern w:val="0"/>
                <w:sz w:val="18"/>
                <w:szCs w:val="18"/>
                <w:u w:val="none"/>
                <w:lang w:val="en-US" w:eastAsia="zh-CN" w:bidi="ar"/>
              </w:rPr>
              <w:t>1</w:t>
            </w:r>
            <w:r>
              <w:rPr>
                <w:rFonts w:hint="eastAsia" w:asciiTheme="majorEastAsia" w:hAnsiTheme="majorEastAsia" w:eastAsiaTheme="majorEastAsia" w:cstheme="majorEastAsia"/>
                <w:i w:val="0"/>
                <w:iCs w:val="0"/>
                <w:color w:val="000000"/>
                <w:kern w:val="0"/>
                <w:sz w:val="18"/>
                <w:szCs w:val="18"/>
                <w:u w:val="none"/>
                <w:lang w:val="en-US" w:eastAsia="zh-CN" w:bidi="ar"/>
              </w:rPr>
              <w:t>人、已故</w:t>
            </w:r>
            <w:r>
              <w:rPr>
                <w:rFonts w:hint="eastAsia" w:ascii="Times New Roman" w:hAnsi="Times New Roman" w:eastAsiaTheme="majorEastAsia" w:cstheme="majorEastAsia"/>
                <w:i w:val="0"/>
                <w:iCs w:val="0"/>
                <w:color w:val="000000"/>
                <w:kern w:val="0"/>
                <w:sz w:val="18"/>
                <w:szCs w:val="18"/>
                <w:u w:val="none"/>
                <w:lang w:val="en-US" w:eastAsia="zh-CN" w:bidi="ar"/>
              </w:rPr>
              <w:t>1</w:t>
            </w:r>
            <w:r>
              <w:rPr>
                <w:rFonts w:hint="eastAsia" w:asciiTheme="majorEastAsia" w:hAnsiTheme="majorEastAsia" w:eastAsiaTheme="majorEastAsia" w:cstheme="majorEastAsia"/>
                <w:i w:val="0"/>
                <w:iCs w:val="0"/>
                <w:color w:val="000000"/>
                <w:kern w:val="0"/>
                <w:sz w:val="18"/>
                <w:szCs w:val="18"/>
                <w:u w:val="none"/>
                <w:lang w:val="en-US" w:eastAsia="zh-CN" w:bidi="ar"/>
              </w:rPr>
              <w:t>人，待安置</w:t>
            </w:r>
            <w:r>
              <w:rPr>
                <w:rFonts w:hint="eastAsia" w:ascii="Times New Roman" w:hAnsi="Times New Roman" w:eastAsiaTheme="majorEastAsia" w:cstheme="majorEastAsia"/>
                <w:i w:val="0"/>
                <w:iCs w:val="0"/>
                <w:color w:val="000000"/>
                <w:kern w:val="0"/>
                <w:sz w:val="18"/>
                <w:szCs w:val="18"/>
                <w:u w:val="none"/>
                <w:lang w:val="en-US" w:eastAsia="zh-CN" w:bidi="ar"/>
              </w:rPr>
              <w:t>805</w:t>
            </w:r>
            <w:r>
              <w:rPr>
                <w:rFonts w:hint="eastAsia" w:asciiTheme="majorEastAsia" w:hAnsiTheme="majorEastAsia" w:eastAsiaTheme="majorEastAsia" w:cstheme="majorEastAsia"/>
                <w:i w:val="0"/>
                <w:iCs w:val="0"/>
                <w:color w:val="000000"/>
                <w:kern w:val="0"/>
                <w:sz w:val="18"/>
                <w:szCs w:val="18"/>
                <w:u w:val="none"/>
                <w:lang w:val="en-US" w:eastAsia="zh-CN" w:bidi="ar"/>
              </w:rPr>
              <w:t>人。入学</w:t>
            </w:r>
            <w:r>
              <w:rPr>
                <w:rFonts w:hint="eastAsia" w:ascii="Times New Roman" w:hAnsi="Times New Roman" w:eastAsiaTheme="majorEastAsia" w:cstheme="majorEastAsia"/>
                <w:i w:val="0"/>
                <w:iCs w:val="0"/>
                <w:color w:val="000000"/>
                <w:kern w:val="0"/>
                <w:sz w:val="18"/>
                <w:szCs w:val="18"/>
                <w:u w:val="none"/>
                <w:lang w:val="en-US" w:eastAsia="zh-CN" w:bidi="ar"/>
              </w:rPr>
              <w:t>791</w:t>
            </w:r>
            <w:r>
              <w:rPr>
                <w:rFonts w:hint="eastAsia" w:asciiTheme="majorEastAsia" w:hAnsiTheme="majorEastAsia" w:eastAsiaTheme="majorEastAsia" w:cstheme="majorEastAsia"/>
                <w:i w:val="0"/>
                <w:iCs w:val="0"/>
                <w:color w:val="000000"/>
                <w:kern w:val="0"/>
                <w:sz w:val="18"/>
                <w:szCs w:val="18"/>
                <w:u w:val="none"/>
                <w:lang w:val="en-US" w:eastAsia="zh-CN" w:bidi="ar"/>
              </w:rPr>
              <w:t>人，入学率为</w:t>
            </w:r>
            <w:r>
              <w:rPr>
                <w:rFonts w:hint="eastAsia" w:ascii="Times New Roman" w:hAnsi="Times New Roman" w:eastAsiaTheme="majorEastAsia" w:cstheme="majorEastAsia"/>
                <w:i w:val="0"/>
                <w:iCs w:val="0"/>
                <w:color w:val="000000"/>
                <w:kern w:val="0"/>
                <w:sz w:val="18"/>
                <w:szCs w:val="18"/>
                <w:u w:val="none"/>
                <w:lang w:val="en-US" w:eastAsia="zh-CN" w:bidi="ar"/>
              </w:rPr>
              <w:t>98</w:t>
            </w:r>
            <w:r>
              <w:rPr>
                <w:rFonts w:hint="eastAsia" w:asciiTheme="majorEastAsia" w:hAnsiTheme="majorEastAsia" w:eastAsiaTheme="majorEastAsia" w:cstheme="majorEastAsia"/>
                <w:i w:val="0"/>
                <w:iCs w:val="0"/>
                <w:color w:val="000000"/>
                <w:kern w:val="0"/>
                <w:sz w:val="18"/>
                <w:szCs w:val="18"/>
                <w:u w:val="none"/>
                <w:lang w:val="en-US" w:eastAsia="zh-CN" w:bidi="ar"/>
              </w:rPr>
              <w:t>.</w:t>
            </w:r>
            <w:r>
              <w:rPr>
                <w:rFonts w:hint="eastAsia" w:ascii="Times New Roman" w:hAnsi="Times New Roman" w:eastAsiaTheme="majorEastAsia" w:cstheme="majorEastAsia"/>
                <w:i w:val="0"/>
                <w:iCs w:val="0"/>
                <w:color w:val="000000"/>
                <w:kern w:val="0"/>
                <w:sz w:val="18"/>
                <w:szCs w:val="18"/>
                <w:u w:val="none"/>
                <w:lang w:val="en-US" w:eastAsia="zh-CN" w:bidi="ar"/>
              </w:rPr>
              <w:t>26%</w:t>
            </w:r>
            <w:r>
              <w:rPr>
                <w:rFonts w:hint="eastAsia" w:asciiTheme="majorEastAsia" w:hAnsiTheme="majorEastAsia" w:eastAsiaTheme="majorEastAsia" w:cstheme="majorEastAsia"/>
                <w:i w:val="0"/>
                <w:iCs w:val="0"/>
                <w:color w:val="000000"/>
                <w:kern w:val="0"/>
                <w:sz w:val="18"/>
                <w:szCs w:val="18"/>
                <w:u w:val="none"/>
                <w:lang w:val="en-US" w:eastAsia="zh-CN" w:bidi="ar"/>
              </w:rPr>
              <w:t>。其中，随班就读</w:t>
            </w:r>
            <w:r>
              <w:rPr>
                <w:rFonts w:hint="eastAsia" w:ascii="Times New Roman" w:hAnsi="Times New Roman" w:eastAsiaTheme="majorEastAsia" w:cstheme="majorEastAsia"/>
                <w:i w:val="0"/>
                <w:iCs w:val="0"/>
                <w:color w:val="000000"/>
                <w:kern w:val="0"/>
                <w:sz w:val="18"/>
                <w:szCs w:val="18"/>
                <w:u w:val="none"/>
                <w:lang w:val="en-US" w:eastAsia="zh-CN" w:bidi="ar"/>
              </w:rPr>
              <w:t>473</w:t>
            </w:r>
            <w:r>
              <w:rPr>
                <w:rFonts w:hint="eastAsia" w:asciiTheme="majorEastAsia" w:hAnsiTheme="majorEastAsia" w:eastAsiaTheme="majorEastAsia" w:cstheme="majorEastAsia"/>
                <w:i w:val="0"/>
                <w:iCs w:val="0"/>
                <w:color w:val="000000"/>
                <w:kern w:val="0"/>
                <w:sz w:val="18"/>
                <w:szCs w:val="18"/>
                <w:u w:val="none"/>
                <w:lang w:val="en-US" w:eastAsia="zh-CN" w:bidi="ar"/>
              </w:rPr>
              <w:t>人、送教上门</w:t>
            </w:r>
            <w:r>
              <w:rPr>
                <w:rFonts w:hint="eastAsia" w:ascii="Times New Roman" w:hAnsi="Times New Roman" w:eastAsiaTheme="majorEastAsia" w:cstheme="majorEastAsia"/>
                <w:i w:val="0"/>
                <w:iCs w:val="0"/>
                <w:color w:val="000000"/>
                <w:kern w:val="0"/>
                <w:sz w:val="18"/>
                <w:szCs w:val="18"/>
                <w:u w:val="none"/>
                <w:lang w:val="en-US" w:eastAsia="zh-CN" w:bidi="ar"/>
              </w:rPr>
              <w:t>81</w:t>
            </w:r>
            <w:r>
              <w:rPr>
                <w:rFonts w:hint="eastAsia" w:asciiTheme="majorEastAsia" w:hAnsiTheme="majorEastAsia" w:eastAsiaTheme="majorEastAsia" w:cstheme="majorEastAsia"/>
                <w:i w:val="0"/>
                <w:iCs w:val="0"/>
                <w:color w:val="000000"/>
                <w:kern w:val="0"/>
                <w:sz w:val="18"/>
                <w:szCs w:val="18"/>
                <w:u w:val="none"/>
                <w:lang w:val="en-US" w:eastAsia="zh-CN" w:bidi="ar"/>
              </w:rPr>
              <w:t>人、康复医院机构或学前机构</w:t>
            </w:r>
            <w:r>
              <w:rPr>
                <w:rFonts w:hint="eastAsia" w:ascii="Times New Roman" w:hAnsi="Times New Roman" w:eastAsiaTheme="majorEastAsia" w:cstheme="majorEastAsia"/>
                <w:i w:val="0"/>
                <w:iCs w:val="0"/>
                <w:color w:val="000000"/>
                <w:kern w:val="0"/>
                <w:sz w:val="18"/>
                <w:szCs w:val="18"/>
                <w:u w:val="none"/>
                <w:lang w:val="en-US" w:eastAsia="zh-CN" w:bidi="ar"/>
              </w:rPr>
              <w:t>10</w:t>
            </w:r>
            <w:r>
              <w:rPr>
                <w:rFonts w:hint="eastAsia" w:asciiTheme="majorEastAsia" w:hAnsiTheme="majorEastAsia" w:eastAsiaTheme="majorEastAsia" w:cstheme="majorEastAsia"/>
                <w:i w:val="0"/>
                <w:iCs w:val="0"/>
                <w:color w:val="000000"/>
                <w:kern w:val="0"/>
                <w:sz w:val="18"/>
                <w:szCs w:val="18"/>
                <w:u w:val="none"/>
                <w:lang w:val="en-US" w:eastAsia="zh-CN" w:bidi="ar"/>
              </w:rPr>
              <w:t>人；在特殊教育学校就读</w:t>
            </w:r>
            <w:r>
              <w:rPr>
                <w:rFonts w:hint="eastAsia" w:ascii="Times New Roman" w:hAnsi="Times New Roman" w:eastAsiaTheme="majorEastAsia" w:cstheme="majorEastAsia"/>
                <w:i w:val="0"/>
                <w:iCs w:val="0"/>
                <w:color w:val="000000"/>
                <w:kern w:val="0"/>
                <w:sz w:val="18"/>
                <w:szCs w:val="18"/>
                <w:u w:val="none"/>
                <w:lang w:val="en-US" w:eastAsia="zh-CN" w:bidi="ar"/>
              </w:rPr>
              <w:t>227</w:t>
            </w:r>
            <w:r>
              <w:rPr>
                <w:rFonts w:hint="eastAsia" w:asciiTheme="majorEastAsia" w:hAnsiTheme="majorEastAsia" w:eastAsiaTheme="majorEastAsia" w:cstheme="majorEastAsia"/>
                <w:i w:val="0"/>
                <w:iCs w:val="0"/>
                <w:color w:val="000000"/>
                <w:kern w:val="0"/>
                <w:sz w:val="18"/>
                <w:szCs w:val="18"/>
                <w:u w:val="none"/>
                <w:lang w:val="en-US" w:eastAsia="zh-CN" w:bidi="ar"/>
              </w:rPr>
              <w:t>人（学前部</w:t>
            </w:r>
            <w:r>
              <w:rPr>
                <w:rFonts w:hint="eastAsia" w:ascii="Times New Roman" w:hAnsi="Times New Roman" w:eastAsiaTheme="majorEastAsia" w:cstheme="majorEastAsia"/>
                <w:i w:val="0"/>
                <w:iCs w:val="0"/>
                <w:color w:val="000000"/>
                <w:kern w:val="0"/>
                <w:sz w:val="18"/>
                <w:szCs w:val="18"/>
                <w:u w:val="none"/>
                <w:lang w:val="en-US" w:eastAsia="zh-CN" w:bidi="ar"/>
              </w:rPr>
              <w:t>2</w:t>
            </w:r>
            <w:r>
              <w:rPr>
                <w:rFonts w:hint="eastAsia" w:asciiTheme="majorEastAsia" w:hAnsiTheme="majorEastAsia" w:eastAsiaTheme="majorEastAsia" w:cstheme="majorEastAsia"/>
                <w:i w:val="0"/>
                <w:iCs w:val="0"/>
                <w:color w:val="000000"/>
                <w:kern w:val="0"/>
                <w:sz w:val="18"/>
                <w:szCs w:val="18"/>
                <w:u w:val="none"/>
                <w:lang w:val="en-US" w:eastAsia="zh-CN" w:bidi="ar"/>
              </w:rPr>
              <w:t>人，小学</w:t>
            </w:r>
            <w:r>
              <w:rPr>
                <w:rFonts w:hint="eastAsia" w:ascii="Times New Roman" w:hAnsi="Times New Roman" w:eastAsiaTheme="majorEastAsia" w:cstheme="majorEastAsia"/>
                <w:i w:val="0"/>
                <w:iCs w:val="0"/>
                <w:color w:val="000000"/>
                <w:kern w:val="0"/>
                <w:sz w:val="18"/>
                <w:szCs w:val="18"/>
                <w:u w:val="none"/>
                <w:lang w:val="en-US" w:eastAsia="zh-CN" w:bidi="ar"/>
              </w:rPr>
              <w:t>172</w:t>
            </w:r>
            <w:r>
              <w:rPr>
                <w:rFonts w:hint="eastAsia" w:asciiTheme="majorEastAsia" w:hAnsiTheme="majorEastAsia" w:eastAsiaTheme="majorEastAsia" w:cstheme="majorEastAsia"/>
                <w:i w:val="0"/>
                <w:iCs w:val="0"/>
                <w:color w:val="000000"/>
                <w:kern w:val="0"/>
                <w:sz w:val="18"/>
                <w:szCs w:val="18"/>
                <w:u w:val="none"/>
                <w:lang w:val="en-US" w:eastAsia="zh-CN" w:bidi="ar"/>
              </w:rPr>
              <w:t>人，初中</w:t>
            </w:r>
            <w:r>
              <w:rPr>
                <w:rFonts w:hint="eastAsia" w:ascii="Times New Roman" w:hAnsi="Times New Roman" w:eastAsiaTheme="majorEastAsia" w:cstheme="majorEastAsia"/>
                <w:i w:val="0"/>
                <w:iCs w:val="0"/>
                <w:color w:val="000000"/>
                <w:kern w:val="0"/>
                <w:sz w:val="18"/>
                <w:szCs w:val="18"/>
                <w:u w:val="none"/>
                <w:lang w:val="en-US" w:eastAsia="zh-CN" w:bidi="ar"/>
              </w:rPr>
              <w:t>53</w:t>
            </w:r>
            <w:r>
              <w:rPr>
                <w:rFonts w:hint="eastAsia" w:asciiTheme="majorEastAsia" w:hAnsiTheme="majorEastAsia" w:eastAsiaTheme="majorEastAsia" w:cstheme="majorEastAsia"/>
                <w:i w:val="0"/>
                <w:iCs w:val="0"/>
                <w:color w:val="000000"/>
                <w:kern w:val="0"/>
                <w:sz w:val="18"/>
                <w:szCs w:val="18"/>
                <w:u w:val="none"/>
                <w:lang w:val="en-US" w:eastAsia="zh-CN" w:bidi="ar"/>
              </w:rPr>
              <w:t>人），占比</w:t>
            </w:r>
            <w:r>
              <w:rPr>
                <w:rFonts w:hint="eastAsia" w:ascii="Times New Roman" w:hAnsi="Times New Roman" w:eastAsiaTheme="majorEastAsia" w:cstheme="majorEastAsia"/>
                <w:i w:val="0"/>
                <w:iCs w:val="0"/>
                <w:color w:val="000000"/>
                <w:kern w:val="0"/>
                <w:sz w:val="18"/>
                <w:szCs w:val="18"/>
                <w:u w:val="none"/>
                <w:lang w:val="en-US" w:eastAsia="zh-CN" w:bidi="ar"/>
              </w:rPr>
              <w:t>28</w:t>
            </w:r>
            <w:r>
              <w:rPr>
                <w:rFonts w:hint="eastAsia" w:asciiTheme="majorEastAsia" w:hAnsiTheme="majorEastAsia" w:eastAsiaTheme="majorEastAsia" w:cstheme="majorEastAsia"/>
                <w:i w:val="0"/>
                <w:iCs w:val="0"/>
                <w:color w:val="000000"/>
                <w:kern w:val="0"/>
                <w:sz w:val="18"/>
                <w:szCs w:val="18"/>
                <w:u w:val="none"/>
                <w:lang w:val="en-US" w:eastAsia="zh-CN" w:bidi="ar"/>
              </w:rPr>
              <w:t>.</w:t>
            </w:r>
            <w:r>
              <w:rPr>
                <w:rFonts w:hint="eastAsia" w:ascii="Times New Roman" w:hAnsi="Times New Roman" w:eastAsiaTheme="majorEastAsia" w:cstheme="majorEastAsia"/>
                <w:i w:val="0"/>
                <w:iCs w:val="0"/>
                <w:color w:val="000000"/>
                <w:kern w:val="0"/>
                <w:sz w:val="18"/>
                <w:szCs w:val="18"/>
                <w:u w:val="none"/>
                <w:lang w:val="en-US" w:eastAsia="zh-CN" w:bidi="ar"/>
              </w:rPr>
              <w:t>7%</w:t>
            </w:r>
            <w:r>
              <w:rPr>
                <w:rFonts w:hint="eastAsia" w:asciiTheme="majorEastAsia" w:hAnsiTheme="majorEastAsia" w:eastAsiaTheme="majorEastAsia" w:cstheme="majorEastAsia"/>
                <w:i w:val="0"/>
                <w:iCs w:val="0"/>
                <w:color w:val="000000"/>
                <w:kern w:val="0"/>
                <w:sz w:val="18"/>
                <w:szCs w:val="18"/>
                <w:u w:val="none"/>
                <w:lang w:val="en-US" w:eastAsia="zh-CN" w:bidi="ar"/>
              </w:rPr>
              <w:t>。</w:t>
            </w:r>
          </w:p>
        </w:tc>
        <w:tc>
          <w:tcPr>
            <w:tcW w:w="1021" w:type="dxa"/>
            <w:tcBorders>
              <w:bottom w:val="single" w:color="000000" w:sz="4" w:space="0"/>
              <w:right w:val="single" w:color="000000" w:sz="4" w:space="0"/>
            </w:tcBorders>
            <w:noWrap w:val="0"/>
            <w:vAlign w:val="center"/>
          </w:tcPr>
          <w:p w14:paraId="3AC4E77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6486D517">
        <w:tblPrEx>
          <w:tblCellMar>
            <w:top w:w="0" w:type="dxa"/>
            <w:left w:w="108" w:type="dxa"/>
            <w:bottom w:w="0" w:type="dxa"/>
            <w:right w:w="108" w:type="dxa"/>
          </w:tblCellMar>
        </w:tblPrEx>
        <w:trPr>
          <w:trHeight w:val="1333" w:hRule="exact"/>
        </w:trPr>
        <w:tc>
          <w:tcPr>
            <w:tcW w:w="6046" w:type="dxa"/>
            <w:tcBorders>
              <w:left w:val="single" w:color="000000" w:sz="4" w:space="0"/>
              <w:bottom w:val="single" w:color="000000" w:sz="4" w:space="0"/>
              <w:right w:val="single" w:color="000000" w:sz="4" w:space="0"/>
            </w:tcBorders>
            <w:noWrap w:val="0"/>
            <w:vAlign w:val="center"/>
          </w:tcPr>
          <w:p w14:paraId="3A01DD91">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3</w:t>
            </w:r>
            <w:r>
              <w:rPr>
                <w:rFonts w:hint="eastAsia" w:asciiTheme="majorEastAsia" w:hAnsiTheme="majorEastAsia" w:eastAsiaTheme="majorEastAsia" w:cstheme="majorEastAsia"/>
                <w:color w:val="000000"/>
                <w:kern w:val="0"/>
                <w:sz w:val="18"/>
                <w:szCs w:val="18"/>
              </w:rPr>
              <w:t>. 所有学校建立章程，实现学校管理与教学信息化</w:t>
            </w:r>
          </w:p>
        </w:tc>
        <w:tc>
          <w:tcPr>
            <w:tcW w:w="7475" w:type="dxa"/>
            <w:tcBorders>
              <w:bottom w:val="single" w:color="000000" w:sz="4" w:space="0"/>
              <w:right w:val="single" w:color="000000" w:sz="4" w:space="0"/>
            </w:tcBorders>
            <w:noWrap w:val="0"/>
            <w:vAlign w:val="center"/>
          </w:tcPr>
          <w:p w14:paraId="3E27044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我区落实“一校一章程”和学校章程备案制度，做到中小学校</w:t>
            </w:r>
            <w:r>
              <w:rPr>
                <w:rFonts w:hint="eastAsia" w:ascii="Times New Roman" w:hAnsi="Times New Roman" w:eastAsiaTheme="majorEastAsia" w:cstheme="majorEastAsia"/>
                <w:i w:val="0"/>
                <w:iCs w:val="0"/>
                <w:color w:val="000000"/>
                <w:kern w:val="0"/>
                <w:sz w:val="18"/>
                <w:szCs w:val="18"/>
                <w:u w:val="none"/>
                <w:lang w:val="en-US" w:eastAsia="zh-CN" w:bidi="ar"/>
              </w:rPr>
              <w:t>100%</w:t>
            </w:r>
            <w:r>
              <w:rPr>
                <w:rFonts w:hint="eastAsia" w:asciiTheme="majorEastAsia" w:hAnsiTheme="majorEastAsia" w:eastAsiaTheme="majorEastAsia" w:cstheme="majorEastAsia"/>
                <w:i w:val="0"/>
                <w:iCs w:val="0"/>
                <w:color w:val="000000"/>
                <w:kern w:val="0"/>
                <w:sz w:val="18"/>
                <w:szCs w:val="18"/>
                <w:u w:val="none"/>
                <w:lang w:val="en-US" w:eastAsia="zh-CN" w:bidi="ar"/>
              </w:rPr>
              <w:t>制定学校章程，按照章程依法办学。我区实现学校管理与教学信息化，普通教室多媒体平台覆盖率</w:t>
            </w:r>
            <w:r>
              <w:rPr>
                <w:rFonts w:hint="eastAsia" w:ascii="Times New Roman" w:hAnsi="Times New Roman" w:eastAsiaTheme="majorEastAsia" w:cstheme="majorEastAsia"/>
                <w:i w:val="0"/>
                <w:iCs w:val="0"/>
                <w:color w:val="000000"/>
                <w:kern w:val="0"/>
                <w:sz w:val="18"/>
                <w:szCs w:val="18"/>
                <w:u w:val="none"/>
                <w:lang w:val="en-US" w:eastAsia="zh-CN" w:bidi="ar"/>
              </w:rPr>
              <w:t>100%</w:t>
            </w:r>
            <w:r>
              <w:rPr>
                <w:rFonts w:hint="eastAsia" w:asciiTheme="majorEastAsia" w:hAnsiTheme="majorEastAsia" w:eastAsiaTheme="majorEastAsia" w:cstheme="majorEastAsia"/>
                <w:i w:val="0"/>
                <w:iCs w:val="0"/>
                <w:color w:val="000000"/>
                <w:kern w:val="0"/>
                <w:sz w:val="18"/>
                <w:szCs w:val="18"/>
                <w:u w:val="none"/>
                <w:lang w:val="en-US" w:eastAsia="zh-CN" w:bidi="ar"/>
              </w:rPr>
              <w:t>，师机比达</w:t>
            </w:r>
            <w:r>
              <w:rPr>
                <w:rFonts w:hint="eastAsia" w:ascii="Times New Roman" w:hAnsi="Times New Roman" w:eastAsiaTheme="majorEastAsia" w:cstheme="majorEastAsia"/>
                <w:i w:val="0"/>
                <w:iCs w:val="0"/>
                <w:color w:val="000000"/>
                <w:kern w:val="0"/>
                <w:sz w:val="18"/>
                <w:szCs w:val="18"/>
                <w:u w:val="none"/>
                <w:lang w:val="en-US" w:eastAsia="zh-CN" w:bidi="ar"/>
              </w:rPr>
              <w:t>1</w:t>
            </w:r>
            <w:r>
              <w:rPr>
                <w:rFonts w:hint="eastAsia" w:asciiTheme="majorEastAsia" w:hAnsiTheme="majorEastAsia" w:eastAsiaTheme="majorEastAsia" w:cstheme="majorEastAsia"/>
                <w:i w:val="0"/>
                <w:iCs w:val="0"/>
                <w:color w:val="000000"/>
                <w:kern w:val="0"/>
                <w:sz w:val="18"/>
                <w:szCs w:val="18"/>
                <w:u w:val="none"/>
                <w:lang w:val="en-US" w:eastAsia="zh-CN" w:bidi="ar"/>
              </w:rPr>
              <w:t>:</w:t>
            </w:r>
            <w:r>
              <w:rPr>
                <w:rFonts w:hint="eastAsia" w:ascii="Times New Roman" w:hAnsi="Times New Roman" w:eastAsiaTheme="majorEastAsia" w:cstheme="majorEastAsia"/>
                <w:i w:val="0"/>
                <w:iCs w:val="0"/>
                <w:color w:val="000000"/>
                <w:kern w:val="0"/>
                <w:sz w:val="18"/>
                <w:szCs w:val="18"/>
                <w:u w:val="none"/>
                <w:lang w:val="en-US" w:eastAsia="zh-CN" w:bidi="ar"/>
              </w:rPr>
              <w:t>1</w:t>
            </w:r>
            <w:r>
              <w:rPr>
                <w:rFonts w:hint="eastAsia" w:asciiTheme="majorEastAsia" w:hAnsiTheme="majorEastAsia" w:eastAsiaTheme="majorEastAsia" w:cstheme="majorEastAsia"/>
                <w:i w:val="0"/>
                <w:iCs w:val="0"/>
                <w:color w:val="000000"/>
                <w:kern w:val="0"/>
                <w:sz w:val="18"/>
                <w:szCs w:val="18"/>
                <w:u w:val="none"/>
                <w:lang w:val="en-US" w:eastAsia="zh-CN" w:bidi="ar"/>
              </w:rPr>
              <w:t>，学校管理有关的学籍、教务、后勤等均有信息化系统支撑管理，全区推广使用钉钉协同办公软件，使学校智能管理水平再上一个新台阶。</w:t>
            </w:r>
          </w:p>
        </w:tc>
        <w:tc>
          <w:tcPr>
            <w:tcW w:w="1021" w:type="dxa"/>
            <w:tcBorders>
              <w:bottom w:val="single" w:color="000000" w:sz="4" w:space="0"/>
              <w:right w:val="single" w:color="000000" w:sz="4" w:space="0"/>
            </w:tcBorders>
            <w:noWrap w:val="0"/>
            <w:vAlign w:val="center"/>
          </w:tcPr>
          <w:p w14:paraId="07DA0CC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77F55AF5">
        <w:tblPrEx>
          <w:tblCellMar>
            <w:top w:w="0" w:type="dxa"/>
            <w:left w:w="108" w:type="dxa"/>
            <w:bottom w:w="0" w:type="dxa"/>
            <w:right w:w="108" w:type="dxa"/>
          </w:tblCellMar>
        </w:tblPrEx>
        <w:trPr>
          <w:trHeight w:val="675" w:hRule="exact"/>
        </w:trPr>
        <w:tc>
          <w:tcPr>
            <w:tcW w:w="6046" w:type="dxa"/>
            <w:tcBorders>
              <w:left w:val="single" w:color="000000" w:sz="4" w:space="0"/>
              <w:bottom w:val="single" w:color="000000" w:sz="4" w:space="0"/>
              <w:right w:val="single" w:color="000000" w:sz="4" w:space="0"/>
            </w:tcBorders>
            <w:noWrap w:val="0"/>
            <w:vAlign w:val="center"/>
          </w:tcPr>
          <w:p w14:paraId="4EE46A57">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4</w:t>
            </w:r>
            <w:r>
              <w:rPr>
                <w:rFonts w:hint="eastAsia" w:asciiTheme="majorEastAsia" w:hAnsiTheme="majorEastAsia" w:eastAsiaTheme="majorEastAsia" w:cstheme="majorEastAsia"/>
                <w:color w:val="000000"/>
                <w:kern w:val="0"/>
                <w:sz w:val="18"/>
                <w:szCs w:val="18"/>
              </w:rPr>
              <w:t>. 全县所有学校按照不低于学校年度公用经费预算总额的</w:t>
            </w:r>
            <w:r>
              <w:rPr>
                <w:rFonts w:hint="eastAsia" w:ascii="Times New Roman" w:hAnsi="Times New Roman" w:eastAsiaTheme="majorEastAsia" w:cstheme="majorEastAsia"/>
                <w:color w:val="000000"/>
                <w:kern w:val="0"/>
                <w:sz w:val="18"/>
                <w:szCs w:val="18"/>
              </w:rPr>
              <w:t>5%</w:t>
            </w:r>
            <w:r>
              <w:rPr>
                <w:rFonts w:hint="eastAsia" w:asciiTheme="majorEastAsia" w:hAnsiTheme="majorEastAsia" w:eastAsiaTheme="majorEastAsia" w:cstheme="majorEastAsia"/>
                <w:color w:val="000000"/>
                <w:kern w:val="0"/>
                <w:sz w:val="18"/>
                <w:szCs w:val="18"/>
              </w:rPr>
              <w:t>安排教师培训经费</w:t>
            </w:r>
          </w:p>
        </w:tc>
        <w:tc>
          <w:tcPr>
            <w:tcW w:w="7475" w:type="dxa"/>
            <w:tcBorders>
              <w:bottom w:val="single" w:color="000000" w:sz="4" w:space="0"/>
              <w:right w:val="single" w:color="000000" w:sz="4" w:space="0"/>
            </w:tcBorders>
            <w:noWrap w:val="0"/>
            <w:vAlign w:val="center"/>
          </w:tcPr>
          <w:p w14:paraId="2F34534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我区所有义务教育阶段学校按照不低于学校年度公用经费预算总额的</w:t>
            </w:r>
            <w:r>
              <w:rPr>
                <w:rFonts w:hint="eastAsia" w:ascii="Times New Roman" w:hAnsi="Times New Roman" w:eastAsiaTheme="majorEastAsia" w:cstheme="majorEastAsia"/>
                <w:i w:val="0"/>
                <w:iCs w:val="0"/>
                <w:color w:val="000000"/>
                <w:kern w:val="0"/>
                <w:sz w:val="18"/>
                <w:szCs w:val="18"/>
                <w:u w:val="none"/>
                <w:lang w:val="en-US" w:eastAsia="zh-CN" w:bidi="ar"/>
              </w:rPr>
              <w:t>5%</w:t>
            </w:r>
            <w:r>
              <w:rPr>
                <w:rFonts w:hint="eastAsia" w:asciiTheme="majorEastAsia" w:hAnsiTheme="majorEastAsia" w:eastAsiaTheme="majorEastAsia" w:cstheme="majorEastAsia"/>
                <w:i w:val="0"/>
                <w:iCs w:val="0"/>
                <w:color w:val="000000"/>
                <w:kern w:val="0"/>
                <w:sz w:val="18"/>
                <w:szCs w:val="18"/>
                <w:u w:val="none"/>
                <w:lang w:val="en-US" w:eastAsia="zh-CN" w:bidi="ar"/>
              </w:rPr>
              <w:t>安排教师培训经费，达标比例：</w:t>
            </w:r>
            <w:r>
              <w:rPr>
                <w:rFonts w:hint="eastAsia" w:ascii="Times New Roman" w:hAnsi="Times New Roman" w:eastAsiaTheme="majorEastAsia" w:cstheme="majorEastAsia"/>
                <w:i w:val="0"/>
                <w:iCs w:val="0"/>
                <w:color w:val="000000"/>
                <w:kern w:val="0"/>
                <w:sz w:val="18"/>
                <w:szCs w:val="18"/>
                <w:u w:val="none"/>
                <w:lang w:val="en-US" w:eastAsia="zh-CN" w:bidi="ar"/>
              </w:rPr>
              <w:t>100</w:t>
            </w:r>
            <w:r>
              <w:rPr>
                <w:rFonts w:hint="eastAsia" w:asciiTheme="majorEastAsia" w:hAnsiTheme="majorEastAsia" w:eastAsiaTheme="majorEastAsia" w:cstheme="majorEastAsia"/>
                <w:i w:val="0"/>
                <w:iCs w:val="0"/>
                <w:color w:val="000000"/>
                <w:kern w:val="0"/>
                <w:sz w:val="18"/>
                <w:szCs w:val="18"/>
                <w:u w:val="none"/>
                <w:lang w:val="en-US" w:eastAsia="zh-CN" w:bidi="ar"/>
              </w:rPr>
              <w:t>.</w:t>
            </w:r>
            <w:r>
              <w:rPr>
                <w:rFonts w:hint="eastAsia" w:ascii="Times New Roman" w:hAnsi="Times New Roman" w:eastAsiaTheme="majorEastAsia" w:cstheme="majorEastAsia"/>
                <w:i w:val="0"/>
                <w:iCs w:val="0"/>
                <w:color w:val="000000"/>
                <w:kern w:val="0"/>
                <w:sz w:val="18"/>
                <w:szCs w:val="18"/>
                <w:u w:val="none"/>
                <w:lang w:val="en-US" w:eastAsia="zh-CN" w:bidi="ar"/>
              </w:rPr>
              <w:t>0%</w:t>
            </w:r>
            <w:r>
              <w:rPr>
                <w:rFonts w:hint="eastAsia" w:asciiTheme="majorEastAsia" w:hAnsiTheme="majorEastAsia" w:eastAsiaTheme="majorEastAsia" w:cstheme="majorEastAsia"/>
                <w:i w:val="0"/>
                <w:iCs w:val="0"/>
                <w:color w:val="000000"/>
                <w:kern w:val="0"/>
                <w:sz w:val="18"/>
                <w:szCs w:val="18"/>
                <w:u w:val="none"/>
                <w:lang w:val="en-US" w:eastAsia="zh-CN" w:bidi="ar"/>
              </w:rPr>
              <w:t>。</w:t>
            </w:r>
          </w:p>
        </w:tc>
        <w:tc>
          <w:tcPr>
            <w:tcW w:w="1021" w:type="dxa"/>
            <w:tcBorders>
              <w:bottom w:val="single" w:color="000000" w:sz="4" w:space="0"/>
              <w:right w:val="single" w:color="000000" w:sz="4" w:space="0"/>
            </w:tcBorders>
            <w:noWrap w:val="0"/>
            <w:vAlign w:val="center"/>
          </w:tcPr>
          <w:p w14:paraId="756DBB0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4C657A11">
        <w:tblPrEx>
          <w:tblCellMar>
            <w:top w:w="0" w:type="dxa"/>
            <w:left w:w="108" w:type="dxa"/>
            <w:bottom w:w="0" w:type="dxa"/>
            <w:right w:w="108" w:type="dxa"/>
          </w:tblCellMar>
        </w:tblPrEx>
        <w:trPr>
          <w:trHeight w:val="574" w:hRule="exact"/>
        </w:trPr>
        <w:tc>
          <w:tcPr>
            <w:tcW w:w="6046" w:type="dxa"/>
            <w:tcBorders>
              <w:left w:val="single" w:color="000000" w:sz="4" w:space="0"/>
              <w:bottom w:val="single" w:color="000000" w:sz="4" w:space="0"/>
              <w:right w:val="single" w:color="000000" w:sz="4" w:space="0"/>
            </w:tcBorders>
            <w:noWrap w:val="0"/>
            <w:vAlign w:val="center"/>
          </w:tcPr>
          <w:p w14:paraId="4A7CEBBD">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5</w:t>
            </w:r>
            <w:r>
              <w:rPr>
                <w:rFonts w:hint="eastAsia" w:asciiTheme="majorEastAsia" w:hAnsiTheme="majorEastAsia" w:eastAsiaTheme="majorEastAsia" w:cstheme="majorEastAsia"/>
                <w:color w:val="000000"/>
                <w:kern w:val="0"/>
                <w:sz w:val="18"/>
                <w:szCs w:val="18"/>
              </w:rPr>
              <w:t>. 教师能熟练运用信息化手段组织教学，设施设备利用率达到较高水平</w:t>
            </w:r>
          </w:p>
        </w:tc>
        <w:tc>
          <w:tcPr>
            <w:tcW w:w="7475" w:type="dxa"/>
            <w:tcBorders>
              <w:bottom w:val="single" w:color="000000" w:sz="4" w:space="0"/>
              <w:right w:val="single" w:color="000000" w:sz="4" w:space="0"/>
            </w:tcBorders>
            <w:noWrap w:val="0"/>
            <w:vAlign w:val="center"/>
          </w:tcPr>
          <w:p w14:paraId="7836052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义务教育学校普通教室多媒体平台覆盖率</w:t>
            </w:r>
            <w:r>
              <w:rPr>
                <w:rFonts w:hint="eastAsia" w:ascii="Times New Roman" w:hAnsi="Times New Roman" w:eastAsiaTheme="majorEastAsia" w:cstheme="majorEastAsia"/>
                <w:i w:val="0"/>
                <w:iCs w:val="0"/>
                <w:color w:val="000000"/>
                <w:kern w:val="0"/>
                <w:sz w:val="18"/>
                <w:szCs w:val="18"/>
                <w:u w:val="none"/>
                <w:lang w:val="en-US" w:eastAsia="zh-CN" w:bidi="ar"/>
              </w:rPr>
              <w:t>100%</w:t>
            </w:r>
            <w:r>
              <w:rPr>
                <w:rFonts w:hint="eastAsia" w:asciiTheme="majorEastAsia" w:hAnsiTheme="majorEastAsia" w:eastAsiaTheme="majorEastAsia" w:cstheme="majorEastAsia"/>
                <w:i w:val="0"/>
                <w:iCs w:val="0"/>
                <w:color w:val="000000"/>
                <w:kern w:val="0"/>
                <w:sz w:val="18"/>
                <w:szCs w:val="18"/>
                <w:u w:val="none"/>
                <w:lang w:val="en-US" w:eastAsia="zh-CN" w:bidi="ar"/>
              </w:rPr>
              <w:t>，教师能积极利用教育信息化手段辅助教学。教师能熟练运用信息化手段组织教学，设施设备利用率达到较高水平。</w:t>
            </w:r>
          </w:p>
        </w:tc>
        <w:tc>
          <w:tcPr>
            <w:tcW w:w="1021" w:type="dxa"/>
            <w:tcBorders>
              <w:bottom w:val="single" w:color="000000" w:sz="4" w:space="0"/>
              <w:right w:val="single" w:color="000000" w:sz="4" w:space="0"/>
            </w:tcBorders>
            <w:noWrap w:val="0"/>
            <w:vAlign w:val="center"/>
          </w:tcPr>
          <w:p w14:paraId="6207803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6A6B38C2">
        <w:tblPrEx>
          <w:tblCellMar>
            <w:top w:w="0" w:type="dxa"/>
            <w:left w:w="108" w:type="dxa"/>
            <w:bottom w:w="0" w:type="dxa"/>
            <w:right w:w="108" w:type="dxa"/>
          </w:tblCellMar>
        </w:tblPrEx>
        <w:trPr>
          <w:trHeight w:val="888" w:hRule="exact"/>
        </w:trPr>
        <w:tc>
          <w:tcPr>
            <w:tcW w:w="6046" w:type="dxa"/>
            <w:tcBorders>
              <w:left w:val="single" w:color="000000" w:sz="4" w:space="0"/>
              <w:bottom w:val="single" w:color="000000" w:sz="4" w:space="0"/>
              <w:right w:val="single" w:color="000000" w:sz="4" w:space="0"/>
            </w:tcBorders>
            <w:noWrap w:val="0"/>
            <w:vAlign w:val="center"/>
          </w:tcPr>
          <w:p w14:paraId="72A771EF">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6</w:t>
            </w:r>
            <w:r>
              <w:rPr>
                <w:rFonts w:hint="eastAsia" w:asciiTheme="majorEastAsia" w:hAnsiTheme="majorEastAsia" w:eastAsiaTheme="majorEastAsia" w:cstheme="majorEastAsia"/>
                <w:color w:val="000000"/>
                <w:kern w:val="0"/>
                <w:sz w:val="18"/>
                <w:szCs w:val="18"/>
              </w:rPr>
              <w:t>. 所有学校德育工作、校园文化建设达到良好以上</w:t>
            </w:r>
          </w:p>
        </w:tc>
        <w:tc>
          <w:tcPr>
            <w:tcW w:w="7475" w:type="dxa"/>
            <w:tcBorders>
              <w:bottom w:val="single" w:color="000000" w:sz="4" w:space="0"/>
              <w:right w:val="single" w:color="000000" w:sz="4" w:space="0"/>
            </w:tcBorders>
            <w:noWrap w:val="0"/>
            <w:vAlign w:val="center"/>
          </w:tcPr>
          <w:p w14:paraId="5C66CC3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各义务教育学校高度重视德育和校园文化建设工作，扎实有效推进学校思政课建设，积极挖掘课程蕴含的德育资源、德育力量，做到全员育人、全程育人、全方位育人。积极推进素质教育，健全德智体美劳全面发展育人机制。</w:t>
            </w:r>
          </w:p>
        </w:tc>
        <w:tc>
          <w:tcPr>
            <w:tcW w:w="1021" w:type="dxa"/>
            <w:tcBorders>
              <w:bottom w:val="single" w:color="000000" w:sz="4" w:space="0"/>
              <w:right w:val="single" w:color="000000" w:sz="4" w:space="0"/>
            </w:tcBorders>
            <w:noWrap w:val="0"/>
            <w:vAlign w:val="center"/>
          </w:tcPr>
          <w:p w14:paraId="5AE222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233A9196">
        <w:tblPrEx>
          <w:tblCellMar>
            <w:top w:w="0" w:type="dxa"/>
            <w:left w:w="108" w:type="dxa"/>
            <w:bottom w:w="0" w:type="dxa"/>
            <w:right w:w="108" w:type="dxa"/>
          </w:tblCellMar>
        </w:tblPrEx>
        <w:trPr>
          <w:trHeight w:val="567" w:hRule="exact"/>
        </w:trPr>
        <w:tc>
          <w:tcPr>
            <w:tcW w:w="6046" w:type="dxa"/>
            <w:tcBorders>
              <w:left w:val="single" w:color="000000" w:sz="4" w:space="0"/>
              <w:bottom w:val="single" w:color="000000" w:sz="4" w:space="0"/>
              <w:right w:val="single" w:color="000000" w:sz="4" w:space="0"/>
            </w:tcBorders>
            <w:noWrap w:val="0"/>
            <w:vAlign w:val="center"/>
          </w:tcPr>
          <w:p w14:paraId="746817D5">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7</w:t>
            </w:r>
            <w:r>
              <w:rPr>
                <w:rFonts w:hint="eastAsia" w:asciiTheme="majorEastAsia" w:hAnsiTheme="majorEastAsia" w:eastAsiaTheme="majorEastAsia" w:cstheme="majorEastAsia"/>
                <w:color w:val="000000"/>
                <w:kern w:val="0"/>
                <w:sz w:val="18"/>
                <w:szCs w:val="18"/>
              </w:rPr>
              <w:t>. 课程开齐开足，教学秩序规范，综合实践活动有效开展</w:t>
            </w:r>
          </w:p>
        </w:tc>
        <w:tc>
          <w:tcPr>
            <w:tcW w:w="7475" w:type="dxa"/>
            <w:tcBorders>
              <w:bottom w:val="single" w:color="000000" w:sz="4" w:space="0"/>
              <w:right w:val="single" w:color="000000" w:sz="4" w:space="0"/>
            </w:tcBorders>
            <w:noWrap w:val="0"/>
            <w:vAlign w:val="center"/>
          </w:tcPr>
          <w:p w14:paraId="4857F69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严格按国家课程标准的要求开齐课程、开足课时，教学秩序规范，综合实践活动有效开展。</w:t>
            </w:r>
          </w:p>
        </w:tc>
        <w:tc>
          <w:tcPr>
            <w:tcW w:w="1021" w:type="dxa"/>
            <w:tcBorders>
              <w:bottom w:val="single" w:color="000000" w:sz="4" w:space="0"/>
              <w:right w:val="single" w:color="000000" w:sz="4" w:space="0"/>
            </w:tcBorders>
            <w:noWrap w:val="0"/>
            <w:vAlign w:val="center"/>
          </w:tcPr>
          <w:p w14:paraId="7773AAB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4067898D">
        <w:tblPrEx>
          <w:tblCellMar>
            <w:top w:w="0" w:type="dxa"/>
            <w:left w:w="108" w:type="dxa"/>
            <w:bottom w:w="0" w:type="dxa"/>
            <w:right w:w="108" w:type="dxa"/>
          </w:tblCellMar>
        </w:tblPrEx>
        <w:trPr>
          <w:trHeight w:val="567" w:hRule="exact"/>
        </w:trPr>
        <w:tc>
          <w:tcPr>
            <w:tcW w:w="6046" w:type="dxa"/>
            <w:tcBorders>
              <w:left w:val="single" w:color="000000" w:sz="4" w:space="0"/>
              <w:bottom w:val="single" w:color="000000" w:sz="4" w:space="0"/>
              <w:right w:val="single" w:color="000000" w:sz="4" w:space="0"/>
            </w:tcBorders>
            <w:noWrap w:val="0"/>
            <w:vAlign w:val="center"/>
          </w:tcPr>
          <w:p w14:paraId="4E6CF60D">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8</w:t>
            </w:r>
            <w:r>
              <w:rPr>
                <w:rFonts w:hint="eastAsia" w:asciiTheme="majorEastAsia" w:hAnsiTheme="majorEastAsia" w:eastAsiaTheme="majorEastAsia" w:cstheme="majorEastAsia"/>
                <w:color w:val="000000"/>
                <w:kern w:val="0"/>
                <w:sz w:val="18"/>
                <w:szCs w:val="18"/>
              </w:rPr>
              <w:t>. 无过重课业负担</w:t>
            </w:r>
          </w:p>
        </w:tc>
        <w:tc>
          <w:tcPr>
            <w:tcW w:w="7475" w:type="dxa"/>
            <w:tcBorders>
              <w:bottom w:val="single" w:color="000000" w:sz="4" w:space="0"/>
              <w:right w:val="single" w:color="000000" w:sz="4" w:space="0"/>
            </w:tcBorders>
            <w:noWrap w:val="0"/>
            <w:vAlign w:val="center"/>
          </w:tcPr>
          <w:p w14:paraId="0DA1E0B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合理安排学生作息时间，严格控制中小学生在校集中教学时间，建立弹性离校制度。</w:t>
            </w:r>
          </w:p>
        </w:tc>
        <w:tc>
          <w:tcPr>
            <w:tcW w:w="1021" w:type="dxa"/>
            <w:tcBorders>
              <w:bottom w:val="single" w:color="000000" w:sz="4" w:space="0"/>
              <w:right w:val="single" w:color="000000" w:sz="4" w:space="0"/>
            </w:tcBorders>
            <w:noWrap w:val="0"/>
            <w:vAlign w:val="center"/>
          </w:tcPr>
          <w:p w14:paraId="6DB9F1E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i w:val="0"/>
                <w:iCs w:val="0"/>
                <w:color w:val="000000"/>
                <w:kern w:val="0"/>
                <w:sz w:val="18"/>
                <w:szCs w:val="18"/>
                <w:u w:val="none"/>
                <w:lang w:val="en-US" w:eastAsia="zh-CN" w:bidi="ar"/>
              </w:rPr>
              <w:t>是</w:t>
            </w:r>
          </w:p>
        </w:tc>
      </w:tr>
      <w:tr w14:paraId="1977C13F">
        <w:tblPrEx>
          <w:tblCellMar>
            <w:top w:w="0" w:type="dxa"/>
            <w:left w:w="108" w:type="dxa"/>
            <w:bottom w:w="0" w:type="dxa"/>
            <w:right w:w="108" w:type="dxa"/>
          </w:tblCellMar>
        </w:tblPrEx>
        <w:trPr>
          <w:trHeight w:val="285" w:hRule="atLeast"/>
        </w:trPr>
        <w:tc>
          <w:tcPr>
            <w:tcW w:w="6046" w:type="dxa"/>
            <w:tcBorders>
              <w:left w:val="single" w:color="000000" w:sz="4" w:space="0"/>
              <w:bottom w:val="single" w:color="000000" w:sz="4" w:space="0"/>
              <w:right w:val="single" w:color="000000" w:sz="4" w:space="0"/>
            </w:tcBorders>
            <w:noWrap w:val="0"/>
            <w:vAlign w:val="center"/>
          </w:tcPr>
          <w:p w14:paraId="5D182FA8">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imes New Roman" w:hAnsi="Times New Roman" w:eastAsiaTheme="majorEastAsia" w:cstheme="majorEastAsia"/>
                <w:color w:val="000000"/>
                <w:kern w:val="0"/>
                <w:sz w:val="18"/>
                <w:szCs w:val="18"/>
              </w:rPr>
              <w:t>9</w:t>
            </w:r>
            <w:r>
              <w:rPr>
                <w:rFonts w:hint="eastAsia" w:asciiTheme="majorEastAsia" w:hAnsiTheme="majorEastAsia" w:eastAsiaTheme="majorEastAsia" w:cstheme="majorEastAsia"/>
                <w:color w:val="000000"/>
                <w:kern w:val="0"/>
                <w:sz w:val="18"/>
                <w:szCs w:val="18"/>
              </w:rPr>
              <w:t>. 在国家义务教育质量监测中，相关科目学生学业水平达到Ⅲ级以上，且</w:t>
            </w:r>
            <w:r>
              <w:rPr>
                <w:rFonts w:hint="eastAsia" w:asciiTheme="majorEastAsia" w:hAnsiTheme="majorEastAsia" w:eastAsiaTheme="majorEastAsia" w:cstheme="majorEastAsia"/>
                <w:kern w:val="0"/>
                <w:sz w:val="18"/>
                <w:szCs w:val="18"/>
              </w:rPr>
              <w:t>校际</w:t>
            </w:r>
            <w:r>
              <w:rPr>
                <w:rFonts w:hint="eastAsia" w:asciiTheme="majorEastAsia" w:hAnsiTheme="majorEastAsia" w:eastAsiaTheme="majorEastAsia" w:cstheme="majorEastAsia"/>
                <w:color w:val="000000"/>
                <w:kern w:val="0"/>
                <w:sz w:val="18"/>
                <w:szCs w:val="18"/>
              </w:rPr>
              <w:t>差异率低于</w:t>
            </w:r>
            <w:r>
              <w:rPr>
                <w:rFonts w:hint="eastAsia" w:ascii="Times New Roman" w:hAnsi="Times New Roman" w:eastAsiaTheme="majorEastAsia" w:cstheme="majorEastAsia"/>
                <w:color w:val="000000"/>
                <w:kern w:val="0"/>
                <w:sz w:val="18"/>
                <w:szCs w:val="18"/>
              </w:rPr>
              <w:t>0</w:t>
            </w:r>
            <w:r>
              <w:rPr>
                <w:rFonts w:hint="eastAsia" w:asciiTheme="majorEastAsia" w:hAnsiTheme="majorEastAsia" w:eastAsiaTheme="majorEastAsia" w:cstheme="majorEastAsia"/>
                <w:color w:val="000000"/>
                <w:kern w:val="0"/>
                <w:sz w:val="18"/>
                <w:szCs w:val="18"/>
              </w:rPr>
              <w:t>.</w:t>
            </w:r>
            <w:r>
              <w:rPr>
                <w:rFonts w:hint="eastAsia" w:ascii="Times New Roman" w:hAnsi="Times New Roman" w:eastAsiaTheme="majorEastAsia" w:cstheme="majorEastAsia"/>
                <w:color w:val="000000"/>
                <w:kern w:val="0"/>
                <w:sz w:val="18"/>
                <w:szCs w:val="18"/>
              </w:rPr>
              <w:t>15</w:t>
            </w:r>
          </w:p>
        </w:tc>
        <w:tc>
          <w:tcPr>
            <w:tcW w:w="7475" w:type="dxa"/>
            <w:tcBorders>
              <w:bottom w:val="single" w:color="000000" w:sz="4" w:space="0"/>
              <w:right w:val="single" w:color="000000" w:sz="4" w:space="0"/>
            </w:tcBorders>
            <w:noWrap w:val="0"/>
            <w:vAlign w:val="center"/>
          </w:tcPr>
          <w:p w14:paraId="098BD0C4">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语文＿＿级、校际差异率＿＿；数学＿＿级、校际差异率＿＿；</w:t>
            </w:r>
          </w:p>
          <w:p w14:paraId="604C23CE">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科学＿＿级、校际差异率＿＿；体育＿＿级、校际差异率＿＿；</w:t>
            </w:r>
          </w:p>
          <w:p w14:paraId="638FF2C3">
            <w:pPr>
              <w:keepNext w:val="0"/>
              <w:keepLines w:val="0"/>
              <w:pageBreakBefore w:val="0"/>
              <w:widowControl/>
              <w:kinsoku/>
              <w:wordWrap/>
              <w:overflowPunct/>
              <w:topLinePunct w:val="0"/>
              <w:autoSpaceDE/>
              <w:autoSpaceDN/>
              <w:bidi w:val="0"/>
              <w:adjustRightInd/>
              <w:snapToGrid/>
              <w:spacing w:line="220" w:lineRule="exact"/>
              <w:jc w:val="left"/>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艺术＿＿级、校际差异率＿＿；德育＿＿级、校际差异率＿＿。</w:t>
            </w:r>
          </w:p>
        </w:tc>
        <w:tc>
          <w:tcPr>
            <w:tcW w:w="1021" w:type="dxa"/>
            <w:tcBorders>
              <w:bottom w:val="single" w:color="000000" w:sz="4" w:space="0"/>
              <w:right w:val="single" w:color="000000" w:sz="4" w:space="0"/>
            </w:tcBorders>
            <w:noWrap w:val="0"/>
            <w:vAlign w:val="center"/>
          </w:tcPr>
          <w:p w14:paraId="5DF4A85D">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rPr>
                <w:rFonts w:hint="eastAsia" w:asciiTheme="majorEastAsia" w:hAnsiTheme="majorEastAsia" w:eastAsiaTheme="majorEastAsia" w:cstheme="majorEastAsia"/>
                <w:color w:val="000000"/>
                <w:kern w:val="0"/>
                <w:sz w:val="18"/>
                <w:szCs w:val="18"/>
                <w:lang w:eastAsia="zh-CN"/>
              </w:rPr>
            </w:pPr>
            <w:r>
              <w:rPr>
                <w:rFonts w:hint="eastAsia" w:asciiTheme="majorEastAsia" w:hAnsiTheme="majorEastAsia" w:eastAsiaTheme="majorEastAsia" w:cstheme="majorEastAsia"/>
                <w:color w:val="000000"/>
                <w:kern w:val="0"/>
                <w:sz w:val="18"/>
                <w:szCs w:val="18"/>
                <w:lang w:eastAsia="zh-CN"/>
              </w:rPr>
              <w:t>——</w:t>
            </w:r>
          </w:p>
        </w:tc>
      </w:tr>
    </w:tbl>
    <w:p w14:paraId="77F3C9C9">
      <w:pPr>
        <w:spacing w:line="500" w:lineRule="exact"/>
        <w:rPr>
          <w:rFonts w:hint="eastAsia" w:ascii="仿宋_GB2312" w:hAnsi="仿宋_GB2312" w:eastAsia="仿宋_GB2312" w:cs="仿宋_GB2312"/>
          <w:sz w:val="30"/>
          <w:szCs w:val="30"/>
        </w:rPr>
      </w:pPr>
    </w:p>
    <w:tbl>
      <w:tblPr>
        <w:tblStyle w:val="7"/>
        <w:tblW w:w="0" w:type="auto"/>
        <w:tblInd w:w="93" w:type="dxa"/>
        <w:tblLayout w:type="fixed"/>
        <w:tblCellMar>
          <w:top w:w="0" w:type="dxa"/>
          <w:left w:w="108" w:type="dxa"/>
          <w:bottom w:w="0" w:type="dxa"/>
          <w:right w:w="108" w:type="dxa"/>
        </w:tblCellMar>
      </w:tblPr>
      <w:tblGrid>
        <w:gridCol w:w="1760"/>
        <w:gridCol w:w="1760"/>
        <w:gridCol w:w="1760"/>
        <w:gridCol w:w="1760"/>
        <w:gridCol w:w="1760"/>
        <w:gridCol w:w="1760"/>
        <w:gridCol w:w="1760"/>
        <w:gridCol w:w="1760"/>
      </w:tblGrid>
      <w:tr w14:paraId="7AE25B97">
        <w:tblPrEx>
          <w:tblCellMar>
            <w:top w:w="0" w:type="dxa"/>
            <w:left w:w="108" w:type="dxa"/>
            <w:bottom w:w="0" w:type="dxa"/>
            <w:right w:w="108" w:type="dxa"/>
          </w:tblCellMar>
        </w:tblPrEx>
        <w:trPr>
          <w:trHeight w:val="1245" w:hRule="atLeast"/>
        </w:trPr>
        <w:tc>
          <w:tcPr>
            <w:tcW w:w="14080" w:type="dxa"/>
            <w:gridSpan w:val="8"/>
            <w:tcBorders>
              <w:top w:val="nil"/>
              <w:left w:val="nil"/>
              <w:bottom w:val="single" w:color="auto" w:sz="4" w:space="0"/>
              <w:right w:val="nil"/>
            </w:tcBorders>
            <w:noWrap w:val="0"/>
            <w:vAlign w:val="center"/>
          </w:tcPr>
          <w:p w14:paraId="0A5F28A4">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表Ⅵ 社会认可度调查情况</w:t>
            </w:r>
          </w:p>
        </w:tc>
      </w:tr>
      <w:tr w14:paraId="5B83E456">
        <w:tblPrEx>
          <w:tblCellMar>
            <w:top w:w="0" w:type="dxa"/>
            <w:left w:w="108" w:type="dxa"/>
            <w:bottom w:w="0" w:type="dxa"/>
            <w:right w:w="108" w:type="dxa"/>
          </w:tblCellMar>
        </w:tblPrEx>
        <w:trPr>
          <w:trHeight w:val="765" w:hRule="atLeast"/>
        </w:trPr>
        <w:tc>
          <w:tcPr>
            <w:tcW w:w="1760" w:type="dxa"/>
            <w:vMerge w:val="restart"/>
            <w:tcBorders>
              <w:top w:val="nil"/>
              <w:left w:val="single" w:color="auto" w:sz="4" w:space="0"/>
              <w:bottom w:val="single" w:color="000000" w:sz="4" w:space="0"/>
              <w:right w:val="single" w:color="auto" w:sz="4" w:space="0"/>
            </w:tcBorders>
            <w:noWrap w:val="0"/>
            <w:vAlign w:val="center"/>
          </w:tcPr>
          <w:p w14:paraId="4398E4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　</w:t>
            </w:r>
          </w:p>
        </w:tc>
        <w:tc>
          <w:tcPr>
            <w:tcW w:w="5280" w:type="dxa"/>
            <w:gridSpan w:val="3"/>
            <w:tcBorders>
              <w:top w:val="single" w:color="auto" w:sz="4" w:space="0"/>
              <w:left w:val="nil"/>
              <w:bottom w:val="single" w:color="auto" w:sz="4" w:space="0"/>
              <w:right w:val="single" w:color="000000" w:sz="4" w:space="0"/>
            </w:tcBorders>
            <w:noWrap w:val="0"/>
            <w:vAlign w:val="center"/>
          </w:tcPr>
          <w:p w14:paraId="3D4C387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问卷总数</w:t>
            </w:r>
          </w:p>
        </w:tc>
        <w:tc>
          <w:tcPr>
            <w:tcW w:w="1760" w:type="dxa"/>
            <w:vMerge w:val="restart"/>
            <w:tcBorders>
              <w:top w:val="nil"/>
              <w:left w:val="single" w:color="auto" w:sz="4" w:space="0"/>
              <w:bottom w:val="single" w:color="000000" w:sz="4" w:space="0"/>
              <w:right w:val="single" w:color="auto" w:sz="4" w:space="0"/>
            </w:tcBorders>
            <w:noWrap w:val="0"/>
            <w:vAlign w:val="center"/>
          </w:tcPr>
          <w:p w14:paraId="7B3850F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问卷调查综合</w:t>
            </w:r>
            <w:r>
              <w:rPr>
                <w:rFonts w:hint="eastAsia" w:ascii="黑体" w:hAnsi="黑体" w:eastAsia="黑体" w:cs="黑体"/>
                <w:b w:val="0"/>
                <w:bCs/>
                <w:color w:val="000000"/>
                <w:kern w:val="0"/>
                <w:sz w:val="18"/>
                <w:szCs w:val="18"/>
              </w:rPr>
              <w:br w:type="textWrapping"/>
            </w:r>
            <w:r>
              <w:rPr>
                <w:rFonts w:hint="eastAsia" w:ascii="黑体" w:hAnsi="黑体" w:eastAsia="黑体" w:cs="黑体"/>
                <w:b w:val="0"/>
                <w:bCs/>
                <w:color w:val="000000"/>
                <w:kern w:val="0"/>
                <w:sz w:val="18"/>
                <w:szCs w:val="18"/>
              </w:rPr>
              <w:t>满意度</w:t>
            </w:r>
            <w:r>
              <w:rPr>
                <w:rFonts w:hint="eastAsia" w:ascii="黑体" w:hAnsi="黑体" w:eastAsia="黑体" w:cs="黑体"/>
                <w:b w:val="0"/>
                <w:bCs/>
                <w:color w:val="000000"/>
                <w:kern w:val="0"/>
                <w:sz w:val="18"/>
                <w:szCs w:val="18"/>
              </w:rPr>
              <w:br w:type="textWrapping"/>
            </w:r>
            <w:r>
              <w:rPr>
                <w:rFonts w:hint="eastAsia" w:ascii="黑体" w:hAnsi="黑体" w:eastAsia="黑体" w:cs="黑体"/>
                <w:b w:val="0"/>
                <w:bCs/>
                <w:color w:val="000000"/>
                <w:kern w:val="0"/>
                <w:sz w:val="18"/>
                <w:szCs w:val="18"/>
              </w:rPr>
              <w:t>（</w:t>
            </w:r>
            <w:r>
              <w:rPr>
                <w:rFonts w:hint="eastAsia" w:ascii="Times New Roman" w:hAnsi="Times New Roman" w:eastAsia="黑体" w:cs="黑体"/>
                <w:b w:val="0"/>
                <w:bCs/>
                <w:color w:val="000000"/>
                <w:kern w:val="0"/>
                <w:sz w:val="18"/>
                <w:szCs w:val="18"/>
              </w:rPr>
              <w:t>%</w:t>
            </w:r>
            <w:r>
              <w:rPr>
                <w:rFonts w:hint="eastAsia" w:ascii="黑体" w:hAnsi="黑体" w:eastAsia="黑体" w:cs="黑体"/>
                <w:b w:val="0"/>
                <w:bCs/>
                <w:color w:val="000000"/>
                <w:kern w:val="0"/>
                <w:sz w:val="18"/>
                <w:szCs w:val="18"/>
              </w:rPr>
              <w:t>）</w:t>
            </w:r>
          </w:p>
        </w:tc>
        <w:tc>
          <w:tcPr>
            <w:tcW w:w="3520" w:type="dxa"/>
            <w:gridSpan w:val="2"/>
            <w:tcBorders>
              <w:top w:val="single" w:color="auto" w:sz="4" w:space="0"/>
              <w:left w:val="nil"/>
              <w:bottom w:val="single" w:color="auto" w:sz="4" w:space="0"/>
              <w:right w:val="single" w:color="000000" w:sz="4" w:space="0"/>
            </w:tcBorders>
            <w:noWrap w:val="0"/>
            <w:vAlign w:val="center"/>
          </w:tcPr>
          <w:p w14:paraId="317F2E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实地走访人数</w:t>
            </w:r>
          </w:p>
        </w:tc>
        <w:tc>
          <w:tcPr>
            <w:tcW w:w="1760" w:type="dxa"/>
            <w:vMerge w:val="restart"/>
            <w:tcBorders>
              <w:top w:val="nil"/>
              <w:left w:val="single" w:color="auto" w:sz="4" w:space="0"/>
              <w:bottom w:val="single" w:color="000000" w:sz="4" w:space="0"/>
              <w:right w:val="single" w:color="auto" w:sz="4" w:space="0"/>
            </w:tcBorders>
            <w:noWrap w:val="0"/>
            <w:vAlign w:val="center"/>
          </w:tcPr>
          <w:p w14:paraId="2CF8D3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实地走访满意度</w:t>
            </w:r>
            <w:r>
              <w:rPr>
                <w:rFonts w:hint="eastAsia" w:ascii="黑体" w:hAnsi="黑体" w:eastAsia="黑体" w:cs="黑体"/>
                <w:b w:val="0"/>
                <w:bCs/>
                <w:color w:val="000000"/>
                <w:kern w:val="0"/>
                <w:sz w:val="18"/>
                <w:szCs w:val="18"/>
              </w:rPr>
              <w:br w:type="textWrapping"/>
            </w:r>
            <w:r>
              <w:rPr>
                <w:rFonts w:hint="eastAsia" w:ascii="黑体" w:hAnsi="黑体" w:eastAsia="黑体" w:cs="黑体"/>
                <w:b w:val="0"/>
                <w:bCs/>
                <w:color w:val="000000"/>
                <w:kern w:val="0"/>
                <w:sz w:val="18"/>
                <w:szCs w:val="18"/>
              </w:rPr>
              <w:t>（</w:t>
            </w:r>
            <w:r>
              <w:rPr>
                <w:rFonts w:hint="eastAsia" w:ascii="Times New Roman" w:hAnsi="Times New Roman" w:eastAsia="黑体" w:cs="黑体"/>
                <w:b w:val="0"/>
                <w:bCs/>
                <w:color w:val="000000"/>
                <w:kern w:val="0"/>
                <w:sz w:val="18"/>
                <w:szCs w:val="18"/>
              </w:rPr>
              <w:t>%</w:t>
            </w:r>
            <w:r>
              <w:rPr>
                <w:rFonts w:hint="eastAsia" w:ascii="黑体" w:hAnsi="黑体" w:eastAsia="黑体" w:cs="黑体"/>
                <w:b w:val="0"/>
                <w:bCs/>
                <w:color w:val="000000"/>
                <w:kern w:val="0"/>
                <w:sz w:val="18"/>
                <w:szCs w:val="18"/>
              </w:rPr>
              <w:t>）</w:t>
            </w:r>
          </w:p>
        </w:tc>
      </w:tr>
      <w:tr w14:paraId="44CCBB90">
        <w:tblPrEx>
          <w:tblCellMar>
            <w:top w:w="0" w:type="dxa"/>
            <w:left w:w="108" w:type="dxa"/>
            <w:bottom w:w="0" w:type="dxa"/>
            <w:right w:w="108" w:type="dxa"/>
          </w:tblCellMar>
        </w:tblPrEx>
        <w:trPr>
          <w:trHeight w:val="779" w:hRule="atLeast"/>
        </w:trPr>
        <w:tc>
          <w:tcPr>
            <w:tcW w:w="1760" w:type="dxa"/>
            <w:vMerge w:val="continue"/>
            <w:tcBorders>
              <w:top w:val="nil"/>
              <w:left w:val="single" w:color="auto" w:sz="4" w:space="0"/>
              <w:bottom w:val="single" w:color="000000" w:sz="4" w:space="0"/>
              <w:right w:val="single" w:color="auto" w:sz="4" w:space="0"/>
            </w:tcBorders>
            <w:noWrap w:val="0"/>
            <w:vAlign w:val="center"/>
          </w:tcPr>
          <w:p w14:paraId="42F774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p>
        </w:tc>
        <w:tc>
          <w:tcPr>
            <w:tcW w:w="1760" w:type="dxa"/>
            <w:vMerge w:val="restart"/>
            <w:tcBorders>
              <w:top w:val="nil"/>
              <w:left w:val="single" w:color="auto" w:sz="4" w:space="0"/>
              <w:bottom w:val="single" w:color="000000" w:sz="4" w:space="0"/>
              <w:right w:val="single" w:color="auto" w:sz="4" w:space="0"/>
            </w:tcBorders>
            <w:noWrap w:val="0"/>
            <w:vAlign w:val="center"/>
          </w:tcPr>
          <w:p w14:paraId="1BA0E3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计</w:t>
            </w:r>
          </w:p>
        </w:tc>
        <w:tc>
          <w:tcPr>
            <w:tcW w:w="3520" w:type="dxa"/>
            <w:gridSpan w:val="2"/>
            <w:tcBorders>
              <w:top w:val="single" w:color="auto" w:sz="4" w:space="0"/>
              <w:left w:val="nil"/>
              <w:bottom w:val="single" w:color="auto" w:sz="4" w:space="0"/>
              <w:right w:val="single" w:color="000000" w:sz="4" w:space="0"/>
            </w:tcBorders>
            <w:noWrap w:val="0"/>
            <w:vAlign w:val="center"/>
          </w:tcPr>
          <w:p w14:paraId="6B826D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其中：回收有效问卷数</w:t>
            </w:r>
          </w:p>
        </w:tc>
        <w:tc>
          <w:tcPr>
            <w:tcW w:w="1760" w:type="dxa"/>
            <w:vMerge w:val="continue"/>
            <w:tcBorders>
              <w:top w:val="nil"/>
              <w:left w:val="single" w:color="auto" w:sz="4" w:space="0"/>
              <w:bottom w:val="single" w:color="000000" w:sz="4" w:space="0"/>
              <w:right w:val="single" w:color="auto" w:sz="4" w:space="0"/>
            </w:tcBorders>
            <w:noWrap w:val="0"/>
            <w:vAlign w:val="center"/>
          </w:tcPr>
          <w:p w14:paraId="3AB3AA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p>
        </w:tc>
        <w:tc>
          <w:tcPr>
            <w:tcW w:w="1760" w:type="dxa"/>
            <w:vMerge w:val="restart"/>
            <w:tcBorders>
              <w:top w:val="nil"/>
              <w:left w:val="single" w:color="auto" w:sz="4" w:space="0"/>
              <w:bottom w:val="single" w:color="000000" w:sz="4" w:space="0"/>
              <w:right w:val="single" w:color="auto" w:sz="4" w:space="0"/>
            </w:tcBorders>
            <w:noWrap w:val="0"/>
            <w:vAlign w:val="center"/>
          </w:tcPr>
          <w:p w14:paraId="03DEFA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计</w:t>
            </w:r>
          </w:p>
        </w:tc>
        <w:tc>
          <w:tcPr>
            <w:tcW w:w="1760" w:type="dxa"/>
            <w:vMerge w:val="restart"/>
            <w:tcBorders>
              <w:top w:val="nil"/>
              <w:left w:val="single" w:color="auto" w:sz="4" w:space="0"/>
              <w:bottom w:val="single" w:color="000000" w:sz="4" w:space="0"/>
              <w:right w:val="single" w:color="auto" w:sz="4" w:space="0"/>
            </w:tcBorders>
            <w:noWrap w:val="0"/>
            <w:vAlign w:val="center"/>
          </w:tcPr>
          <w:p w14:paraId="01DF2B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其中：满意人数</w:t>
            </w:r>
          </w:p>
        </w:tc>
        <w:tc>
          <w:tcPr>
            <w:tcW w:w="1760" w:type="dxa"/>
            <w:vMerge w:val="continue"/>
            <w:tcBorders>
              <w:top w:val="nil"/>
              <w:left w:val="single" w:color="auto" w:sz="4" w:space="0"/>
              <w:bottom w:val="single" w:color="000000" w:sz="4" w:space="0"/>
              <w:right w:val="single" w:color="auto" w:sz="4" w:space="0"/>
            </w:tcBorders>
            <w:noWrap w:val="0"/>
            <w:vAlign w:val="center"/>
          </w:tcPr>
          <w:p w14:paraId="16E650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color w:val="000000"/>
                <w:kern w:val="0"/>
                <w:sz w:val="18"/>
                <w:szCs w:val="18"/>
              </w:rPr>
            </w:pPr>
          </w:p>
        </w:tc>
      </w:tr>
      <w:tr w14:paraId="18A84CB0">
        <w:tblPrEx>
          <w:tblCellMar>
            <w:top w:w="0" w:type="dxa"/>
            <w:left w:w="108" w:type="dxa"/>
            <w:bottom w:w="0" w:type="dxa"/>
            <w:right w:w="108" w:type="dxa"/>
          </w:tblCellMar>
        </w:tblPrEx>
        <w:trPr>
          <w:trHeight w:val="705" w:hRule="atLeast"/>
        </w:trPr>
        <w:tc>
          <w:tcPr>
            <w:tcW w:w="1760" w:type="dxa"/>
            <w:vMerge w:val="continue"/>
            <w:tcBorders>
              <w:top w:val="nil"/>
              <w:left w:val="single" w:color="auto" w:sz="4" w:space="0"/>
              <w:bottom w:val="single" w:color="000000" w:sz="4" w:space="0"/>
              <w:right w:val="single" w:color="auto" w:sz="4" w:space="0"/>
            </w:tcBorders>
            <w:noWrap w:val="0"/>
            <w:vAlign w:val="center"/>
          </w:tcPr>
          <w:p w14:paraId="3CD0D5EB">
            <w:pPr>
              <w:widowControl/>
              <w:jc w:val="center"/>
              <w:rPr>
                <w:rFonts w:hint="eastAsia" w:ascii="黑体" w:hAnsi="黑体" w:eastAsia="黑体" w:cs="黑体"/>
                <w:b w:val="0"/>
                <w:bCs/>
                <w:color w:val="000000"/>
                <w:kern w:val="0"/>
                <w:sz w:val="18"/>
                <w:szCs w:val="18"/>
              </w:rPr>
            </w:pPr>
          </w:p>
        </w:tc>
        <w:tc>
          <w:tcPr>
            <w:tcW w:w="1760" w:type="dxa"/>
            <w:vMerge w:val="continue"/>
            <w:tcBorders>
              <w:top w:val="nil"/>
              <w:left w:val="single" w:color="auto" w:sz="4" w:space="0"/>
              <w:bottom w:val="single" w:color="000000" w:sz="4" w:space="0"/>
              <w:right w:val="single" w:color="auto" w:sz="4" w:space="0"/>
            </w:tcBorders>
            <w:noWrap w:val="0"/>
            <w:vAlign w:val="center"/>
          </w:tcPr>
          <w:p w14:paraId="1141E8B5">
            <w:pPr>
              <w:widowControl/>
              <w:jc w:val="center"/>
              <w:rPr>
                <w:rFonts w:hint="eastAsia" w:ascii="黑体" w:hAnsi="黑体" w:eastAsia="黑体" w:cs="黑体"/>
                <w:b w:val="0"/>
                <w:bCs/>
                <w:color w:val="000000"/>
                <w:kern w:val="0"/>
                <w:sz w:val="18"/>
                <w:szCs w:val="18"/>
              </w:rPr>
            </w:pPr>
          </w:p>
        </w:tc>
        <w:tc>
          <w:tcPr>
            <w:tcW w:w="1760" w:type="dxa"/>
            <w:tcBorders>
              <w:top w:val="nil"/>
              <w:left w:val="nil"/>
              <w:bottom w:val="single" w:color="auto" w:sz="4" w:space="0"/>
              <w:right w:val="single" w:color="auto" w:sz="4" w:space="0"/>
            </w:tcBorders>
            <w:noWrap w:val="0"/>
            <w:vAlign w:val="center"/>
          </w:tcPr>
          <w:p w14:paraId="15B2A29B">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计</w:t>
            </w:r>
          </w:p>
        </w:tc>
        <w:tc>
          <w:tcPr>
            <w:tcW w:w="1760" w:type="dxa"/>
            <w:tcBorders>
              <w:top w:val="nil"/>
              <w:left w:val="nil"/>
              <w:bottom w:val="single" w:color="auto" w:sz="4" w:space="0"/>
              <w:right w:val="single" w:color="auto" w:sz="4" w:space="0"/>
            </w:tcBorders>
            <w:noWrap w:val="0"/>
            <w:vAlign w:val="center"/>
          </w:tcPr>
          <w:p w14:paraId="6BAACC37">
            <w:pPr>
              <w:widowControl/>
              <w:jc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rPr>
              <w:t>其中：满意问卷数</w:t>
            </w:r>
          </w:p>
        </w:tc>
        <w:tc>
          <w:tcPr>
            <w:tcW w:w="1760" w:type="dxa"/>
            <w:vMerge w:val="continue"/>
            <w:tcBorders>
              <w:top w:val="nil"/>
              <w:left w:val="single" w:color="auto" w:sz="4" w:space="0"/>
              <w:bottom w:val="single" w:color="000000" w:sz="4" w:space="0"/>
              <w:right w:val="single" w:color="auto" w:sz="4" w:space="0"/>
            </w:tcBorders>
            <w:noWrap w:val="0"/>
            <w:vAlign w:val="center"/>
          </w:tcPr>
          <w:p w14:paraId="78DDC166">
            <w:pPr>
              <w:widowControl/>
              <w:jc w:val="center"/>
              <w:rPr>
                <w:rFonts w:hint="eastAsia" w:ascii="黑体" w:hAnsi="黑体" w:eastAsia="黑体" w:cs="黑体"/>
                <w:b w:val="0"/>
                <w:bCs/>
                <w:color w:val="000000"/>
                <w:kern w:val="0"/>
                <w:sz w:val="18"/>
                <w:szCs w:val="18"/>
              </w:rPr>
            </w:pPr>
          </w:p>
        </w:tc>
        <w:tc>
          <w:tcPr>
            <w:tcW w:w="1760" w:type="dxa"/>
            <w:vMerge w:val="continue"/>
            <w:tcBorders>
              <w:top w:val="nil"/>
              <w:left w:val="single" w:color="auto" w:sz="4" w:space="0"/>
              <w:bottom w:val="single" w:color="000000" w:sz="4" w:space="0"/>
              <w:right w:val="single" w:color="auto" w:sz="4" w:space="0"/>
            </w:tcBorders>
            <w:noWrap w:val="0"/>
            <w:vAlign w:val="center"/>
          </w:tcPr>
          <w:p w14:paraId="1AEB0AE1">
            <w:pPr>
              <w:widowControl/>
              <w:jc w:val="center"/>
              <w:rPr>
                <w:rFonts w:hint="eastAsia" w:ascii="黑体" w:hAnsi="黑体" w:eastAsia="黑体" w:cs="黑体"/>
                <w:b w:val="0"/>
                <w:bCs/>
                <w:color w:val="000000"/>
                <w:kern w:val="0"/>
                <w:sz w:val="18"/>
                <w:szCs w:val="18"/>
              </w:rPr>
            </w:pPr>
          </w:p>
        </w:tc>
        <w:tc>
          <w:tcPr>
            <w:tcW w:w="1760" w:type="dxa"/>
            <w:vMerge w:val="continue"/>
            <w:tcBorders>
              <w:top w:val="nil"/>
              <w:left w:val="single" w:color="auto" w:sz="4" w:space="0"/>
              <w:bottom w:val="single" w:color="000000" w:sz="4" w:space="0"/>
              <w:right w:val="single" w:color="auto" w:sz="4" w:space="0"/>
            </w:tcBorders>
            <w:noWrap w:val="0"/>
            <w:vAlign w:val="center"/>
          </w:tcPr>
          <w:p w14:paraId="02D846CC">
            <w:pPr>
              <w:widowControl/>
              <w:jc w:val="center"/>
              <w:rPr>
                <w:rFonts w:hint="eastAsia" w:ascii="黑体" w:hAnsi="黑体" w:eastAsia="黑体" w:cs="黑体"/>
                <w:b w:val="0"/>
                <w:bCs/>
                <w:color w:val="000000"/>
                <w:kern w:val="0"/>
                <w:sz w:val="18"/>
                <w:szCs w:val="18"/>
              </w:rPr>
            </w:pPr>
          </w:p>
        </w:tc>
        <w:tc>
          <w:tcPr>
            <w:tcW w:w="1760" w:type="dxa"/>
            <w:vMerge w:val="continue"/>
            <w:tcBorders>
              <w:top w:val="nil"/>
              <w:left w:val="single" w:color="auto" w:sz="4" w:space="0"/>
              <w:bottom w:val="single" w:color="000000" w:sz="4" w:space="0"/>
              <w:right w:val="single" w:color="auto" w:sz="4" w:space="0"/>
            </w:tcBorders>
            <w:noWrap w:val="0"/>
            <w:vAlign w:val="center"/>
          </w:tcPr>
          <w:p w14:paraId="1BC7DE49">
            <w:pPr>
              <w:widowControl/>
              <w:jc w:val="center"/>
              <w:rPr>
                <w:rFonts w:hint="eastAsia" w:ascii="黑体" w:hAnsi="黑体" w:eastAsia="黑体" w:cs="黑体"/>
                <w:b w:val="0"/>
                <w:bCs/>
                <w:color w:val="000000"/>
                <w:kern w:val="0"/>
                <w:sz w:val="18"/>
                <w:szCs w:val="18"/>
              </w:rPr>
            </w:pPr>
          </w:p>
        </w:tc>
      </w:tr>
      <w:tr w14:paraId="3149084D">
        <w:tblPrEx>
          <w:tblCellMar>
            <w:top w:w="0" w:type="dxa"/>
            <w:left w:w="108" w:type="dxa"/>
            <w:bottom w:w="0" w:type="dxa"/>
            <w:right w:w="108" w:type="dxa"/>
          </w:tblCellMar>
        </w:tblPrEx>
        <w:trPr>
          <w:trHeight w:val="832" w:hRule="atLeast"/>
        </w:trPr>
        <w:tc>
          <w:tcPr>
            <w:tcW w:w="1760" w:type="dxa"/>
            <w:vMerge w:val="continue"/>
            <w:tcBorders>
              <w:top w:val="nil"/>
              <w:left w:val="single" w:color="auto" w:sz="4" w:space="0"/>
              <w:bottom w:val="single" w:color="000000" w:sz="4" w:space="0"/>
              <w:right w:val="single" w:color="auto" w:sz="4" w:space="0"/>
            </w:tcBorders>
            <w:noWrap w:val="0"/>
            <w:vAlign w:val="center"/>
          </w:tcPr>
          <w:p w14:paraId="0A508D01">
            <w:pPr>
              <w:widowControl/>
              <w:jc w:val="center"/>
              <w:rPr>
                <w:rFonts w:hint="eastAsia" w:ascii="黑体" w:hAnsi="黑体" w:eastAsia="黑体" w:cs="黑体"/>
                <w:b w:val="0"/>
                <w:bCs/>
                <w:color w:val="000000"/>
                <w:kern w:val="0"/>
                <w:sz w:val="18"/>
                <w:szCs w:val="18"/>
              </w:rPr>
            </w:pPr>
          </w:p>
        </w:tc>
        <w:tc>
          <w:tcPr>
            <w:tcW w:w="1760" w:type="dxa"/>
            <w:tcBorders>
              <w:top w:val="nil"/>
              <w:left w:val="nil"/>
              <w:bottom w:val="single" w:color="auto" w:sz="4" w:space="0"/>
              <w:right w:val="single" w:color="auto" w:sz="4" w:space="0"/>
            </w:tcBorders>
            <w:noWrap w:val="0"/>
            <w:vAlign w:val="center"/>
          </w:tcPr>
          <w:p w14:paraId="2F033B4B">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L1</w:t>
            </w:r>
          </w:p>
        </w:tc>
        <w:tc>
          <w:tcPr>
            <w:tcW w:w="1760" w:type="dxa"/>
            <w:tcBorders>
              <w:top w:val="nil"/>
              <w:left w:val="nil"/>
              <w:bottom w:val="single" w:color="auto" w:sz="4" w:space="0"/>
              <w:right w:val="single" w:color="auto" w:sz="4" w:space="0"/>
            </w:tcBorders>
            <w:noWrap w:val="0"/>
            <w:vAlign w:val="center"/>
          </w:tcPr>
          <w:p w14:paraId="77151C3F">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L2</w:t>
            </w:r>
          </w:p>
        </w:tc>
        <w:tc>
          <w:tcPr>
            <w:tcW w:w="1760" w:type="dxa"/>
            <w:tcBorders>
              <w:top w:val="nil"/>
              <w:left w:val="nil"/>
              <w:bottom w:val="single" w:color="auto" w:sz="4" w:space="0"/>
              <w:right w:val="single" w:color="auto" w:sz="4" w:space="0"/>
            </w:tcBorders>
            <w:noWrap w:val="0"/>
            <w:vAlign w:val="center"/>
          </w:tcPr>
          <w:p w14:paraId="3127710D">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L3</w:t>
            </w:r>
          </w:p>
        </w:tc>
        <w:tc>
          <w:tcPr>
            <w:tcW w:w="1760" w:type="dxa"/>
            <w:tcBorders>
              <w:top w:val="nil"/>
              <w:left w:val="nil"/>
              <w:bottom w:val="single" w:color="auto" w:sz="4" w:space="0"/>
              <w:right w:val="single" w:color="auto" w:sz="4" w:space="0"/>
            </w:tcBorders>
            <w:noWrap w:val="0"/>
            <w:vAlign w:val="center"/>
          </w:tcPr>
          <w:p w14:paraId="2FE5A7DC">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L4</w:t>
            </w:r>
          </w:p>
        </w:tc>
        <w:tc>
          <w:tcPr>
            <w:tcW w:w="1760" w:type="dxa"/>
            <w:tcBorders>
              <w:top w:val="nil"/>
              <w:left w:val="nil"/>
              <w:bottom w:val="single" w:color="auto" w:sz="4" w:space="0"/>
              <w:right w:val="single" w:color="auto" w:sz="4" w:space="0"/>
            </w:tcBorders>
            <w:noWrap w:val="0"/>
            <w:vAlign w:val="center"/>
          </w:tcPr>
          <w:p w14:paraId="2577AF17">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L5</w:t>
            </w:r>
          </w:p>
        </w:tc>
        <w:tc>
          <w:tcPr>
            <w:tcW w:w="1760" w:type="dxa"/>
            <w:tcBorders>
              <w:top w:val="nil"/>
              <w:left w:val="nil"/>
              <w:bottom w:val="single" w:color="auto" w:sz="4" w:space="0"/>
              <w:right w:val="single" w:color="auto" w:sz="4" w:space="0"/>
            </w:tcBorders>
            <w:noWrap w:val="0"/>
            <w:vAlign w:val="center"/>
          </w:tcPr>
          <w:p w14:paraId="1C520116">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L6</w:t>
            </w:r>
          </w:p>
        </w:tc>
        <w:tc>
          <w:tcPr>
            <w:tcW w:w="1760" w:type="dxa"/>
            <w:tcBorders>
              <w:top w:val="nil"/>
              <w:left w:val="nil"/>
              <w:bottom w:val="single" w:color="auto" w:sz="4" w:space="0"/>
              <w:right w:val="single" w:color="auto" w:sz="4" w:space="0"/>
            </w:tcBorders>
            <w:noWrap w:val="0"/>
            <w:vAlign w:val="center"/>
          </w:tcPr>
          <w:p w14:paraId="6D6DE7A6">
            <w:pPr>
              <w:widowControl/>
              <w:jc w:val="center"/>
              <w:rPr>
                <w:rFonts w:hint="eastAsia" w:ascii="黑体" w:hAnsi="黑体" w:eastAsia="黑体" w:cs="黑体"/>
                <w:b w:val="0"/>
                <w:bCs/>
                <w:color w:val="000000"/>
                <w:kern w:val="0"/>
                <w:sz w:val="18"/>
                <w:szCs w:val="18"/>
              </w:rPr>
            </w:pPr>
            <w:r>
              <w:rPr>
                <w:rFonts w:hint="eastAsia" w:ascii="Times New Roman" w:hAnsi="Times New Roman" w:eastAsia="黑体" w:cs="黑体"/>
                <w:b w:val="0"/>
                <w:bCs/>
                <w:color w:val="000000"/>
                <w:kern w:val="0"/>
                <w:sz w:val="18"/>
                <w:szCs w:val="18"/>
              </w:rPr>
              <w:t>L7</w:t>
            </w:r>
          </w:p>
        </w:tc>
      </w:tr>
      <w:tr w14:paraId="23DC4784">
        <w:tblPrEx>
          <w:tblCellMar>
            <w:top w:w="0" w:type="dxa"/>
            <w:left w:w="108" w:type="dxa"/>
            <w:bottom w:w="0" w:type="dxa"/>
            <w:right w:w="108" w:type="dxa"/>
          </w:tblCellMar>
        </w:tblPrEx>
        <w:trPr>
          <w:trHeight w:val="845" w:hRule="atLeast"/>
        </w:trPr>
        <w:tc>
          <w:tcPr>
            <w:tcW w:w="1760" w:type="dxa"/>
            <w:tcBorders>
              <w:top w:val="nil"/>
              <w:left w:val="single" w:color="auto" w:sz="4" w:space="0"/>
              <w:bottom w:val="single" w:color="auto" w:sz="4" w:space="0"/>
              <w:right w:val="single" w:color="auto" w:sz="4" w:space="0"/>
            </w:tcBorders>
            <w:noWrap w:val="0"/>
            <w:vAlign w:val="center"/>
          </w:tcPr>
          <w:p w14:paraId="79BA962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lang w:val="en-US" w:eastAsia="zh-CN"/>
              </w:rPr>
              <w:t>合</w:t>
            </w:r>
            <w:r>
              <w:rPr>
                <w:rFonts w:hint="eastAsia" w:asciiTheme="majorEastAsia" w:hAnsiTheme="majorEastAsia" w:eastAsiaTheme="majorEastAsia" w:cstheme="majorEastAsia"/>
                <w:kern w:val="0"/>
                <w:sz w:val="18"/>
                <w:szCs w:val="18"/>
              </w:rPr>
              <w:t>计</w:t>
            </w:r>
          </w:p>
        </w:tc>
        <w:tc>
          <w:tcPr>
            <w:tcW w:w="1760" w:type="dxa"/>
            <w:tcBorders>
              <w:top w:val="nil"/>
              <w:left w:val="nil"/>
              <w:bottom w:val="single" w:color="auto" w:sz="4" w:space="0"/>
              <w:right w:val="single" w:color="auto" w:sz="4" w:space="0"/>
            </w:tcBorders>
            <w:noWrap w:val="0"/>
            <w:vAlign w:val="center"/>
          </w:tcPr>
          <w:p w14:paraId="3134918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p w14:paraId="791D9ADF">
            <w:pPr>
              <w:widowControl/>
              <w:jc w:val="center"/>
              <w:rPr>
                <w:rFonts w:hint="eastAsia" w:asciiTheme="majorEastAsia" w:hAnsiTheme="majorEastAsia" w:eastAsiaTheme="majorEastAsia" w:cstheme="majorEastAsia"/>
                <w:kern w:val="0"/>
                <w:sz w:val="18"/>
                <w:szCs w:val="18"/>
              </w:rPr>
            </w:pPr>
          </w:p>
        </w:tc>
        <w:tc>
          <w:tcPr>
            <w:tcW w:w="1760" w:type="dxa"/>
            <w:tcBorders>
              <w:top w:val="nil"/>
              <w:left w:val="nil"/>
              <w:bottom w:val="single" w:color="auto" w:sz="4" w:space="0"/>
              <w:right w:val="single" w:color="auto" w:sz="4" w:space="0"/>
            </w:tcBorders>
            <w:noWrap w:val="0"/>
            <w:vAlign w:val="center"/>
          </w:tcPr>
          <w:p w14:paraId="077CDD2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7388948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7C9A4320">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7F1132F8">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4585842B">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2F2F211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r>
      <w:tr w14:paraId="29BC3850">
        <w:tblPrEx>
          <w:tblCellMar>
            <w:top w:w="0" w:type="dxa"/>
            <w:left w:w="108" w:type="dxa"/>
            <w:bottom w:w="0" w:type="dxa"/>
            <w:right w:w="108" w:type="dxa"/>
          </w:tblCellMar>
        </w:tblPrEx>
        <w:trPr>
          <w:trHeight w:val="843" w:hRule="atLeast"/>
        </w:trPr>
        <w:tc>
          <w:tcPr>
            <w:tcW w:w="1760" w:type="dxa"/>
            <w:tcBorders>
              <w:top w:val="nil"/>
              <w:left w:val="single" w:color="auto" w:sz="4" w:space="0"/>
              <w:bottom w:val="single" w:color="auto" w:sz="4" w:space="0"/>
              <w:right w:val="single" w:color="auto" w:sz="4" w:space="0"/>
            </w:tcBorders>
            <w:noWrap w:val="0"/>
            <w:vAlign w:val="center"/>
          </w:tcPr>
          <w:p w14:paraId="1D29F19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其中：家长</w:t>
            </w:r>
          </w:p>
        </w:tc>
        <w:tc>
          <w:tcPr>
            <w:tcW w:w="1760" w:type="dxa"/>
            <w:tcBorders>
              <w:top w:val="nil"/>
              <w:left w:val="nil"/>
              <w:bottom w:val="single" w:color="auto" w:sz="4" w:space="0"/>
              <w:right w:val="single" w:color="auto" w:sz="4" w:space="0"/>
            </w:tcBorders>
            <w:noWrap w:val="0"/>
            <w:vAlign w:val="center"/>
          </w:tcPr>
          <w:p w14:paraId="6080B1B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p w14:paraId="4CD65BA2">
            <w:pPr>
              <w:widowControl/>
              <w:jc w:val="center"/>
              <w:rPr>
                <w:rFonts w:hint="eastAsia" w:asciiTheme="majorEastAsia" w:hAnsiTheme="majorEastAsia" w:eastAsiaTheme="majorEastAsia" w:cstheme="majorEastAsia"/>
                <w:kern w:val="0"/>
                <w:sz w:val="18"/>
                <w:szCs w:val="18"/>
              </w:rPr>
            </w:pPr>
          </w:p>
        </w:tc>
        <w:tc>
          <w:tcPr>
            <w:tcW w:w="1760" w:type="dxa"/>
            <w:tcBorders>
              <w:top w:val="nil"/>
              <w:left w:val="nil"/>
              <w:bottom w:val="single" w:color="auto" w:sz="4" w:space="0"/>
              <w:right w:val="single" w:color="auto" w:sz="4" w:space="0"/>
            </w:tcBorders>
            <w:noWrap w:val="0"/>
            <w:vAlign w:val="center"/>
          </w:tcPr>
          <w:p w14:paraId="18E8400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1577D69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359AB0F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504DF1CF">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6335747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1760" w:type="dxa"/>
            <w:tcBorders>
              <w:top w:val="nil"/>
              <w:left w:val="nil"/>
              <w:bottom w:val="single" w:color="auto" w:sz="4" w:space="0"/>
              <w:right w:val="single" w:color="auto" w:sz="4" w:space="0"/>
            </w:tcBorders>
            <w:noWrap w:val="0"/>
            <w:vAlign w:val="center"/>
          </w:tcPr>
          <w:p w14:paraId="2CEFA7D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r>
    </w:tbl>
    <w:p w14:paraId="4B1200D2">
      <w:pPr>
        <w:spacing w:line="500" w:lineRule="exact"/>
        <w:rPr>
          <w:rFonts w:hint="eastAsia" w:ascii="仿宋_GB2312" w:hAnsi="仿宋_GB2312" w:eastAsia="仿宋_GB2312" w:cs="仿宋_GB2312"/>
          <w:sz w:val="30"/>
          <w:szCs w:val="30"/>
        </w:rPr>
        <w:sectPr>
          <w:footerReference r:id="rId11" w:type="first"/>
          <w:footerReference r:id="rId9" w:type="default"/>
          <w:headerReference r:id="rId8" w:type="even"/>
          <w:footerReference r:id="rId10" w:type="even"/>
          <w:pgSz w:w="16838" w:h="11906" w:orient="landscape"/>
          <w:pgMar w:top="1417" w:right="1417" w:bottom="1417" w:left="1417" w:header="851" w:footer="1134" w:gutter="0"/>
          <w:pgBorders>
            <w:top w:val="none" w:sz="0" w:space="0"/>
            <w:left w:val="none" w:sz="0" w:space="0"/>
            <w:bottom w:val="none" w:sz="0" w:space="0"/>
            <w:right w:val="none" w:sz="0" w:space="0"/>
          </w:pgBorders>
          <w:pgNumType w:fmt="decimal"/>
          <w:cols w:space="0" w:num="1"/>
          <w:titlePg/>
          <w:rtlGutter w:val="0"/>
          <w:docGrid w:type="lines" w:linePitch="453" w:charSpace="0"/>
        </w:sectPr>
      </w:pPr>
    </w:p>
    <w:tbl>
      <w:tblPr>
        <w:tblStyle w:val="7"/>
        <w:tblW w:w="8674" w:type="dxa"/>
        <w:jc w:val="center"/>
        <w:tblLayout w:type="fixed"/>
        <w:tblCellMar>
          <w:top w:w="0" w:type="dxa"/>
          <w:left w:w="108" w:type="dxa"/>
          <w:bottom w:w="0" w:type="dxa"/>
          <w:right w:w="108" w:type="dxa"/>
        </w:tblCellMar>
      </w:tblPr>
      <w:tblGrid>
        <w:gridCol w:w="8674"/>
      </w:tblGrid>
      <w:tr w14:paraId="308721AC">
        <w:tblPrEx>
          <w:tblCellMar>
            <w:top w:w="0" w:type="dxa"/>
            <w:left w:w="108" w:type="dxa"/>
            <w:bottom w:w="0" w:type="dxa"/>
            <w:right w:w="108" w:type="dxa"/>
          </w:tblCellMar>
        </w:tblPrEx>
        <w:trPr>
          <w:trHeight w:val="375" w:hRule="atLeast"/>
          <w:jc w:val="center"/>
        </w:trPr>
        <w:tc>
          <w:tcPr>
            <w:tcW w:w="8674" w:type="dxa"/>
            <w:tcBorders>
              <w:top w:val="nil"/>
              <w:left w:val="nil"/>
              <w:bottom w:val="single" w:color="auto" w:sz="4" w:space="0"/>
              <w:right w:val="nil"/>
            </w:tcBorders>
            <w:noWrap w:val="0"/>
            <w:vAlign w:val="center"/>
          </w:tcPr>
          <w:p w14:paraId="08211E04">
            <w:pPr>
              <w:widowControl/>
              <w:jc w:val="center"/>
              <w:rPr>
                <w:rFonts w:hint="eastAsia" w:ascii="黑体" w:hAnsi="黑体" w:eastAsia="黑体" w:cs="黑体"/>
                <w:kern w:val="0"/>
                <w:sz w:val="32"/>
                <w:szCs w:val="32"/>
              </w:rPr>
            </w:pPr>
            <w:r>
              <w:rPr>
                <w:rFonts w:hint="eastAsia" w:ascii="黑体" w:hAnsi="黑体" w:eastAsia="黑体" w:cs="黑体"/>
                <w:kern w:val="0"/>
                <w:sz w:val="32"/>
                <w:szCs w:val="32"/>
              </w:rPr>
              <w:t>表Ⅶ 县域义务教育优质均衡发展自评报告</w:t>
            </w:r>
          </w:p>
        </w:tc>
      </w:tr>
      <w:tr w14:paraId="5244C0DA">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02C4D103">
            <w:pPr>
              <w:widowControl/>
              <w:jc w:val="left"/>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内容：重点评估县级人民政府及职能部门主动履职、落实国家相关政策、高标准均衡配置义务教育资源、整体提高义务教育质量等方面的举措和成效，以及存在的问题和对策。</w:t>
            </w:r>
          </w:p>
          <w:p w14:paraId="625AA71B">
            <w:pPr>
              <w:widowControl/>
              <w:jc w:val="left"/>
              <w:rPr>
                <w:rFonts w:hint="eastAsia" w:ascii="仿宋_GB2312" w:hAnsi="仿宋_GB2312" w:eastAsia="仿宋_GB2312" w:cs="仿宋_GB2312"/>
                <w:kern w:val="0"/>
                <w:sz w:val="24"/>
                <w:szCs w:val="24"/>
              </w:rPr>
            </w:pPr>
          </w:p>
        </w:tc>
      </w:tr>
      <w:tr w14:paraId="0EA1E3F0">
        <w:tblPrEx>
          <w:tblCellMar>
            <w:top w:w="0" w:type="dxa"/>
            <w:left w:w="108" w:type="dxa"/>
            <w:bottom w:w="0" w:type="dxa"/>
            <w:right w:w="108" w:type="dxa"/>
          </w:tblCellMar>
        </w:tblPrEx>
        <w:trPr>
          <w:trHeight w:val="80" w:hRule="atLeast"/>
          <w:jc w:val="center"/>
        </w:trPr>
        <w:tc>
          <w:tcPr>
            <w:tcW w:w="8674" w:type="dxa"/>
            <w:tcBorders>
              <w:top w:val="nil"/>
              <w:left w:val="single" w:color="auto" w:sz="4" w:space="0"/>
              <w:bottom w:val="nil"/>
              <w:right w:val="single" w:color="auto" w:sz="4" w:space="0"/>
            </w:tcBorders>
            <w:noWrap w:val="0"/>
            <w:vAlign w:val="center"/>
          </w:tcPr>
          <w:p w14:paraId="5518C374">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4AC34DD4">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11BE89F2">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60F8D951">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33CB2334">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4BF78A05">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11447279">
            <w:pPr>
              <w:widowControl/>
              <w:jc w:val="left"/>
              <w:rPr>
                <w:rFonts w:hint="eastAsia"/>
              </w:rPr>
            </w:pPr>
            <w:r>
              <w:rPr>
                <w:rFonts w:hint="eastAsia"/>
              </w:rPr>
              <w:t>　</w:t>
            </w:r>
          </w:p>
          <w:p w14:paraId="07777697">
            <w:pPr>
              <w:pStyle w:val="2"/>
              <w:rPr>
                <w:rFonts w:hint="eastAsia"/>
              </w:rPr>
            </w:pPr>
          </w:p>
          <w:p w14:paraId="3CD591C4">
            <w:pPr>
              <w:rPr>
                <w:rFonts w:hint="eastAsia"/>
              </w:rPr>
            </w:pPr>
          </w:p>
        </w:tc>
      </w:tr>
      <w:tr w14:paraId="41B05208">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438DC2ED">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2677B269">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289266FC">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31C714FF">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45DED038">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7D756997">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33FB7E2F">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14B314DB">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7732AF46">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2537B022">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13976249">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7A24DD8E">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447E214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（限</w:t>
            </w:r>
            <w:r>
              <w:rPr>
                <w:rFonts w:hint="eastAsia" w:ascii="Times New Roman" w:hAnsi="Times New Roman" w:eastAsia="仿宋_GB2312" w:cs="仿宋_GB2312"/>
                <w:kern w:val="0"/>
                <w:szCs w:val="21"/>
              </w:rPr>
              <w:t>2</w:t>
            </w:r>
            <w:r>
              <w:rPr>
                <w:rFonts w:hint="eastAsia" w:ascii="仿宋_GB2312" w:hAnsi="仿宋_GB2312" w:eastAsia="仿宋_GB2312" w:cs="仿宋_GB2312"/>
                <w:kern w:val="0"/>
                <w:szCs w:val="21"/>
              </w:rPr>
              <w:t>页）</w:t>
            </w:r>
          </w:p>
        </w:tc>
      </w:tr>
      <w:tr w14:paraId="29F9C9BE">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5C75E42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14:paraId="71EDBA66">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nil"/>
              <w:right w:val="single" w:color="auto" w:sz="4" w:space="0"/>
            </w:tcBorders>
            <w:noWrap w:val="0"/>
            <w:vAlign w:val="center"/>
          </w:tcPr>
          <w:p w14:paraId="2A9A3CA2">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       县（市、区）人民政府（盖章）</w:t>
            </w:r>
          </w:p>
        </w:tc>
      </w:tr>
      <w:tr w14:paraId="00DC225D">
        <w:tblPrEx>
          <w:tblCellMar>
            <w:top w:w="0" w:type="dxa"/>
            <w:left w:w="108" w:type="dxa"/>
            <w:bottom w:w="0" w:type="dxa"/>
            <w:right w:w="108" w:type="dxa"/>
          </w:tblCellMar>
        </w:tblPrEx>
        <w:trPr>
          <w:trHeight w:val="285" w:hRule="atLeast"/>
          <w:jc w:val="center"/>
        </w:trPr>
        <w:tc>
          <w:tcPr>
            <w:tcW w:w="8674" w:type="dxa"/>
            <w:tcBorders>
              <w:top w:val="nil"/>
              <w:left w:val="single" w:color="auto" w:sz="4" w:space="0"/>
              <w:bottom w:val="single" w:color="auto" w:sz="4" w:space="0"/>
              <w:right w:val="single" w:color="auto" w:sz="4" w:space="0"/>
            </w:tcBorders>
            <w:noWrap w:val="0"/>
            <w:vAlign w:val="center"/>
          </w:tcPr>
          <w:p w14:paraId="0A45D0DA">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     年    月    日　　　　</w:t>
            </w:r>
          </w:p>
        </w:tc>
      </w:tr>
    </w:tbl>
    <w:p w14:paraId="51B11AB0">
      <w:pPr>
        <w:rPr>
          <w:rFonts w:hint="eastAsia" w:ascii="仿宋_GB2312" w:hAnsi="仿宋_GB2312" w:eastAsia="仿宋_GB2312" w:cs="仿宋_GB2312"/>
        </w:rPr>
      </w:pPr>
      <w:bookmarkStart w:id="10" w:name="_GoBack"/>
      <w:bookmarkEnd w:id="10"/>
    </w:p>
    <w:sectPr>
      <w:footerReference r:id="rId12" w:type="default"/>
      <w:footerReference r:id="rId13" w:type="even"/>
      <w:pgSz w:w="11906" w:h="16838"/>
      <w:pgMar w:top="2098" w:right="1474" w:bottom="1984" w:left="1587" w:header="851" w:footer="1757"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F591D">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4811395</wp:posOffset>
              </wp:positionH>
              <wp:positionV relativeFrom="paragraph">
                <wp:posOffset>-8255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FE519">
                          <w:pPr>
                            <w:pStyle w:val="4"/>
                            <w:rPr>
                              <w:rFonts w:hint="default" w:eastAsia="宋体"/>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3</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8.85pt;margin-top:-0.65pt;height:144pt;width:144pt;mso-position-horizontal-relative:margin;mso-wrap-style:none;z-index:251659264;mso-width-relative:page;mso-height-relative:page;" filled="f" stroked="f" coordsize="21600,21600" o:gfxdata="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fZD5vZAAAACwEAAA8AAAAAAAAAAQAgAAAAIgAAAGRycy9kb3ducmV2Lnht&#10;bFBLAQIUABQAAAAIAIdO4kAkgka0MQIAAGEEAAAOAAAAAAAAAAEAIAAAACgBAABkcnMvZTJvRG9j&#10;LnhtbFBLBQYAAAAABgAGAFkBAADLBQAAAAA=&#10;">
              <v:fill on="f" focussize="0,0"/>
              <v:stroke on="f" weight="0.5pt"/>
              <v:imagedata o:title=""/>
              <o:lock v:ext="edit" aspectratio="f"/>
              <v:textbox inset="0mm,0mm,0mm,0mm" style="mso-fit-shape-to-text:t;">
                <w:txbxContent>
                  <w:p w14:paraId="3D7FE519">
                    <w:pPr>
                      <w:pStyle w:val="4"/>
                      <w:rPr>
                        <w:rFonts w:hint="default" w:eastAsia="宋体"/>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3</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4596">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223520</wp:posOffset>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3BBB1">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cs="Times New Roman" w:eastAsiaTheme="majorEastAsia"/>
                              <w:sz w:val="28"/>
                              <w:szCs w:val="28"/>
                              <w:lang w:eastAsia="zh-CN"/>
                            </w:rPr>
                            <w:fldChar w:fldCharType="begin"/>
                          </w:r>
                          <w:r>
                            <w:rPr>
                              <w:rFonts w:hint="default" w:ascii="Times New Roman" w:hAnsi="Times New Roman" w:cs="Times New Roman" w:eastAsiaTheme="majorEastAsia"/>
                              <w:sz w:val="28"/>
                              <w:szCs w:val="28"/>
                              <w:lang w:eastAsia="zh-CN"/>
                            </w:rPr>
                            <w:instrText xml:space="preserve"> PAGE  \* MERGEFORMAT </w:instrText>
                          </w:r>
                          <w:r>
                            <w:rPr>
                              <w:rFonts w:hint="default" w:ascii="Times New Roman" w:hAnsi="Times New Roman" w:cs="Times New Roman" w:eastAsiaTheme="majorEastAsia"/>
                              <w:sz w:val="28"/>
                              <w:szCs w:val="28"/>
                              <w:lang w:eastAsia="zh-CN"/>
                            </w:rPr>
                            <w:fldChar w:fldCharType="separate"/>
                          </w:r>
                          <w:r>
                            <w:rPr>
                              <w:rFonts w:hint="default" w:ascii="Times New Roman" w:hAnsi="Times New Roman" w:cs="Times New Roman" w:eastAsiaTheme="majorEastAsia"/>
                              <w:sz w:val="28"/>
                              <w:szCs w:val="28"/>
                              <w:lang w:eastAsia="zh-CN"/>
                            </w:rPr>
                            <w:t>2</w:t>
                          </w:r>
                          <w:r>
                            <w:rPr>
                              <w:rFonts w:hint="default" w:ascii="Times New Roman" w:hAnsi="Times New Roman" w:cs="Times New Roman" w:eastAsia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6pt;margin-top:0pt;height:144pt;width:144pt;mso-position-horizontal-relative:margin;mso-wrap-style:none;z-index:251660288;mso-width-relative:page;mso-height-relative:page;" filled="f" stroked="f" coordsize="21600,21600" o:gfxdata="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cAKUM0wAAAAcBAAAPAAAAAAAAAAEAIAAAACIAAABkcnMvZG93bnJldi54bWxQSwEC&#10;FAAUAAAACACHTuJA4YDTjjICAABhBAAADgAAAAAAAAABACAAAAAiAQAAZHJzL2Uyb0RvYy54bWxQ&#10;SwUGAAAAAAYABgBZAQAAxgUAAAAA&#10;">
              <v:fill on="f" focussize="0,0"/>
              <v:stroke on="f" weight="0.5pt"/>
              <v:imagedata o:title=""/>
              <o:lock v:ext="edit" aspectratio="f"/>
              <v:textbox inset="0mm,0mm,0mm,0mm" style="mso-fit-shape-to-text:t;">
                <w:txbxContent>
                  <w:p w14:paraId="4B83BBB1">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cs="Times New Roman" w:eastAsiaTheme="majorEastAsia"/>
                        <w:sz w:val="28"/>
                        <w:szCs w:val="28"/>
                        <w:lang w:eastAsia="zh-CN"/>
                      </w:rPr>
                      <w:fldChar w:fldCharType="begin"/>
                    </w:r>
                    <w:r>
                      <w:rPr>
                        <w:rFonts w:hint="default" w:ascii="Times New Roman" w:hAnsi="Times New Roman" w:cs="Times New Roman" w:eastAsiaTheme="majorEastAsia"/>
                        <w:sz w:val="28"/>
                        <w:szCs w:val="28"/>
                        <w:lang w:eastAsia="zh-CN"/>
                      </w:rPr>
                      <w:instrText xml:space="preserve"> PAGE  \* MERGEFORMAT </w:instrText>
                    </w:r>
                    <w:r>
                      <w:rPr>
                        <w:rFonts w:hint="default" w:ascii="Times New Roman" w:hAnsi="Times New Roman" w:cs="Times New Roman" w:eastAsiaTheme="majorEastAsia"/>
                        <w:sz w:val="28"/>
                        <w:szCs w:val="28"/>
                        <w:lang w:eastAsia="zh-CN"/>
                      </w:rPr>
                      <w:fldChar w:fldCharType="separate"/>
                    </w:r>
                    <w:r>
                      <w:rPr>
                        <w:rFonts w:hint="default" w:ascii="Times New Roman" w:hAnsi="Times New Roman" w:cs="Times New Roman" w:eastAsiaTheme="majorEastAsia"/>
                        <w:sz w:val="28"/>
                        <w:szCs w:val="28"/>
                        <w:lang w:eastAsia="zh-CN"/>
                      </w:rPr>
                      <w:t>2</w:t>
                    </w:r>
                    <w:r>
                      <w:rPr>
                        <w:rFonts w:hint="default" w:ascii="Times New Roman" w:hAnsi="Times New Roman" w:cs="Times New Roman" w:eastAsia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593CE">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552633">
                          <w:pPr>
                            <w:pStyle w:val="4"/>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27</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552633">
                    <w:pPr>
                      <w:pStyle w:val="4"/>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27</w:t>
                    </w:r>
                    <w:r>
                      <w:rPr>
                        <w:rFonts w:hint="default" w:ascii="Times New Roman" w:hAnsi="Times New Roman" w:cs="Times New Roman" w:eastAsia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F09BC">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59C6C">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cs="Times New Roman" w:eastAsiaTheme="majorEastAsia"/>
                              <w:sz w:val="28"/>
                              <w:szCs w:val="28"/>
                              <w:lang w:eastAsia="zh-CN"/>
                            </w:rPr>
                            <w:fldChar w:fldCharType="begin"/>
                          </w:r>
                          <w:r>
                            <w:rPr>
                              <w:rFonts w:hint="default" w:ascii="Times New Roman" w:hAnsi="Times New Roman" w:cs="Times New Roman" w:eastAsiaTheme="majorEastAsia"/>
                              <w:sz w:val="28"/>
                              <w:szCs w:val="28"/>
                              <w:lang w:eastAsia="zh-CN"/>
                            </w:rPr>
                            <w:instrText xml:space="preserve"> PAGE  \* MERGEFORMAT </w:instrText>
                          </w:r>
                          <w:r>
                            <w:rPr>
                              <w:rFonts w:hint="default" w:ascii="Times New Roman" w:hAnsi="Times New Roman" w:cs="Times New Roman" w:eastAsiaTheme="majorEastAsia"/>
                              <w:sz w:val="28"/>
                              <w:szCs w:val="28"/>
                              <w:lang w:eastAsia="zh-CN"/>
                            </w:rPr>
                            <w:fldChar w:fldCharType="separate"/>
                          </w:r>
                          <w:r>
                            <w:rPr>
                              <w:rFonts w:hint="default" w:ascii="Times New Roman" w:hAnsi="Times New Roman" w:cs="Times New Roman" w:eastAsiaTheme="majorEastAsia"/>
                              <w:sz w:val="28"/>
                              <w:szCs w:val="28"/>
                              <w:lang w:eastAsia="zh-CN"/>
                            </w:rPr>
                            <w:t>2</w:t>
                          </w:r>
                          <w:r>
                            <w:rPr>
                              <w:rFonts w:hint="default" w:ascii="Times New Roman" w:hAnsi="Times New Roman" w:cs="Times New Roman" w:eastAsia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EC59C6C">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cs="Times New Roman" w:eastAsiaTheme="majorEastAsia"/>
                        <w:sz w:val="28"/>
                        <w:szCs w:val="28"/>
                        <w:lang w:eastAsia="zh-CN"/>
                      </w:rPr>
                      <w:fldChar w:fldCharType="begin"/>
                    </w:r>
                    <w:r>
                      <w:rPr>
                        <w:rFonts w:hint="default" w:ascii="Times New Roman" w:hAnsi="Times New Roman" w:cs="Times New Roman" w:eastAsiaTheme="majorEastAsia"/>
                        <w:sz w:val="28"/>
                        <w:szCs w:val="28"/>
                        <w:lang w:eastAsia="zh-CN"/>
                      </w:rPr>
                      <w:instrText xml:space="preserve"> PAGE  \* MERGEFORMAT </w:instrText>
                    </w:r>
                    <w:r>
                      <w:rPr>
                        <w:rFonts w:hint="default" w:ascii="Times New Roman" w:hAnsi="Times New Roman" w:cs="Times New Roman" w:eastAsiaTheme="majorEastAsia"/>
                        <w:sz w:val="28"/>
                        <w:szCs w:val="28"/>
                        <w:lang w:eastAsia="zh-CN"/>
                      </w:rPr>
                      <w:fldChar w:fldCharType="separate"/>
                    </w:r>
                    <w:r>
                      <w:rPr>
                        <w:rFonts w:hint="default" w:ascii="Times New Roman" w:hAnsi="Times New Roman" w:cs="Times New Roman" w:eastAsiaTheme="majorEastAsia"/>
                        <w:sz w:val="28"/>
                        <w:szCs w:val="28"/>
                        <w:lang w:eastAsia="zh-CN"/>
                      </w:rPr>
                      <w:t>2</w:t>
                    </w:r>
                    <w:r>
                      <w:rPr>
                        <w:rFonts w:hint="default" w:ascii="Times New Roman" w:hAnsi="Times New Roman" w:cs="Times New Roman" w:eastAsia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9711E">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0C0E8">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85</w:t>
                          </w:r>
                          <w:r>
                            <w:rPr>
                              <w:rFonts w:hint="default" w:ascii="Times New Roman" w:hAnsi="Times New Roman" w:eastAsia="仿宋_GB2312" w:cs="Times New Roman"/>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270C0E8">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85</w:t>
                    </w:r>
                    <w:r>
                      <w:rPr>
                        <w:rFonts w:hint="default" w:ascii="Times New Roman" w:hAnsi="Times New Roman" w:eastAsia="仿宋_GB2312" w:cs="Times New Roman"/>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50C83">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7A4C2">
                          <w:pPr>
                            <w:pStyle w:val="4"/>
                            <w:rPr>
                              <w:rFonts w:hint="default" w:eastAsia="宋体"/>
                              <w:sz w:val="28"/>
                              <w:szCs w:val="28"/>
                              <w:lang w:val="en-US" w:eastAsia="zh-CN"/>
                            </w:rPr>
                          </w:pPr>
                          <w:r>
                            <w:rPr>
                              <w:rFonts w:hint="eastAsia"/>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84</w:t>
                          </w:r>
                          <w:r>
                            <w:rPr>
                              <w:rFonts w:hint="default" w:ascii="Times New Roman" w:hAnsi="Times New Roman" w:cs="Times New Roman"/>
                              <w:sz w:val="28"/>
                              <w:szCs w:val="28"/>
                              <w:lang w:eastAsia="zh-CN"/>
                            </w:rPr>
                            <w:fldChar w:fldCharType="end"/>
                          </w:r>
                          <w:r>
                            <w:rPr>
                              <w:rFonts w:hint="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07A4C2">
                    <w:pPr>
                      <w:pStyle w:val="4"/>
                      <w:rPr>
                        <w:rFonts w:hint="default" w:eastAsia="宋体"/>
                        <w:sz w:val="28"/>
                        <w:szCs w:val="28"/>
                        <w:lang w:val="en-US" w:eastAsia="zh-CN"/>
                      </w:rPr>
                    </w:pPr>
                    <w:r>
                      <w:rPr>
                        <w:rFonts w:hint="eastAsia"/>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84</w:t>
                    </w:r>
                    <w:r>
                      <w:rPr>
                        <w:rFonts w:hint="default" w:ascii="Times New Roman" w:hAnsi="Times New Roman" w:cs="Times New Roman"/>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D7EF1">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E6463">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cs="Times New Roman" w:eastAsiaTheme="majorEastAsia"/>
                              <w:sz w:val="28"/>
                              <w:szCs w:val="28"/>
                              <w:lang w:eastAsia="zh-CN"/>
                            </w:rPr>
                            <w:fldChar w:fldCharType="begin"/>
                          </w:r>
                          <w:r>
                            <w:rPr>
                              <w:rFonts w:hint="default" w:ascii="Times New Roman" w:hAnsi="Times New Roman" w:cs="Times New Roman" w:eastAsiaTheme="majorEastAsia"/>
                              <w:sz w:val="28"/>
                              <w:szCs w:val="28"/>
                              <w:lang w:eastAsia="zh-CN"/>
                            </w:rPr>
                            <w:instrText xml:space="preserve"> PAGE  \* MERGEFORMAT </w:instrText>
                          </w:r>
                          <w:r>
                            <w:rPr>
                              <w:rFonts w:hint="default" w:ascii="Times New Roman" w:hAnsi="Times New Roman" w:cs="Times New Roman" w:eastAsiaTheme="majorEastAsia"/>
                              <w:sz w:val="28"/>
                              <w:szCs w:val="28"/>
                              <w:lang w:eastAsia="zh-CN"/>
                            </w:rPr>
                            <w:fldChar w:fldCharType="separate"/>
                          </w:r>
                          <w:r>
                            <w:rPr>
                              <w:rFonts w:hint="default" w:ascii="Times New Roman" w:hAnsi="Times New Roman" w:cs="Times New Roman" w:eastAsiaTheme="majorEastAsia"/>
                              <w:sz w:val="28"/>
                              <w:szCs w:val="28"/>
                              <w:lang w:eastAsia="zh-CN"/>
                            </w:rPr>
                            <w:t>1</w:t>
                          </w:r>
                          <w:r>
                            <w:rPr>
                              <w:rFonts w:hint="default" w:ascii="Times New Roman" w:hAnsi="Times New Roman" w:cs="Times New Roman" w:eastAsia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CCE6463">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default" w:ascii="Times New Roman" w:hAnsi="Times New Roman" w:cs="Times New Roman" w:eastAsiaTheme="majorEastAsia"/>
                        <w:sz w:val="28"/>
                        <w:szCs w:val="28"/>
                        <w:lang w:eastAsia="zh-CN"/>
                      </w:rPr>
                      <w:fldChar w:fldCharType="begin"/>
                    </w:r>
                    <w:r>
                      <w:rPr>
                        <w:rFonts w:hint="default" w:ascii="Times New Roman" w:hAnsi="Times New Roman" w:cs="Times New Roman" w:eastAsiaTheme="majorEastAsia"/>
                        <w:sz w:val="28"/>
                        <w:szCs w:val="28"/>
                        <w:lang w:eastAsia="zh-CN"/>
                      </w:rPr>
                      <w:instrText xml:space="preserve"> PAGE  \* MERGEFORMAT </w:instrText>
                    </w:r>
                    <w:r>
                      <w:rPr>
                        <w:rFonts w:hint="default" w:ascii="Times New Roman" w:hAnsi="Times New Roman" w:cs="Times New Roman" w:eastAsiaTheme="majorEastAsia"/>
                        <w:sz w:val="28"/>
                        <w:szCs w:val="28"/>
                        <w:lang w:eastAsia="zh-CN"/>
                      </w:rPr>
                      <w:fldChar w:fldCharType="separate"/>
                    </w:r>
                    <w:r>
                      <w:rPr>
                        <w:rFonts w:hint="default" w:ascii="Times New Roman" w:hAnsi="Times New Roman" w:cs="Times New Roman" w:eastAsiaTheme="majorEastAsia"/>
                        <w:sz w:val="28"/>
                        <w:szCs w:val="28"/>
                        <w:lang w:eastAsia="zh-CN"/>
                      </w:rPr>
                      <w:t>1</w:t>
                    </w:r>
                    <w:r>
                      <w:rPr>
                        <w:rFonts w:hint="default" w:ascii="Times New Roman" w:hAnsi="Times New Roman" w:cs="Times New Roman" w:eastAsia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E64A">
    <w:pPr>
      <w:pStyle w:val="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263FA">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722A623C">
      <w:pPr>
        <w:pStyle w:val="6"/>
        <w:snapToGrid w:val="0"/>
        <w:rPr>
          <w:rFonts w:hint="eastAsia" w:ascii="仿宋_GB2312" w:hAnsi="仿宋_GB2312" w:eastAsia="仿宋_GB2312" w:cs="仿宋_GB2312"/>
          <w:sz w:val="21"/>
          <w:szCs w:val="21"/>
          <w:lang w:val="en-US" w:eastAsia="zh-CN"/>
        </w:rPr>
      </w:pPr>
      <w:r>
        <w:rPr>
          <w:rStyle w:val="11"/>
          <w:rFonts w:hint="eastAsia" w:ascii="仿宋_GB2312" w:hAnsi="仿宋_GB2312" w:eastAsia="仿宋_GB2312" w:cs="仿宋_GB2312"/>
          <w:sz w:val="21"/>
          <w:szCs w:val="21"/>
        </w:rPr>
        <w:footnoteRef/>
      </w:r>
      <w:r>
        <w:rPr>
          <w:rFonts w:hint="eastAsia" w:ascii="仿宋_GB2312" w:hAnsi="仿宋_GB2312" w:eastAsia="仿宋_GB2312" w:cs="仿宋_GB2312"/>
          <w:sz w:val="21"/>
          <w:szCs w:val="21"/>
        </w:rPr>
        <w:t xml:space="preserve"> </w:t>
      </w:r>
      <w:r>
        <w:rPr>
          <w:rFonts w:hint="eastAsia" w:ascii="Times New Roman" w:hAnsi="Times New Roman" w:eastAsia="仿宋_GB2312" w:cs="仿宋_GB2312"/>
          <w:sz w:val="21"/>
          <w:szCs w:val="21"/>
          <w:lang w:val="en-US" w:eastAsia="zh-CN"/>
        </w:rPr>
        <w:t>1</w:t>
      </w:r>
      <w:r>
        <w:rPr>
          <w:rFonts w:hint="eastAsia" w:ascii="仿宋_GB2312" w:hAnsi="仿宋_GB2312" w:eastAsia="仿宋_GB2312" w:cs="仿宋_GB2312"/>
          <w:sz w:val="21"/>
          <w:szCs w:val="21"/>
          <w:lang w:val="en-US" w:eastAsia="zh-CN"/>
        </w:rPr>
        <w:t>+</w:t>
      </w:r>
      <w:r>
        <w:rPr>
          <w:rFonts w:hint="eastAsia" w:ascii="Times New Roman" w:hAnsi="Times New Roman" w:eastAsia="仿宋_GB2312" w:cs="仿宋_GB2312"/>
          <w:sz w:val="21"/>
          <w:szCs w:val="21"/>
          <w:lang w:val="en-US" w:eastAsia="zh-CN"/>
        </w:rPr>
        <w:t>25</w:t>
      </w:r>
      <w:r>
        <w:rPr>
          <w:rFonts w:hint="eastAsia" w:ascii="仿宋_GB2312" w:hAnsi="仿宋_GB2312" w:eastAsia="仿宋_GB2312" w:cs="仿宋_GB2312"/>
          <w:sz w:val="21"/>
          <w:szCs w:val="21"/>
          <w:lang w:val="en-US" w:eastAsia="zh-CN"/>
        </w:rPr>
        <w:t>:</w:t>
      </w:r>
      <w:r>
        <w:rPr>
          <w:rFonts w:hint="eastAsia" w:ascii="Times New Roman" w:hAnsi="Times New Roman" w:eastAsia="仿宋_GB2312" w:cs="仿宋_GB2312"/>
          <w:sz w:val="21"/>
          <w:szCs w:val="21"/>
          <w:lang w:val="en-US" w:eastAsia="zh-CN"/>
        </w:rPr>
        <w:t>1</w:t>
      </w:r>
      <w:r>
        <w:rPr>
          <w:rFonts w:hint="eastAsia" w:ascii="仿宋_GB2312" w:hAnsi="仿宋_GB2312" w:eastAsia="仿宋_GB2312" w:cs="仿宋_GB2312"/>
          <w:sz w:val="21"/>
          <w:szCs w:val="21"/>
          <w:lang w:val="en-US" w:eastAsia="zh-CN"/>
        </w:rPr>
        <w:t>个主方案《增城区推动基础教育高质量发展》和</w:t>
      </w:r>
      <w:r>
        <w:rPr>
          <w:rFonts w:hint="eastAsia" w:ascii="Times New Roman" w:hAnsi="Times New Roman" w:eastAsia="仿宋_GB2312" w:cs="仿宋_GB2312"/>
          <w:sz w:val="21"/>
          <w:szCs w:val="21"/>
          <w:lang w:val="en-US" w:eastAsia="zh-CN"/>
        </w:rPr>
        <w:t>25</w:t>
      </w:r>
      <w:r>
        <w:rPr>
          <w:rFonts w:hint="eastAsia" w:ascii="仿宋_GB2312" w:hAnsi="仿宋_GB2312" w:eastAsia="仿宋_GB2312" w:cs="仿宋_GB2312"/>
          <w:sz w:val="21"/>
          <w:szCs w:val="21"/>
          <w:lang w:val="en-US" w:eastAsia="zh-CN"/>
        </w:rPr>
        <w:t>个配套方案，包括加强党的全面领导、教师队伍建设、教育质量提升、校园基础设施改造等多方面。</w:t>
      </w:r>
    </w:p>
  </w:footnote>
  <w:footnote w:id="1">
    <w:p w14:paraId="26F70C0C">
      <w:pPr>
        <w:pStyle w:val="6"/>
        <w:snapToGrid w:val="0"/>
        <w:rPr>
          <w:rFonts w:hint="default" w:ascii="Times New Roman" w:hAnsi="Times New Roman" w:eastAsia="仿宋_GB2312" w:cs="Times New Roman"/>
          <w:sz w:val="21"/>
          <w:szCs w:val="21"/>
          <w:lang w:val="en-US" w:eastAsia="zh-CN"/>
        </w:rPr>
      </w:pPr>
      <w:r>
        <w:rPr>
          <w:rStyle w:val="11"/>
          <w:rFonts w:hint="default" w:ascii="Times New Roman" w:hAnsi="Times New Roman" w:eastAsia="仿宋_GB2312" w:cs="Times New Roman"/>
          <w:sz w:val="21"/>
          <w:szCs w:val="21"/>
        </w:rPr>
        <w:footnoteRef/>
      </w:r>
      <w:r>
        <w:rPr>
          <w:rFonts w:hint="default" w:ascii="Times New Roman" w:hAnsi="Times New Roman" w:eastAsia="仿宋_GB2312" w:cs="Times New Roman"/>
          <w:sz w:val="21"/>
          <w:szCs w:val="21"/>
        </w:rPr>
        <w:t xml:space="preserve"> </w:t>
      </w:r>
      <w:r>
        <w:rPr>
          <w:rFonts w:hint="default" w:ascii="Times New Roman" w:hAnsi="Times New Roman" w:eastAsia="仿宋_GB2312" w:cs="Times New Roman"/>
          <w:sz w:val="21"/>
          <w:szCs w:val="21"/>
          <w:lang w:val="en-US" w:eastAsia="zh-CN"/>
        </w:rPr>
        <w:t>4个100%：100%党建进章程、100%党的工作和组织覆盖、100%隶属关系调整到位、100%双向交叉任职。</w:t>
      </w:r>
    </w:p>
  </w:footnote>
  <w:footnote w:id="2">
    <w:p w14:paraId="401095D6">
      <w:pPr>
        <w:pStyle w:val="6"/>
        <w:snapToGrid w:val="0"/>
        <w:rPr>
          <w:rFonts w:hint="eastAsia" w:ascii="仿宋_GB2312" w:hAnsi="仿宋_GB2312" w:eastAsia="仿宋_GB2312" w:cs="仿宋_GB2312"/>
          <w:sz w:val="18"/>
          <w:szCs w:val="18"/>
          <w:lang w:val="en-US" w:eastAsia="zh-CN"/>
        </w:rPr>
      </w:pPr>
      <w:r>
        <w:rPr>
          <w:rStyle w:val="11"/>
          <w:rFonts w:hint="eastAsia" w:ascii="仿宋_GB2312" w:hAnsi="仿宋_GB2312" w:eastAsia="仿宋_GB2312" w:cs="仿宋_GB2312"/>
          <w:sz w:val="18"/>
          <w:szCs w:val="18"/>
        </w:rPr>
        <w:footnoteRef/>
      </w:r>
      <w:r>
        <w:rPr>
          <w:rFonts w:hint="eastAsia" w:ascii="仿宋_GB2312" w:hAnsi="仿宋_GB2312" w:eastAsia="仿宋_GB2312" w:cs="仿宋_GB2312"/>
          <w:sz w:val="18"/>
          <w:szCs w:val="18"/>
        </w:rPr>
        <w:t xml:space="preserve"> 一</w:t>
      </w:r>
      <w:r>
        <w:rPr>
          <w:rFonts w:hint="eastAsia" w:ascii="仿宋_GB2312" w:hAnsi="仿宋_GB2312" w:eastAsia="仿宋_GB2312" w:cs="仿宋_GB2312"/>
          <w:sz w:val="18"/>
          <w:szCs w:val="18"/>
          <w:lang w:val="en-US" w:eastAsia="zh-CN"/>
        </w:rPr>
        <w:t>招：</w:t>
      </w:r>
      <w:r>
        <w:rPr>
          <w:rFonts w:hint="eastAsia" w:ascii="仿宋_GB2312" w:hAnsi="仿宋_GB2312" w:eastAsia="仿宋_GB2312" w:cs="仿宋_GB2312"/>
          <w:sz w:val="18"/>
          <w:szCs w:val="18"/>
        </w:rPr>
        <w:t>强化中小学新任教师招聘，从</w:t>
      </w:r>
      <w:r>
        <w:rPr>
          <w:rFonts w:hint="eastAsia" w:ascii="Times New Roman" w:hAnsi="Times New Roman" w:eastAsia="仿宋_GB2312" w:cs="仿宋_GB2312"/>
          <w:sz w:val="18"/>
          <w:szCs w:val="18"/>
        </w:rPr>
        <w:t>2022</w:t>
      </w:r>
      <w:r>
        <w:rPr>
          <w:rFonts w:hint="eastAsia" w:ascii="仿宋_GB2312" w:hAnsi="仿宋_GB2312" w:eastAsia="仿宋_GB2312" w:cs="仿宋_GB2312"/>
          <w:sz w:val="18"/>
          <w:szCs w:val="18"/>
        </w:rPr>
        <w:t>年起新教师招聘以研究生学历为主；二</w:t>
      </w:r>
      <w:r>
        <w:rPr>
          <w:rFonts w:hint="eastAsia" w:ascii="仿宋_GB2312" w:hAnsi="仿宋_GB2312" w:eastAsia="仿宋_GB2312" w:cs="仿宋_GB2312"/>
          <w:sz w:val="18"/>
          <w:szCs w:val="18"/>
          <w:lang w:val="en-US" w:eastAsia="zh-CN"/>
        </w:rPr>
        <w:t>调：</w:t>
      </w:r>
      <w:r>
        <w:rPr>
          <w:rFonts w:hint="eastAsia" w:ascii="仿宋_GB2312" w:hAnsi="仿宋_GB2312" w:eastAsia="仿宋_GB2312" w:cs="仿宋_GB2312"/>
          <w:sz w:val="18"/>
          <w:szCs w:val="18"/>
        </w:rPr>
        <w:t>优化中小学教师资源调配，主动将有意愿且教学能力强的有研究生学历的教师调整到高中任教，充分发挥“区管校聘”改革，把未达高一层次学历教师往下一学段分流，提高高中教师学历比例；三</w:t>
      </w:r>
      <w:r>
        <w:rPr>
          <w:rFonts w:hint="eastAsia" w:ascii="仿宋_GB2312" w:hAnsi="仿宋_GB2312" w:eastAsia="仿宋_GB2312" w:cs="仿宋_GB2312"/>
          <w:sz w:val="18"/>
          <w:szCs w:val="18"/>
          <w:lang w:val="en-US" w:eastAsia="zh-CN"/>
        </w:rPr>
        <w:t>提升：</w:t>
      </w:r>
      <w:r>
        <w:rPr>
          <w:rFonts w:hint="eastAsia" w:ascii="仿宋_GB2312" w:hAnsi="仿宋_GB2312" w:eastAsia="仿宋_GB2312" w:cs="仿宋_GB2312"/>
          <w:sz w:val="18"/>
          <w:szCs w:val="18"/>
        </w:rPr>
        <w:t>细化中小学教师学历提升制度保障，开启中小学校教师学历提升计划，</w:t>
      </w:r>
      <w:r>
        <w:rPr>
          <w:rFonts w:hint="eastAsia" w:ascii="仿宋_GB2312" w:hAnsi="仿宋_GB2312" w:eastAsia="仿宋_GB2312" w:cs="仿宋_GB2312"/>
          <w:sz w:val="18"/>
          <w:szCs w:val="18"/>
          <w:lang w:val="en-US" w:eastAsia="zh-CN"/>
        </w:rPr>
        <w:t>强化</w:t>
      </w:r>
      <w:r>
        <w:rPr>
          <w:rFonts w:hint="eastAsia" w:ascii="仿宋_GB2312" w:hAnsi="仿宋_GB2312" w:eastAsia="仿宋_GB2312" w:cs="仿宋_GB2312"/>
          <w:sz w:val="18"/>
          <w:szCs w:val="18"/>
        </w:rPr>
        <w:t>学历提升工作管理</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lang w:val="en-US" w:eastAsia="zh-CN"/>
        </w:rPr>
        <w:t>四监管：</w:t>
      </w:r>
      <w:r>
        <w:rPr>
          <w:rFonts w:hint="eastAsia" w:ascii="仿宋_GB2312" w:hAnsi="仿宋_GB2312" w:eastAsia="仿宋_GB2312" w:cs="仿宋_GB2312"/>
          <w:sz w:val="18"/>
          <w:szCs w:val="18"/>
        </w:rPr>
        <w:t>通过压实工作责任、强化正向引领、严格年度考核、建立通报制度，</w:t>
      </w:r>
      <w:r>
        <w:rPr>
          <w:rFonts w:hint="eastAsia" w:ascii="仿宋_GB2312" w:hAnsi="仿宋_GB2312" w:eastAsia="仿宋_GB2312" w:cs="仿宋_GB2312"/>
          <w:sz w:val="18"/>
          <w:szCs w:val="18"/>
          <w:lang w:val="en-US" w:eastAsia="zh-CN"/>
        </w:rPr>
        <w:t>促使各学校重视学历提升工作。</w:t>
      </w:r>
    </w:p>
  </w:footnote>
  <w:footnote w:id="3">
    <w:p w14:paraId="128D079B">
      <w:pPr>
        <w:pStyle w:val="6"/>
        <w:snapToGrid w:val="0"/>
        <w:rPr>
          <w:rFonts w:hint="eastAsia" w:ascii="仿宋_GB2312" w:hAnsi="仿宋_GB2312" w:eastAsia="仿宋_GB2312" w:cs="仿宋_GB2312"/>
          <w:lang w:val="en-US" w:eastAsia="zh-CN"/>
        </w:rPr>
      </w:pPr>
      <w:r>
        <w:rPr>
          <w:rStyle w:val="11"/>
          <w:rFonts w:hint="eastAsia" w:ascii="仿宋_GB2312" w:hAnsi="仿宋_GB2312" w:eastAsia="仿宋_GB2312" w:cs="仿宋_GB2312"/>
        </w:rPr>
        <w:footnoteRef/>
      </w:r>
      <w:r>
        <w:rPr>
          <w:rFonts w:hint="eastAsia" w:ascii="仿宋_GB2312" w:hAnsi="仿宋_GB2312" w:eastAsia="仿宋_GB2312" w:cs="仿宋_GB2312"/>
        </w:rPr>
        <w:t xml:space="preserve"> </w:t>
      </w:r>
      <w:r>
        <w:rPr>
          <w:rFonts w:hint="eastAsia" w:ascii="Times New Roman" w:hAnsi="Times New Roman" w:eastAsia="仿宋_GB2312" w:cs="仿宋_GB2312"/>
          <w:lang w:val="en-US" w:eastAsia="zh-CN"/>
        </w:rPr>
        <w:t>9</w:t>
      </w:r>
      <w:r>
        <w:rPr>
          <w:rFonts w:hint="eastAsia" w:ascii="仿宋_GB2312" w:hAnsi="仿宋_GB2312" w:eastAsia="仿宋_GB2312" w:cs="仿宋_GB2312"/>
          <w:lang w:val="en-US" w:eastAsia="zh-CN"/>
        </w:rPr>
        <w:t>个</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：义务教育阶段学校</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学校建立作业公示制度、</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学校出台作业管理办法、</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学校作业时间控制达标、</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学校不给家长布置作业或要求家长批改作业、</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学校开足开齐国家课程、</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小学实施“零起点”教学、</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学校考试管理符合规定、</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学校制度化开展校本教研、</w:t>
      </w:r>
      <w:r>
        <w:rPr>
          <w:rFonts w:hint="eastAsia" w:ascii="Times New Roman" w:hAnsi="Times New Roman" w:eastAsia="仿宋_GB2312" w:cs="仿宋_GB2312"/>
          <w:lang w:val="en-US" w:eastAsia="zh-CN"/>
        </w:rPr>
        <w:t>100%</w:t>
      </w:r>
      <w:r>
        <w:rPr>
          <w:rFonts w:hint="eastAsia" w:ascii="仿宋_GB2312" w:hAnsi="仿宋_GB2312" w:eastAsia="仿宋_GB2312" w:cs="仿宋_GB2312"/>
          <w:lang w:val="en-US" w:eastAsia="zh-CN"/>
        </w:rPr>
        <w:t>学校出台教学管理规程。</w:t>
      </w:r>
    </w:p>
    <w:p w14:paraId="55369FE6">
      <w:pPr>
        <w:pStyle w:val="6"/>
        <w:snapToGrid w:val="0"/>
        <w:rPr>
          <w:rFonts w:hint="default" w:eastAsiaTheme="minorEastAsia"/>
          <w:lang w:val="en-US" w:eastAsia="zh-CN"/>
        </w:rPr>
      </w:pPr>
    </w:p>
  </w:footnote>
  <w:footnote w:id="4">
    <w:p w14:paraId="782A5E5B">
      <w:pPr>
        <w:pStyle w:val="6"/>
        <w:snapToGrid w:val="0"/>
        <w:rPr>
          <w:rFonts w:hint="eastAsia" w:ascii="仿宋_GB2312" w:hAnsi="仿宋_GB2312" w:eastAsia="仿宋_GB2312" w:cs="仿宋_GB2312"/>
          <w:sz w:val="21"/>
          <w:szCs w:val="21"/>
        </w:rPr>
      </w:pPr>
      <w:r>
        <w:rPr>
          <w:rStyle w:val="11"/>
          <w:rFonts w:hint="eastAsia" w:ascii="仿宋_GB2312" w:hAnsi="仿宋_GB2312" w:eastAsia="仿宋_GB2312" w:cs="仿宋_GB2312"/>
          <w:sz w:val="21"/>
          <w:szCs w:val="21"/>
        </w:rPr>
        <w:footnoteRef/>
      </w:r>
      <w:r>
        <w:rPr>
          <w:rFonts w:hint="eastAsia" w:ascii="仿宋_GB2312" w:hAnsi="仿宋_GB2312" w:eastAsia="仿宋_GB2312" w:cs="仿宋_GB2312"/>
          <w:sz w:val="21"/>
          <w:szCs w:val="21"/>
        </w:rPr>
        <w:t xml:space="preserve"> </w:t>
      </w:r>
      <w:r>
        <w:rPr>
          <w:rFonts w:hint="eastAsia" w:ascii="Times New Roman" w:hAnsi="Times New Roman" w:eastAsia="仿宋_GB2312" w:cs="仿宋_GB2312"/>
          <w:b w:val="0"/>
          <w:bCs w:val="0"/>
          <w:sz w:val="21"/>
          <w:szCs w:val="21"/>
          <w:lang w:val="en-US" w:eastAsia="zh-CN"/>
        </w:rPr>
        <w:t>6</w:t>
      </w:r>
      <w:r>
        <w:rPr>
          <w:rFonts w:hint="eastAsia" w:ascii="仿宋_GB2312" w:hAnsi="仿宋_GB2312" w:eastAsia="仿宋_GB2312" w:cs="仿宋_GB2312"/>
          <w:b w:val="0"/>
          <w:bCs w:val="0"/>
          <w:sz w:val="21"/>
          <w:szCs w:val="21"/>
          <w:lang w:val="en-US" w:eastAsia="zh-CN"/>
        </w:rPr>
        <w:t>个</w:t>
      </w:r>
      <w:r>
        <w:rPr>
          <w:rFonts w:hint="eastAsia" w:ascii="Times New Roman" w:hAnsi="Times New Roman" w:eastAsia="仿宋_GB2312" w:cs="仿宋_GB2312"/>
          <w:b w:val="0"/>
          <w:bCs w:val="0"/>
          <w:sz w:val="21"/>
          <w:szCs w:val="21"/>
          <w:lang w:val="en-US" w:eastAsia="zh-CN"/>
        </w:rPr>
        <w:t>100%</w:t>
      </w:r>
      <w:r>
        <w:rPr>
          <w:rFonts w:hint="eastAsia" w:ascii="仿宋_GB2312" w:hAnsi="仿宋_GB2312" w:eastAsia="仿宋_GB2312" w:cs="仿宋_GB2312"/>
          <w:b w:val="0"/>
          <w:bCs w:val="0"/>
          <w:sz w:val="21"/>
          <w:szCs w:val="21"/>
          <w:lang w:val="en-US" w:eastAsia="zh-CN"/>
        </w:rPr>
        <w:t>：全区学校实现校园封闭化管理、一键式报警、护学岗设置、视频监控介入、围墙</w:t>
      </w:r>
      <w:r>
        <w:rPr>
          <w:rFonts w:hint="eastAsia" w:ascii="Times New Roman" w:hAnsi="Times New Roman"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lang w:val="en-US" w:eastAsia="zh-CN"/>
        </w:rPr>
        <w:t>米和校门外防冲撞设施“</w:t>
      </w:r>
      <w:r>
        <w:rPr>
          <w:rFonts w:hint="eastAsia" w:ascii="Times New Roman" w:hAnsi="Times New Roman" w:eastAsia="仿宋_GB2312" w:cs="仿宋_GB2312"/>
          <w:b w:val="0"/>
          <w:bCs w:val="0"/>
          <w:sz w:val="21"/>
          <w:szCs w:val="21"/>
          <w:lang w:val="en-US" w:eastAsia="zh-CN"/>
        </w:rPr>
        <w:t>6</w:t>
      </w:r>
      <w:r>
        <w:rPr>
          <w:rFonts w:hint="eastAsia" w:ascii="仿宋_GB2312" w:hAnsi="仿宋_GB2312" w:eastAsia="仿宋_GB2312" w:cs="仿宋_GB2312"/>
          <w:b w:val="0"/>
          <w:bCs w:val="0"/>
          <w:sz w:val="21"/>
          <w:szCs w:val="21"/>
          <w:lang w:val="en-US" w:eastAsia="zh-CN"/>
        </w:rPr>
        <w:t>个</w:t>
      </w:r>
      <w:r>
        <w:rPr>
          <w:rFonts w:hint="eastAsia" w:ascii="Times New Roman" w:hAnsi="Times New Roman" w:eastAsia="仿宋_GB2312" w:cs="仿宋_GB2312"/>
          <w:b w:val="0"/>
          <w:bCs w:val="0"/>
          <w:sz w:val="21"/>
          <w:szCs w:val="21"/>
          <w:lang w:val="en-US" w:eastAsia="zh-CN"/>
        </w:rPr>
        <w:t>100%</w:t>
      </w:r>
      <w:r>
        <w:rPr>
          <w:rFonts w:hint="eastAsia" w:ascii="仿宋_GB2312" w:hAnsi="仿宋_GB2312" w:eastAsia="仿宋_GB2312" w:cs="仿宋_GB2312"/>
          <w:b w:val="0"/>
          <w:bCs w:val="0"/>
          <w:sz w:val="21"/>
          <w:szCs w:val="21"/>
          <w:lang w:val="en-US"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7A3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HorizontalSpacing w:val="158"/>
  <w:drawingGridVerticalSpacing w:val="226"/>
  <w:displayHorizontalDrawingGridEvery w:val="2"/>
  <w:displayVerticalDrawingGridEvery w:val="2"/>
  <w:noPunctuationKerning w:val="1"/>
  <w:characterSpacingControl w:val="compressPunctuation"/>
  <w:footnotePr>
    <w:footnote w:id="10"/>
    <w:footnote w:id="1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F7A93"/>
    <w:rsid w:val="007F6526"/>
    <w:rsid w:val="010121B4"/>
    <w:rsid w:val="013D69B7"/>
    <w:rsid w:val="02907FF4"/>
    <w:rsid w:val="02B70580"/>
    <w:rsid w:val="03463398"/>
    <w:rsid w:val="03C020B7"/>
    <w:rsid w:val="04A76058"/>
    <w:rsid w:val="052D0F89"/>
    <w:rsid w:val="0598292F"/>
    <w:rsid w:val="062A0396"/>
    <w:rsid w:val="06ED47ED"/>
    <w:rsid w:val="07272049"/>
    <w:rsid w:val="08C21DEA"/>
    <w:rsid w:val="08CD39FE"/>
    <w:rsid w:val="08EE77B6"/>
    <w:rsid w:val="09002F54"/>
    <w:rsid w:val="09321CF9"/>
    <w:rsid w:val="0A0F2BA2"/>
    <w:rsid w:val="0C5A27A1"/>
    <w:rsid w:val="0CEE7CC6"/>
    <w:rsid w:val="0CFC2F52"/>
    <w:rsid w:val="0D246722"/>
    <w:rsid w:val="0D726467"/>
    <w:rsid w:val="0D9229D2"/>
    <w:rsid w:val="0DA17243"/>
    <w:rsid w:val="0DAD7AE7"/>
    <w:rsid w:val="0DD86D72"/>
    <w:rsid w:val="0E9E0CA9"/>
    <w:rsid w:val="0F2E5C77"/>
    <w:rsid w:val="0FD32F3B"/>
    <w:rsid w:val="10201AD7"/>
    <w:rsid w:val="11A40F25"/>
    <w:rsid w:val="120B6E36"/>
    <w:rsid w:val="12997019"/>
    <w:rsid w:val="12B719C0"/>
    <w:rsid w:val="12EF1689"/>
    <w:rsid w:val="13124349"/>
    <w:rsid w:val="147B62AE"/>
    <w:rsid w:val="157649D1"/>
    <w:rsid w:val="159FA207"/>
    <w:rsid w:val="15B21729"/>
    <w:rsid w:val="166A6559"/>
    <w:rsid w:val="17CD1C16"/>
    <w:rsid w:val="184F7127"/>
    <w:rsid w:val="18BF29A5"/>
    <w:rsid w:val="18C46263"/>
    <w:rsid w:val="191811EE"/>
    <w:rsid w:val="19492209"/>
    <w:rsid w:val="19A749AB"/>
    <w:rsid w:val="1BCD7C8C"/>
    <w:rsid w:val="1BD143CB"/>
    <w:rsid w:val="1C82657B"/>
    <w:rsid w:val="1CA7510E"/>
    <w:rsid w:val="1CAE4A99"/>
    <w:rsid w:val="1CBB7632"/>
    <w:rsid w:val="1CE0656D"/>
    <w:rsid w:val="1E437178"/>
    <w:rsid w:val="1E4B3DA1"/>
    <w:rsid w:val="1E6948C1"/>
    <w:rsid w:val="1EAF187C"/>
    <w:rsid w:val="1EAF54E3"/>
    <w:rsid w:val="1EBF3107"/>
    <w:rsid w:val="1ED70354"/>
    <w:rsid w:val="1EEC0A69"/>
    <w:rsid w:val="1F467D1E"/>
    <w:rsid w:val="1F4C4468"/>
    <w:rsid w:val="1F4D1EEA"/>
    <w:rsid w:val="1F7F5F39"/>
    <w:rsid w:val="20233D85"/>
    <w:rsid w:val="20A36C18"/>
    <w:rsid w:val="20A6258A"/>
    <w:rsid w:val="21060369"/>
    <w:rsid w:val="211928E0"/>
    <w:rsid w:val="2213694A"/>
    <w:rsid w:val="22F76FAC"/>
    <w:rsid w:val="23715AB1"/>
    <w:rsid w:val="23FF6A54"/>
    <w:rsid w:val="247C2AEC"/>
    <w:rsid w:val="24E10292"/>
    <w:rsid w:val="2511775C"/>
    <w:rsid w:val="25BD32CA"/>
    <w:rsid w:val="272714AE"/>
    <w:rsid w:val="289F0C32"/>
    <w:rsid w:val="28DA5593"/>
    <w:rsid w:val="297336D5"/>
    <w:rsid w:val="2A9009A8"/>
    <w:rsid w:val="2B7C38D0"/>
    <w:rsid w:val="2C607801"/>
    <w:rsid w:val="2CB747FE"/>
    <w:rsid w:val="2D73499D"/>
    <w:rsid w:val="2DA7790D"/>
    <w:rsid w:val="2DC92661"/>
    <w:rsid w:val="2DD438A6"/>
    <w:rsid w:val="2DD82143"/>
    <w:rsid w:val="2E3060BE"/>
    <w:rsid w:val="2E7D525B"/>
    <w:rsid w:val="2F0466AF"/>
    <w:rsid w:val="2FA94044"/>
    <w:rsid w:val="31AF7BF8"/>
    <w:rsid w:val="31B34421"/>
    <w:rsid w:val="3268652F"/>
    <w:rsid w:val="33D02E4B"/>
    <w:rsid w:val="341F2784"/>
    <w:rsid w:val="343B7032"/>
    <w:rsid w:val="34CA493A"/>
    <w:rsid w:val="35900CCA"/>
    <w:rsid w:val="35C74E47"/>
    <w:rsid w:val="367713C2"/>
    <w:rsid w:val="369F55DE"/>
    <w:rsid w:val="38026C67"/>
    <w:rsid w:val="380B4959"/>
    <w:rsid w:val="393051E4"/>
    <w:rsid w:val="395D3729"/>
    <w:rsid w:val="39A64759"/>
    <w:rsid w:val="39C34753"/>
    <w:rsid w:val="39D72754"/>
    <w:rsid w:val="3A052C3D"/>
    <w:rsid w:val="3A361B71"/>
    <w:rsid w:val="3A390B05"/>
    <w:rsid w:val="3AFC7952"/>
    <w:rsid w:val="3BA810F0"/>
    <w:rsid w:val="3CA76590"/>
    <w:rsid w:val="3CEA6A03"/>
    <w:rsid w:val="3D3C0768"/>
    <w:rsid w:val="3DA321AF"/>
    <w:rsid w:val="3E172E8A"/>
    <w:rsid w:val="3ED446A1"/>
    <w:rsid w:val="3FC514B9"/>
    <w:rsid w:val="3FD32E21"/>
    <w:rsid w:val="40CF35E1"/>
    <w:rsid w:val="41267873"/>
    <w:rsid w:val="41273A09"/>
    <w:rsid w:val="417F3A53"/>
    <w:rsid w:val="418105AD"/>
    <w:rsid w:val="42D40179"/>
    <w:rsid w:val="43680450"/>
    <w:rsid w:val="444341E0"/>
    <w:rsid w:val="46E9458F"/>
    <w:rsid w:val="46F459F4"/>
    <w:rsid w:val="47CD0F5B"/>
    <w:rsid w:val="47FA2343"/>
    <w:rsid w:val="48490D5E"/>
    <w:rsid w:val="485E084A"/>
    <w:rsid w:val="49CF51F6"/>
    <w:rsid w:val="4A1D5125"/>
    <w:rsid w:val="4A463173"/>
    <w:rsid w:val="4A66523E"/>
    <w:rsid w:val="4A857F09"/>
    <w:rsid w:val="4ADF5A6F"/>
    <w:rsid w:val="4C0C43B7"/>
    <w:rsid w:val="4C1A156A"/>
    <w:rsid w:val="4DCC40A8"/>
    <w:rsid w:val="4E591A1C"/>
    <w:rsid w:val="4F831346"/>
    <w:rsid w:val="4F835CC5"/>
    <w:rsid w:val="503C744E"/>
    <w:rsid w:val="50617C70"/>
    <w:rsid w:val="50B258BF"/>
    <w:rsid w:val="513249AB"/>
    <w:rsid w:val="514946EA"/>
    <w:rsid w:val="51703C6A"/>
    <w:rsid w:val="5271676D"/>
    <w:rsid w:val="52C85E60"/>
    <w:rsid w:val="532D466D"/>
    <w:rsid w:val="53516CBE"/>
    <w:rsid w:val="537E210B"/>
    <w:rsid w:val="539C2A6A"/>
    <w:rsid w:val="53A47A51"/>
    <w:rsid w:val="53F440C3"/>
    <w:rsid w:val="543B6807"/>
    <w:rsid w:val="559B4861"/>
    <w:rsid w:val="55E65D7D"/>
    <w:rsid w:val="568C3F8D"/>
    <w:rsid w:val="56BC034C"/>
    <w:rsid w:val="58457D62"/>
    <w:rsid w:val="5A22286F"/>
    <w:rsid w:val="5A5907CA"/>
    <w:rsid w:val="5A7910D3"/>
    <w:rsid w:val="5AA351CF"/>
    <w:rsid w:val="5AAD0254"/>
    <w:rsid w:val="5B24602D"/>
    <w:rsid w:val="5B7D44B5"/>
    <w:rsid w:val="5C250690"/>
    <w:rsid w:val="5C69772C"/>
    <w:rsid w:val="5C9D6EA3"/>
    <w:rsid w:val="5D8162A2"/>
    <w:rsid w:val="5E583A5A"/>
    <w:rsid w:val="5F3546D1"/>
    <w:rsid w:val="604265FC"/>
    <w:rsid w:val="624A496F"/>
    <w:rsid w:val="626E7E8B"/>
    <w:rsid w:val="629E3002"/>
    <w:rsid w:val="62B372FA"/>
    <w:rsid w:val="62C31381"/>
    <w:rsid w:val="62D50667"/>
    <w:rsid w:val="637167DB"/>
    <w:rsid w:val="63E15DFA"/>
    <w:rsid w:val="64046F11"/>
    <w:rsid w:val="65390810"/>
    <w:rsid w:val="666A61FD"/>
    <w:rsid w:val="666F2623"/>
    <w:rsid w:val="6681309D"/>
    <w:rsid w:val="670163C7"/>
    <w:rsid w:val="675D4CCA"/>
    <w:rsid w:val="678D657A"/>
    <w:rsid w:val="67A05FCC"/>
    <w:rsid w:val="67D21973"/>
    <w:rsid w:val="67E272EB"/>
    <w:rsid w:val="68223F81"/>
    <w:rsid w:val="68DC1286"/>
    <w:rsid w:val="691B5BA6"/>
    <w:rsid w:val="6B623553"/>
    <w:rsid w:val="6B755D12"/>
    <w:rsid w:val="6B794608"/>
    <w:rsid w:val="6C0909AD"/>
    <w:rsid w:val="6CA80AE1"/>
    <w:rsid w:val="6D5F6AFE"/>
    <w:rsid w:val="6DC828FC"/>
    <w:rsid w:val="6E0D4219"/>
    <w:rsid w:val="6F1866C1"/>
    <w:rsid w:val="6F7E447B"/>
    <w:rsid w:val="702275C0"/>
    <w:rsid w:val="709E3623"/>
    <w:rsid w:val="71022650"/>
    <w:rsid w:val="710D4B86"/>
    <w:rsid w:val="727950DD"/>
    <w:rsid w:val="727B2448"/>
    <w:rsid w:val="727F47D0"/>
    <w:rsid w:val="72C2177A"/>
    <w:rsid w:val="730B41D2"/>
    <w:rsid w:val="737B36BC"/>
    <w:rsid w:val="737D07EB"/>
    <w:rsid w:val="7412197B"/>
    <w:rsid w:val="74566390"/>
    <w:rsid w:val="74D516B9"/>
    <w:rsid w:val="758320C2"/>
    <w:rsid w:val="764466E9"/>
    <w:rsid w:val="7689108A"/>
    <w:rsid w:val="77DA1D31"/>
    <w:rsid w:val="77EB3678"/>
    <w:rsid w:val="790240C1"/>
    <w:rsid w:val="79417FDD"/>
    <w:rsid w:val="798504FB"/>
    <w:rsid w:val="79F72FA5"/>
    <w:rsid w:val="7A1E7F83"/>
    <w:rsid w:val="7D0351A7"/>
    <w:rsid w:val="7DCD04AC"/>
    <w:rsid w:val="7E6D71F5"/>
    <w:rsid w:val="7F01514B"/>
    <w:rsid w:val="7F0813B5"/>
    <w:rsid w:val="7F722B2B"/>
    <w:rsid w:val="7FC47465"/>
    <w:rsid w:val="B3FE84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2"/>
      <w:lang w:val="en-US" w:eastAsia="zh-CN" w:bidi="ar-SA"/>
    </w:rPr>
  </w:style>
  <w:style w:type="paragraph" w:styleId="3">
    <w:name w:val="heading 1"/>
    <w:basedOn w:val="1"/>
    <w:next w:val="1"/>
    <w:qFormat/>
    <w:uiPriority w:val="0"/>
    <w:pPr>
      <w:widowControl/>
      <w:spacing w:line="560" w:lineRule="exact"/>
      <w:jc w:val="center"/>
      <w:outlineLvl w:val="0"/>
    </w:pPr>
    <w:rPr>
      <w:rFonts w:ascii="方正小标宋简体" w:hAnsi="仿宋" w:eastAsia="方正小标宋简体"/>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val="0"/>
      <w:spacing w:after="0" w:line="560" w:lineRule="atLeast"/>
      <w:jc w:val="both"/>
    </w:pPr>
    <w:rPr>
      <w:rFonts w:ascii="仿宋_GB2312" w:hAnsi="仿宋_GB2312" w:eastAsia="仿宋_GB2312" w:cs="仿宋_GB2312"/>
      <w:b/>
      <w:bCs/>
      <w:kern w:val="2"/>
      <w:sz w:val="32"/>
      <w:szCs w:val="32"/>
      <w:lang w:val="en-US" w:eastAsia="zh-CN" w:bidi="ar-SA"/>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qFormat/>
    <w:uiPriority w:val="0"/>
    <w:pPr>
      <w:snapToGrid w:val="0"/>
      <w:jc w:val="left"/>
    </w:pPr>
    <w:rPr>
      <w:sz w:val="18"/>
    </w:rPr>
  </w:style>
  <w:style w:type="character" w:styleId="9">
    <w:name w:val="Strong"/>
    <w:basedOn w:val="8"/>
    <w:qFormat/>
    <w:uiPriority w:val="0"/>
    <w:rPr>
      <w:b/>
    </w:rPr>
  </w:style>
  <w:style w:type="character" w:styleId="10">
    <w:name w:val="page number"/>
    <w:basedOn w:val="8"/>
    <w:qFormat/>
    <w:uiPriority w:val="0"/>
  </w:style>
  <w:style w:type="character" w:styleId="11">
    <w:name w:val="footnote reference"/>
    <w:basedOn w:val="8"/>
    <w:qFormat/>
    <w:uiPriority w:val="0"/>
    <w:rPr>
      <w:vertAlign w:val="superscript"/>
    </w:rPr>
  </w:style>
  <w:style w:type="character" w:customStyle="1" w:styleId="12">
    <w:name w:val="NormalCharacter"/>
    <w:link w:val="13"/>
    <w:qFormat/>
    <w:uiPriority w:val="0"/>
    <w:rPr>
      <w:rFonts w:ascii="Verdana" w:hAnsi="Verdana" w:eastAsia="仿宋_GB2312"/>
      <w:kern w:val="2"/>
      <w:sz w:val="24"/>
      <w:szCs w:val="20"/>
      <w:lang w:val="en-US" w:eastAsia="en-US" w:bidi="ar-SA"/>
    </w:rPr>
  </w:style>
  <w:style w:type="paragraph" w:customStyle="1" w:styleId="13">
    <w:name w:val="UserStyle_0"/>
    <w:basedOn w:val="1"/>
    <w:link w:val="12"/>
    <w:qFormat/>
    <w:uiPriority w:val="0"/>
    <w:pPr>
      <w:widowControl/>
      <w:spacing w:after="160" w:line="240" w:lineRule="exact"/>
      <w:jc w:val="left"/>
      <w:textAlignment w:val="baseline"/>
    </w:pPr>
    <w:rPr>
      <w:rFonts w:ascii="Verdana" w:hAnsi="Verdana" w:eastAsia="仿宋_GB2312"/>
      <w:kern w:val="2"/>
      <w:sz w:val="24"/>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11095</Words>
  <Characters>12093</Characters>
  <Lines>0</Lines>
  <Paragraphs>0</Paragraphs>
  <TotalTime>5</TotalTime>
  <ScaleCrop>false</ScaleCrop>
  <LinksUpToDate>false</LinksUpToDate>
  <CharactersWithSpaces>12105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2025-09-29T04:44:00Z</dcterms:created>
  <dc:creator>Explorer</dc:creator>
  <cp:lastModifiedBy>y</cp:lastModifiedBy>
  <cp:lastPrinted>2025-10-10T09:36:00Z</cp:lastPrinted>
  <dcterms:modified xsi:type="dcterms:W3CDTF">2025-10-16T01:38:20Z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76559547E5FE4BB38795DF081DDDAE2A_13</vt:lpwstr>
  </property>
  <property fmtid="{D5CDD505-2E9C-101B-9397-08002B2CF9AE}" pid="4" name="KSOTemplateDocerSaveRecord">
    <vt:lpwstr>eyJoZGlkIjoiNzhlYTg3ODE0Zjc1MTI5YjUxODFlZDNiNTU0ZDllODciLCJ1c2VySWQiOiI0MjQwMDQ4MTMifQ==</vt:lpwstr>
  </property>
</Properties>
</file>