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1FF92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ind w:left="0" w:right="0"/>
        <w:jc w:val="both"/>
        <w:textAlignment w:val="baseline"/>
        <w:rPr>
          <w:rFonts w:hint="eastAsia" w:ascii="仿宋_GB2312" w:hAnsi="仿宋_GB2312" w:eastAsia="仿宋_GB2312" w:cs="仿宋_GB2312"/>
          <w:b w:val="0"/>
          <w:bCs w:val="0"/>
          <w:snapToGrid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snapToGrid/>
          <w:color w:val="000000"/>
          <w:kern w:val="2"/>
          <w:sz w:val="32"/>
          <w:szCs w:val="32"/>
          <w:lang w:val="en-US" w:eastAsia="zh-CN" w:bidi="ar-SA"/>
        </w:rPr>
        <w:t>附件1</w:t>
      </w:r>
    </w:p>
    <w:p w14:paraId="06A170C5">
      <w:pPr>
        <w:pStyle w:val="2"/>
        <w:rPr>
          <w:rFonts w:hint="eastAsia"/>
          <w:lang w:val="en-US" w:eastAsia="zh-CN"/>
        </w:rPr>
      </w:pPr>
    </w:p>
    <w:p w14:paraId="600F927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ind w:left="0" w:right="0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bCs w:val="0"/>
          <w:snapToGrid/>
          <w:color w:val="000000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napToGrid/>
          <w:color w:val="000000"/>
          <w:kern w:val="2"/>
          <w:sz w:val="44"/>
          <w:szCs w:val="44"/>
          <w:lang w:val="en-US" w:eastAsia="zh-CN" w:bidi="ar-SA"/>
        </w:rPr>
        <w:t>石滩镇颐康服务站运营项目管理工作要求</w:t>
      </w:r>
    </w:p>
    <w:p w14:paraId="43F17CD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ind w:left="0" w:right="0"/>
        <w:textAlignment w:val="baseline"/>
        <w:rPr>
          <w:rFonts w:hint="eastAsia" w:ascii="方正小标宋简体" w:hAnsi="方正小标宋简体" w:eastAsia="方正小标宋简体" w:cs="方正小标宋简体"/>
          <w:b w:val="0"/>
          <w:bCs w:val="0"/>
          <w:snapToGrid/>
          <w:color w:val="000000"/>
          <w:kern w:val="2"/>
          <w:sz w:val="44"/>
          <w:szCs w:val="44"/>
          <w:lang w:val="en-US" w:eastAsia="zh-CN" w:bidi="ar-SA"/>
        </w:rPr>
      </w:pPr>
    </w:p>
    <w:p w14:paraId="1681D707">
      <w:pPr>
        <w:keepNext w:val="0"/>
        <w:keepLines w:val="0"/>
        <w:pageBreakBefore w:val="0"/>
        <w:widowControl/>
        <w:numPr>
          <w:ilvl w:val="0"/>
          <w:numId w:val="1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ind w:left="0" w:right="0" w:firstLine="640" w:firstLineChars="200"/>
        <w:textAlignment w:val="baseline"/>
        <w:rPr>
          <w:rFonts w:hint="eastAsia" w:ascii="黑体" w:hAnsi="黑体" w:eastAsia="黑体" w:cs="黑体"/>
          <w:b w:val="0"/>
          <w:bCs w:val="0"/>
          <w:snapToGrid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snapToGrid/>
          <w:color w:val="000000"/>
          <w:kern w:val="2"/>
          <w:sz w:val="32"/>
          <w:szCs w:val="32"/>
          <w:lang w:val="en-US" w:eastAsia="zh-CN" w:bidi="ar-SA"/>
        </w:rPr>
        <w:t>开放时间</w:t>
      </w:r>
    </w:p>
    <w:p w14:paraId="4C6725E9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ind w:right="0" w:rightChars="0" w:firstLine="640" w:firstLineChars="200"/>
        <w:textAlignment w:val="baseline"/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 w:bidi="ar-SA"/>
        </w:rPr>
        <w:t>开放时间为工作日，每日开放时间不少于6小时，鼓励法定节假日开放，每月制定并发布活动安排。</w:t>
      </w:r>
    </w:p>
    <w:p w14:paraId="49930C52">
      <w:pPr>
        <w:keepNext w:val="0"/>
        <w:keepLines w:val="0"/>
        <w:pageBreakBefore w:val="0"/>
        <w:widowControl/>
        <w:numPr>
          <w:ilvl w:val="0"/>
          <w:numId w:val="1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ind w:left="0" w:right="0" w:firstLine="640" w:firstLineChars="200"/>
        <w:textAlignment w:val="baseline"/>
        <w:rPr>
          <w:rFonts w:hint="eastAsia" w:ascii="黑体" w:hAnsi="黑体" w:eastAsia="黑体" w:cs="黑体"/>
          <w:b w:val="0"/>
          <w:bCs w:val="0"/>
          <w:snapToGrid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snapToGrid/>
          <w:color w:val="000000"/>
          <w:kern w:val="2"/>
          <w:sz w:val="32"/>
          <w:szCs w:val="32"/>
          <w:lang w:val="en-US" w:eastAsia="zh-CN" w:bidi="ar-SA"/>
        </w:rPr>
        <w:t>人员配备</w:t>
      </w:r>
    </w:p>
    <w:p w14:paraId="28F3BEC9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right="0" w:rightChars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caps w:val="0"/>
          <w:color w:val="auto"/>
          <w:spacing w:val="0"/>
          <w:sz w:val="32"/>
          <w:szCs w:val="32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caps w:val="0"/>
          <w:color w:val="auto"/>
          <w:spacing w:val="0"/>
          <w:sz w:val="32"/>
          <w:szCs w:val="32"/>
          <w:shd w:val="clear" w:color="auto" w:fill="auto"/>
          <w:lang w:val="en-US" w:eastAsia="zh-CN"/>
        </w:rPr>
        <w:t>本项目设置1名总负责人，统筹推进整体运营管理工作；设置1名项目主任负责日常运营执行、团队协调及各项工作落地推进；</w:t>
      </w:r>
      <w:bookmarkStart w:id="0" w:name="_GoBack"/>
      <w:r>
        <w:rPr>
          <w:rFonts w:hint="eastAsia" w:ascii="仿宋_GB2312" w:hAnsi="仿宋_GB2312" w:eastAsia="仿宋_GB2312" w:cs="仿宋_GB2312"/>
          <w:caps w:val="0"/>
          <w:color w:val="auto"/>
          <w:spacing w:val="0"/>
          <w:sz w:val="32"/>
          <w:szCs w:val="32"/>
          <w:shd w:val="clear" w:color="auto" w:fill="auto"/>
          <w:lang w:val="en-US" w:eastAsia="zh-CN"/>
        </w:rPr>
        <w:t>每个颐康站聘请1名及以上专职或兼职工作人员，其中兼职人员原则上不得同时兼任2个以上站点工作。工作人员需每小时至少往返驻点1次，承担站点日常管理职责。</w:t>
      </w:r>
    </w:p>
    <w:bookmarkEnd w:id="0"/>
    <w:p w14:paraId="1FDD17C1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right="0" w:rightChars="0" w:firstLine="640" w:firstLineChars="200"/>
        <w:jc w:val="left"/>
        <w:textAlignment w:val="auto"/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caps w:val="0"/>
          <w:color w:val="auto"/>
          <w:spacing w:val="0"/>
          <w:sz w:val="32"/>
          <w:szCs w:val="32"/>
          <w:shd w:val="clear" w:color="auto" w:fill="auto"/>
          <w:lang w:val="en-US" w:eastAsia="zh-CN"/>
        </w:rPr>
        <w:t>聘请的工作人员应具备与岗位相适应的资质条件。提供助餐配餐的应具备有效健康证明，提供医疗保健和康复护理服务的应具备医护和康复执业资格等证明。</w:t>
      </w:r>
    </w:p>
    <w:p w14:paraId="5D533B8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ind w:left="0" w:right="0" w:firstLine="640" w:firstLineChars="200"/>
        <w:textAlignment w:val="baseline"/>
        <w:rPr>
          <w:rFonts w:hint="eastAsia" w:ascii="黑体" w:hAnsi="黑体" w:eastAsia="黑体" w:cs="黑体"/>
          <w:b w:val="0"/>
          <w:bCs w:val="0"/>
          <w:snapToGrid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snapToGrid/>
          <w:color w:val="000000"/>
          <w:kern w:val="2"/>
          <w:sz w:val="32"/>
          <w:szCs w:val="32"/>
          <w:lang w:val="en-US" w:eastAsia="zh-CN" w:bidi="ar-SA"/>
        </w:rPr>
        <w:t>三、服务内容</w:t>
      </w:r>
    </w:p>
    <w:p w14:paraId="09D94CCE">
      <w:pPr>
        <w:keepNext w:val="0"/>
        <w:keepLines w:val="0"/>
        <w:pageBreakBefore w:val="0"/>
        <w:wordWrap/>
        <w:topLinePunct w:val="0"/>
        <w:bidi w:val="0"/>
        <w:adjustRightInd w:val="0"/>
        <w:snapToGrid w:val="0"/>
        <w:spacing w:line="50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养老服务向导服务。协助有需要的老年人进行服务申请、服务查询、服务转介等，可以制定个性化服务方案，满足老年人个性化需求。</w:t>
      </w:r>
    </w:p>
    <w:p w14:paraId="3C870465">
      <w:pPr>
        <w:keepNext w:val="0"/>
        <w:keepLines w:val="0"/>
        <w:pageBreakBefore w:val="0"/>
        <w:wordWrap/>
        <w:topLinePunct w:val="0"/>
        <w:bidi w:val="0"/>
        <w:spacing w:line="5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居家上门服务。强化服务转介，为周边居家老年人提供生活照料、家居清洁、衣被清洗、代购等养老服务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33FC3CB8">
      <w:pPr>
        <w:keepNext w:val="0"/>
        <w:keepLines w:val="0"/>
        <w:pageBreakBefore w:val="0"/>
        <w:wordWrap/>
        <w:topLinePunct w:val="0"/>
        <w:bidi w:val="0"/>
        <w:adjustRightInd w:val="0"/>
        <w:snapToGrid w:val="0"/>
        <w:spacing w:line="50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</w:rPr>
        <w:t>日间照料服务。为老年人提供专人看护、午间休息、转介社工服务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23E681A9">
      <w:pPr>
        <w:keepNext w:val="0"/>
        <w:keepLines w:val="0"/>
        <w:pageBreakBefore w:val="0"/>
        <w:wordWrap/>
        <w:topLinePunct w:val="0"/>
        <w:bidi w:val="0"/>
        <w:spacing w:line="5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sz w:val="32"/>
          <w:szCs w:val="32"/>
        </w:rPr>
        <w:t>助餐配餐服务。为周边老年人提供助餐配餐服务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42227977">
      <w:pPr>
        <w:keepNext w:val="0"/>
        <w:keepLines w:val="0"/>
        <w:pageBreakBefore w:val="0"/>
        <w:wordWrap/>
        <w:topLinePunct w:val="0"/>
        <w:bidi w:val="0"/>
        <w:spacing w:line="5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文体教育</w:t>
      </w:r>
      <w:r>
        <w:rPr>
          <w:rFonts w:hint="eastAsia" w:ascii="仿宋_GB2312" w:hAnsi="仿宋_GB2312" w:eastAsia="仿宋_GB2312" w:cs="仿宋_GB2312"/>
          <w:sz w:val="32"/>
          <w:szCs w:val="32"/>
        </w:rPr>
        <w:t>服务。为老年人提供知识讲座、书法绘画、图书阅览、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棋牌歌舞、</w:t>
      </w:r>
      <w:r>
        <w:rPr>
          <w:rFonts w:hint="eastAsia" w:ascii="仿宋_GB2312" w:hAnsi="仿宋_GB2312" w:eastAsia="仿宋_GB2312" w:cs="仿宋_GB2312"/>
          <w:sz w:val="32"/>
          <w:szCs w:val="32"/>
        </w:rPr>
        <w:t>体育健身设施和活动场所等服务。</w:t>
      </w:r>
    </w:p>
    <w:p w14:paraId="0A36616F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ind w:righ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napToGrid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snapToGrid/>
          <w:color w:val="000000"/>
          <w:kern w:val="2"/>
          <w:sz w:val="32"/>
          <w:szCs w:val="32"/>
          <w:lang w:val="en-US" w:eastAsia="zh-CN" w:bidi="ar-SA"/>
        </w:rPr>
        <w:t>6.为老志愿服务。</w:t>
      </w:r>
      <w:r>
        <w:rPr>
          <w:rFonts w:hint="eastAsia" w:ascii="仿宋_GB2312" w:hAnsi="仿宋_GB2312" w:eastAsia="仿宋_GB2312" w:cs="仿宋_GB2312"/>
          <w:snapToGrid/>
          <w:color w:val="000000"/>
          <w:kern w:val="2"/>
          <w:sz w:val="32"/>
          <w:szCs w:val="32"/>
          <w:lang w:val="en-US" w:eastAsia="zh-CN" w:bidi="ar-SA"/>
        </w:rPr>
        <w:t>结合党员进社区、志愿服务等活动，积极发挥“五老”作用，联动社会力量开展上门服务等各类站点活动。</w:t>
      </w:r>
    </w:p>
    <w:p w14:paraId="72E8CBB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ind w:left="0" w:right="0" w:firstLine="640" w:firstLineChars="200"/>
        <w:textAlignment w:val="baseline"/>
        <w:rPr>
          <w:rFonts w:hint="eastAsia" w:ascii="黑体" w:hAnsi="黑体" w:eastAsia="黑体" w:cs="黑体"/>
          <w:b w:val="0"/>
          <w:bCs w:val="0"/>
          <w:snapToGrid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snapToGrid/>
          <w:color w:val="000000"/>
          <w:kern w:val="2"/>
          <w:sz w:val="32"/>
          <w:szCs w:val="32"/>
          <w:lang w:val="en-US" w:eastAsia="zh-CN" w:bidi="ar-SA"/>
        </w:rPr>
        <w:t>四、场地管理</w:t>
      </w:r>
    </w:p>
    <w:p w14:paraId="39AF99E0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ind w:righ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napToGrid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/>
          <w:color w:val="000000"/>
          <w:kern w:val="2"/>
          <w:sz w:val="32"/>
          <w:szCs w:val="32"/>
          <w:lang w:val="en-US" w:eastAsia="zh-CN" w:bidi="ar-SA"/>
        </w:rPr>
        <w:t>负责颐康服务站的场地管理、设施设备维护、卫生保洁、消防安全检查、活动组织、固定资产登记管理等方面工作。按照上级关于颐康服务站的运营管理要求，整理工作台账，做好固定资产入册和使用登记、活动记录和人员信息登记、消防安全检查等台账，以及上级关于颐康服务站的各项检查工作。</w:t>
      </w:r>
    </w:p>
    <w:p w14:paraId="78E6AAB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ind w:left="0" w:right="0" w:firstLine="640" w:firstLineChars="200"/>
        <w:textAlignment w:val="baseline"/>
        <w:rPr>
          <w:rFonts w:hint="eastAsia" w:ascii="黑体" w:hAnsi="黑体" w:eastAsia="黑体" w:cs="黑体"/>
          <w:b w:val="0"/>
          <w:bCs w:val="0"/>
          <w:snapToGrid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snapToGrid/>
          <w:color w:val="000000"/>
          <w:kern w:val="2"/>
          <w:sz w:val="32"/>
          <w:szCs w:val="32"/>
          <w:lang w:val="en-US" w:eastAsia="zh-CN" w:bidi="ar-SA"/>
        </w:rPr>
        <w:t>五、收费管理</w:t>
      </w:r>
    </w:p>
    <w:p w14:paraId="3B3E845B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ind w:left="0" w:right="0" w:firstLine="640" w:firstLineChars="200"/>
        <w:textAlignment w:val="baseline"/>
        <w:rPr>
          <w:rFonts w:hint="eastAsia" w:ascii="仿宋_GB2312" w:hAnsi="仿宋_GB2312" w:eastAsia="仿宋_GB2312" w:cs="仿宋_GB2312"/>
          <w:snapToGrid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/>
          <w:color w:val="000000"/>
          <w:kern w:val="2"/>
          <w:sz w:val="32"/>
          <w:szCs w:val="32"/>
          <w:lang w:val="en-US" w:eastAsia="zh-CN" w:bidi="ar-SA"/>
        </w:rPr>
        <w:t>1.颐康服务站实行普惠型收费，其中养老服务向导、文体活动、受委托的定期巡访等服务项目免费提供。</w:t>
      </w:r>
    </w:p>
    <w:p w14:paraId="43CEA255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ind w:left="0" w:right="0" w:firstLine="640" w:firstLineChars="200"/>
        <w:textAlignment w:val="baseline"/>
        <w:rPr>
          <w:rFonts w:hint="eastAsia" w:ascii="仿宋_GB2312" w:hAnsi="仿宋_GB2312" w:eastAsia="仿宋_GB2312" w:cs="仿宋_GB2312"/>
          <w:snapToGrid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/>
          <w:color w:val="000000"/>
          <w:kern w:val="2"/>
          <w:sz w:val="32"/>
          <w:szCs w:val="32"/>
          <w:lang w:val="en-US" w:eastAsia="zh-CN" w:bidi="ar-SA"/>
        </w:rPr>
        <w:t>2.颐康服务站运营方应主动公开服务项目和收费标准，张贴在服务场所醒目位置，接受民政、价格、市场监管等部门和社会公众的监督。</w:t>
      </w:r>
    </w:p>
    <w:p w14:paraId="5B22BC38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ind w:left="0" w:right="0" w:firstLine="640" w:firstLineChars="200"/>
        <w:textAlignment w:val="baseline"/>
        <w:rPr>
          <w:rFonts w:hint="eastAsia" w:ascii="仿宋_GB2312" w:hAnsi="仿宋_GB2312" w:eastAsia="仿宋_GB2312" w:cs="仿宋_GB2312"/>
          <w:snapToGrid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/>
          <w:color w:val="000000"/>
          <w:kern w:val="2"/>
          <w:sz w:val="32"/>
          <w:szCs w:val="32"/>
          <w:lang w:val="en-US" w:eastAsia="zh-CN" w:bidi="ar-SA"/>
        </w:rPr>
        <w:t>3.颐康服务站运营方要设立日常经费开支记录和明细账簿，服务项目、收费标准等必须公开张贴，收支情况每3个月公示一次，接受社会监督。</w:t>
      </w:r>
    </w:p>
    <w:p w14:paraId="23E7A44C">
      <w:pPr>
        <w:keepNext w:val="0"/>
        <w:keepLines w:val="0"/>
        <w:pageBreakBefore w:val="0"/>
        <w:wordWrap/>
        <w:topLinePunct w:val="0"/>
        <w:bidi w:val="0"/>
        <w:spacing w:line="5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E5FE41A">
      <w:pPr>
        <w:tabs>
          <w:tab w:val="left" w:pos="7666"/>
        </w:tabs>
        <w:bidi w:val="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footerReference r:id="rId5" w:type="default"/>
      <w:pgSz w:w="11906" w:h="16838"/>
      <w:pgMar w:top="2098" w:right="1474" w:bottom="1984" w:left="1587" w:header="851" w:footer="992" w:gutter="0"/>
      <w:pgNumType w:fmt="decimal" w:start="1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CF82EA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81392C4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81392C4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DCB2C7B"/>
    <w:multiLevelType w:val="singleLevel"/>
    <w:tmpl w:val="4DCB2C7B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A1MDY0YTNlNGZmZDkzNjU3NDYwZjllNjJjNjRiZGIifQ=="/>
  </w:docVars>
  <w:rsids>
    <w:rsidRoot w:val="6661636D"/>
    <w:rsid w:val="0498671B"/>
    <w:rsid w:val="0A7B5778"/>
    <w:rsid w:val="166167A3"/>
    <w:rsid w:val="2D7359BE"/>
    <w:rsid w:val="349D7135"/>
    <w:rsid w:val="4475215D"/>
    <w:rsid w:val="55417FE8"/>
    <w:rsid w:val="626A3683"/>
    <w:rsid w:val="64C77473"/>
    <w:rsid w:val="6661636D"/>
    <w:rsid w:val="68D07184"/>
    <w:rsid w:val="78C23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qFormat/>
    <w:uiPriority w:val="0"/>
    <w:pPr>
      <w:spacing w:before="100" w:beforeLines="0" w:beforeAutospacing="1" w:after="100" w:afterLines="0" w:afterAutospacing="1"/>
      <w:ind w:left="200" w:leftChars="200"/>
    </w:pPr>
    <w:rPr>
      <w:rFonts w:ascii="Times New Roman" w:hAnsi="Times New Roman" w:cs="宋体"/>
      <w:szCs w:val="21"/>
    </w:rPr>
  </w:style>
  <w:style w:type="paragraph" w:styleId="3">
    <w:name w:val="Body Text"/>
    <w:basedOn w:val="1"/>
    <w:semiHidden/>
    <w:qFormat/>
    <w:uiPriority w:val="0"/>
    <w:rPr>
      <w:rFonts w:ascii="仿宋" w:hAnsi="仿宋" w:eastAsia="仿宋" w:cs="仿宋"/>
      <w:sz w:val="35"/>
      <w:szCs w:val="35"/>
      <w:lang w:val="en-US" w:eastAsia="en-US" w:bidi="ar-SA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844</Words>
  <Characters>853</Characters>
  <Lines>0</Lines>
  <Paragraphs>0</Paragraphs>
  <TotalTime>39</TotalTime>
  <ScaleCrop>false</ScaleCrop>
  <LinksUpToDate>false</LinksUpToDate>
  <CharactersWithSpaces>853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2024-07-30T02:02:00Z</dcterms:created>
  <dc:creator>WPS_1481901525</dc:creator>
  <cp:lastModifiedBy>饭要趁热吃</cp:lastModifiedBy>
  <cp:lastPrinted>2025-11-14T10:03:00Z</cp:lastPrinted>
  <dcterms:modified xsi:type="dcterms:W3CDTF">2025-11-18T06:15:59Z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51759D72B90144958B0B6DFC14C18962_13</vt:lpwstr>
  </property>
  <property fmtid="{D5CDD505-2E9C-101B-9397-08002B2CF9AE}" pid="4" name="KSOTemplateDocerSaveRecord">
    <vt:lpwstr>eyJoZGlkIjoiMjA1MDY0YTNlNGZmZDkzNjU3NDYwZjllNjJjNjRiZGIiLCJ1c2VySWQiOiI0ODcyOTgwMjgifQ==</vt:lpwstr>
  </property>
</Properties>
</file>