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val="0"/>
        <w:kinsoku/>
        <w:wordWrap/>
        <w:overflowPunct/>
        <w:topLinePunct w:val="0"/>
        <w:autoSpaceDE/>
        <w:autoSpaceDN/>
        <w:bidi w:val="0"/>
        <w:adjustRightInd/>
        <w:snapToGrid/>
        <w:spacing w:before="0" w:line="570" w:lineRule="exact"/>
        <w:jc w:val="center"/>
        <w:textAlignment w:val="auto"/>
        <w:rPr>
          <w:rFonts w:hint="eastAsia" w:ascii="Times New Roman" w:hAnsi="Times New Roman" w:eastAsia="方正小标宋简体" w:cs="Times New Roman"/>
          <w:b w:val="0"/>
          <w:bCs w:val="0"/>
          <w:color w:val="auto"/>
          <w:kern w:val="2"/>
          <w:sz w:val="44"/>
          <w:szCs w:val="44"/>
          <w:lang w:val="en-US" w:eastAsia="zh-CN"/>
        </w:rPr>
      </w:pPr>
      <w:bookmarkStart w:id="0" w:name="_Toc15423"/>
      <w:bookmarkStart w:id="288" w:name="_GoBack"/>
      <w:bookmarkEnd w:id="288"/>
      <w:r>
        <w:rPr>
          <w:rFonts w:hint="default" w:ascii="Times New Roman" w:hAnsi="Times New Roman" w:eastAsia="方正小标宋简体" w:cs="Times New Roman"/>
          <w:b w:val="0"/>
          <w:bCs w:val="0"/>
          <w:color w:val="auto"/>
          <w:kern w:val="2"/>
          <w:sz w:val="44"/>
          <w:szCs w:val="44"/>
          <w:lang w:val="zh-CN"/>
        </w:rPr>
        <w:t>广州市增城区自然灾害救助应急预案</w:t>
      </w:r>
      <w:r>
        <w:rPr>
          <w:rFonts w:hint="eastAsia" w:ascii="Times New Roman" w:hAnsi="Times New Roman" w:eastAsia="方正小标宋简体" w:cs="Times New Roman"/>
          <w:b w:val="0"/>
          <w:bCs w:val="0"/>
          <w:color w:val="auto"/>
          <w:kern w:val="2"/>
          <w:sz w:val="44"/>
          <w:szCs w:val="44"/>
          <w:lang w:val="zh-CN"/>
        </w:rPr>
        <w:t>（</w:t>
      </w:r>
      <w:r>
        <w:rPr>
          <w:rFonts w:hint="eastAsia" w:ascii="Times New Roman" w:hAnsi="Times New Roman" w:eastAsia="方正小标宋简体" w:cs="Times New Roman"/>
          <w:b w:val="0"/>
          <w:bCs w:val="0"/>
          <w:color w:val="auto"/>
          <w:kern w:val="2"/>
          <w:sz w:val="44"/>
          <w:szCs w:val="44"/>
          <w:lang w:val="en-US" w:eastAsia="zh-CN"/>
        </w:rPr>
        <w:t>修订）</w:t>
      </w:r>
    </w:p>
    <w:bookmarkEnd w:id="0"/>
    <w:p>
      <w:pPr>
        <w:keepNext w:val="0"/>
        <w:keepLines w:val="0"/>
        <w:pageBreakBefore w:val="0"/>
        <w:widowControl w:val="0"/>
        <w:kinsoku/>
        <w:overflowPunct/>
        <w:topLinePunct w:val="0"/>
        <w:autoSpaceDE/>
        <w:autoSpaceDN/>
        <w:bidi w:val="0"/>
        <w:adjustRightInd/>
        <w:snapToGrid/>
        <w:spacing w:before="0" w:line="570" w:lineRule="exact"/>
        <w:ind w:left="0" w:leftChars="0" w:right="0" w:rightChars="0" w:firstLine="0" w:firstLineChars="0"/>
        <w:jc w:val="center"/>
        <w:textAlignment w:val="auto"/>
        <w:rPr>
          <w:rFonts w:hint="eastAsia" w:ascii="黑体" w:hAnsi="黑体" w:eastAsia="黑体" w:cs="黑体"/>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570" w:lineRule="exact"/>
        <w:ind w:left="0" w:leftChars="0" w:right="0" w:rightChars="0" w:firstLine="0" w:firstLineChars="0"/>
        <w:jc w:val="center"/>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目  录</w:t>
      </w:r>
    </w:p>
    <w:p>
      <w:pPr>
        <w:pStyle w:val="2"/>
        <w:keepNext w:val="0"/>
        <w:keepLines w:val="0"/>
        <w:pageBreakBefore w:val="0"/>
        <w:widowControl/>
        <w:kinsoku/>
        <w:wordWrap/>
        <w:overflowPunct/>
        <w:topLinePunct w:val="0"/>
        <w:autoSpaceDE/>
        <w:autoSpaceDN/>
        <w:bidi w:val="0"/>
        <w:adjustRightInd/>
        <w:snapToGrid/>
        <w:spacing w:after="0" w:line="570" w:lineRule="exact"/>
        <w:ind w:left="221"/>
        <w:textAlignment w:val="auto"/>
        <w:rPr>
          <w:rFonts w:hint="eastAsia"/>
          <w:lang w:val="en-US" w:eastAsia="zh-CN"/>
        </w:rPr>
      </w:pPr>
    </w:p>
    <w:p>
      <w:pPr>
        <w:pStyle w:val="11"/>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 w:val="21"/>
          <w:szCs w:val="22"/>
          <w:lang w:val="en-US" w:eastAsia="en-US" w:bidi="ar-SA"/>
        </w:rPr>
        <w:fldChar w:fldCharType="begin"/>
      </w:r>
      <w:r>
        <w:rPr>
          <w:rFonts w:ascii="宋体" w:hAnsi="宋体" w:eastAsia="宋体" w:cs="Times New Roman"/>
          <w:color w:val="auto"/>
          <w:kern w:val="2"/>
          <w:sz w:val="21"/>
          <w:szCs w:val="22"/>
          <w:lang w:val="en-US" w:eastAsia="en-US" w:bidi="ar-SA"/>
        </w:rPr>
        <w:instrText xml:space="preserve">TOC \o "1-2" \h \u </w:instrText>
      </w:r>
      <w:r>
        <w:rPr>
          <w:rFonts w:ascii="宋体" w:hAnsi="宋体" w:eastAsia="宋体" w:cs="Times New Roman"/>
          <w:color w:val="auto"/>
          <w:kern w:val="2"/>
          <w:sz w:val="21"/>
          <w:szCs w:val="22"/>
          <w:lang w:val="en-US" w:eastAsia="en-US" w:bidi="ar-SA"/>
        </w:rPr>
        <w:fldChar w:fldCharType="separate"/>
      </w: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_Toc16518 </w:instrText>
      </w:r>
      <w:r>
        <w:rPr>
          <w:rFonts w:ascii="宋体" w:hAnsi="宋体" w:eastAsia="宋体" w:cs="Times New Roman"/>
          <w:kern w:val="2"/>
          <w:szCs w:val="22"/>
          <w:lang w:val="en-US" w:eastAsia="en-US" w:bidi="ar-SA"/>
        </w:rPr>
        <w:fldChar w:fldCharType="separate"/>
      </w:r>
      <w:r>
        <w:rPr>
          <w:rFonts w:hint="eastAsia" w:ascii="Times New Roman" w:hAnsi="Times New Roman" w:eastAsia="黑体" w:cs="黑体"/>
          <w:bCs w:val="0"/>
          <w:kern w:val="2"/>
          <w:szCs w:val="32"/>
          <w:lang w:eastAsia="zh-CN"/>
        </w:rPr>
        <w:t>1</w:t>
      </w:r>
      <w:r>
        <w:rPr>
          <w:rFonts w:hint="eastAsia" w:ascii="黑体" w:hAnsi="黑体" w:eastAsia="黑体" w:cs="黑体"/>
          <w:bCs/>
          <w:snapToGrid/>
          <w:kern w:val="2"/>
          <w:highlight w:val="none"/>
        </w:rPr>
        <w:t>.</w:t>
      </w:r>
      <w:r>
        <w:rPr>
          <w:rFonts w:hint="eastAsia" w:ascii="黑体" w:hAnsi="黑体" w:eastAsia="黑体" w:cs="黑体"/>
          <w:bCs w:val="0"/>
          <w:kern w:val="2"/>
          <w:szCs w:val="32"/>
          <w:lang w:eastAsia="zh-CN"/>
        </w:rPr>
        <w:t>总则</w:t>
      </w:r>
      <w:r>
        <w:tab/>
      </w:r>
      <w:r>
        <w:fldChar w:fldCharType="begin"/>
      </w:r>
      <w:r>
        <w:instrText xml:space="preserve"> PAGEREF _Toc16518 \h </w:instrText>
      </w:r>
      <w:r>
        <w:fldChar w:fldCharType="separate"/>
      </w:r>
      <w:r>
        <w:t>5</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_Toc3571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eastAsia="zh-CN"/>
        </w:rPr>
        <w:t>1</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1</w:t>
      </w:r>
      <w:r>
        <w:rPr>
          <w:rFonts w:hint="eastAsia" w:ascii="楷体_GB2312" w:hAnsi="楷体_GB2312" w:eastAsia="楷体_GB2312" w:cs="楷体_GB2312"/>
          <w:bCs w:val="0"/>
          <w:kern w:val="2"/>
          <w:szCs w:val="32"/>
          <w:lang w:eastAsia="zh-CN"/>
        </w:rPr>
        <w:t>编制目的</w:t>
      </w:r>
      <w:r>
        <w:tab/>
      </w:r>
      <w:r>
        <w:fldChar w:fldCharType="begin"/>
      </w:r>
      <w:r>
        <w:instrText xml:space="preserve"> PAGEREF _Toc3571 \h </w:instrText>
      </w:r>
      <w:r>
        <w:fldChar w:fldCharType="separate"/>
      </w:r>
      <w:r>
        <w:t>5</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_Toc28435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eastAsia="zh-CN"/>
        </w:rPr>
        <w:t>1</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val="en-US" w:eastAsia="zh-CN"/>
        </w:rPr>
        <w:t>2</w:t>
      </w:r>
      <w:r>
        <w:rPr>
          <w:rFonts w:hint="eastAsia" w:ascii="楷体_GB2312" w:hAnsi="楷体_GB2312" w:eastAsia="楷体_GB2312" w:cs="楷体_GB2312"/>
          <w:bCs w:val="0"/>
          <w:kern w:val="2"/>
          <w:szCs w:val="32"/>
          <w:lang w:eastAsia="zh-CN"/>
        </w:rPr>
        <w:t>编制依据</w:t>
      </w:r>
      <w:r>
        <w:tab/>
      </w:r>
      <w:r>
        <w:fldChar w:fldCharType="begin"/>
      </w:r>
      <w:r>
        <w:instrText xml:space="preserve"> PAGEREF _Toc28435 \h </w:instrText>
      </w:r>
      <w:r>
        <w:fldChar w:fldCharType="separate"/>
      </w:r>
      <w:r>
        <w:t>5</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_Toc30701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eastAsia="zh-CN"/>
        </w:rPr>
        <w:t>1</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val="en-US" w:eastAsia="zh-CN"/>
        </w:rPr>
        <w:t>3</w:t>
      </w:r>
      <w:r>
        <w:rPr>
          <w:rFonts w:hint="eastAsia" w:ascii="楷体_GB2312" w:hAnsi="楷体_GB2312" w:eastAsia="楷体_GB2312" w:cs="楷体_GB2312"/>
          <w:bCs w:val="0"/>
          <w:kern w:val="2"/>
          <w:szCs w:val="32"/>
          <w:lang w:eastAsia="zh-CN"/>
        </w:rPr>
        <w:t>适用范围</w:t>
      </w:r>
      <w:r>
        <w:tab/>
      </w:r>
      <w:r>
        <w:fldChar w:fldCharType="begin"/>
      </w:r>
      <w:r>
        <w:instrText xml:space="preserve"> PAGEREF _Toc30701 \h </w:instrText>
      </w:r>
      <w:r>
        <w:fldChar w:fldCharType="separate"/>
      </w:r>
      <w:r>
        <w:t>5</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_Toc32610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eastAsia="zh-CN"/>
        </w:rPr>
        <w:t>1</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4</w:t>
      </w:r>
      <w:r>
        <w:rPr>
          <w:rFonts w:hint="eastAsia" w:ascii="楷体_GB2312" w:hAnsi="楷体_GB2312" w:eastAsia="楷体_GB2312" w:cs="楷体_GB2312"/>
          <w:bCs w:val="0"/>
          <w:kern w:val="2"/>
          <w:szCs w:val="32"/>
          <w:lang w:eastAsia="zh-CN"/>
        </w:rPr>
        <w:t>工作原则</w:t>
      </w:r>
      <w:r>
        <w:tab/>
      </w:r>
      <w:r>
        <w:fldChar w:fldCharType="begin"/>
      </w:r>
      <w:r>
        <w:instrText xml:space="preserve"> PAGEREF _Toc32610 \h </w:instrText>
      </w:r>
      <w:r>
        <w:fldChar w:fldCharType="separate"/>
      </w:r>
      <w:r>
        <w:t>6</w:t>
      </w:r>
      <w:r>
        <w:fldChar w:fldCharType="end"/>
      </w:r>
      <w:r>
        <w:rPr>
          <w:rFonts w:ascii="宋体" w:hAnsi="宋体" w:eastAsia="宋体" w:cs="Times New Roman"/>
          <w:color w:val="auto"/>
          <w:kern w:val="2"/>
          <w:szCs w:val="22"/>
          <w:lang w:val="en-US" w:eastAsia="en-US" w:bidi="ar-SA"/>
        </w:rPr>
        <w:fldChar w:fldCharType="end"/>
      </w:r>
    </w:p>
    <w:p>
      <w:pPr>
        <w:pStyle w:val="11"/>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_Toc20204 </w:instrText>
      </w:r>
      <w:r>
        <w:rPr>
          <w:rFonts w:ascii="宋体" w:hAnsi="宋体" w:eastAsia="宋体" w:cs="Times New Roman"/>
          <w:kern w:val="2"/>
          <w:szCs w:val="22"/>
          <w:lang w:val="en-US" w:eastAsia="en-US" w:bidi="ar-SA"/>
        </w:rPr>
        <w:fldChar w:fldCharType="separate"/>
      </w:r>
      <w:r>
        <w:rPr>
          <w:rFonts w:hint="eastAsia" w:ascii="Times New Roman" w:hAnsi="Times New Roman" w:eastAsia="黑体" w:cs="黑体"/>
          <w:bCs w:val="0"/>
          <w:kern w:val="2"/>
          <w:szCs w:val="32"/>
          <w:lang w:val="en-US" w:eastAsia="zh-CN"/>
        </w:rPr>
        <w:t>2</w:t>
      </w:r>
      <w:r>
        <w:rPr>
          <w:rFonts w:hint="eastAsia" w:ascii="黑体" w:hAnsi="黑体" w:eastAsia="黑体" w:cs="黑体"/>
          <w:bCs/>
          <w:snapToGrid/>
          <w:kern w:val="2"/>
          <w:highlight w:val="none"/>
        </w:rPr>
        <w:t>.</w:t>
      </w:r>
      <w:r>
        <w:rPr>
          <w:rFonts w:hint="eastAsia" w:ascii="黑体" w:hAnsi="黑体" w:eastAsia="黑体" w:cs="黑体"/>
          <w:bCs w:val="0"/>
          <w:kern w:val="2"/>
          <w:szCs w:val="32"/>
          <w:lang w:val="en-US" w:eastAsia="zh-CN"/>
        </w:rPr>
        <w:t>区域灾害风险特征与防控重点</w:t>
      </w:r>
      <w:r>
        <w:tab/>
      </w:r>
      <w:r>
        <w:fldChar w:fldCharType="begin"/>
      </w:r>
      <w:r>
        <w:instrText xml:space="preserve"> PAGEREF _Toc20204 \h </w:instrText>
      </w:r>
      <w:r>
        <w:fldChar w:fldCharType="separate"/>
      </w:r>
      <w:r>
        <w:t>6</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_Toc2753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2</w:t>
      </w:r>
      <w:r>
        <w:rPr>
          <w:rFonts w:hint="eastAsia" w:ascii="楷体_GB2312" w:hAnsi="楷体_GB2312" w:eastAsia="楷体_GB2312" w:cs="楷体_GB2312"/>
          <w:bCs w:val="0"/>
          <w:kern w:val="2"/>
          <w:szCs w:val="32"/>
          <w:lang w:val="en-US" w:eastAsia="zh-CN"/>
        </w:rPr>
        <w:t>.</w:t>
      </w:r>
      <w:r>
        <w:rPr>
          <w:rFonts w:hint="eastAsia" w:ascii="Times New Roman" w:hAnsi="Times New Roman" w:eastAsia="楷体_GB2312" w:cs="楷体_GB2312"/>
          <w:bCs w:val="0"/>
          <w:kern w:val="2"/>
          <w:szCs w:val="32"/>
          <w:lang w:val="en-US" w:eastAsia="zh-CN"/>
        </w:rPr>
        <w:t>1</w:t>
      </w:r>
      <w:r>
        <w:rPr>
          <w:rFonts w:hint="eastAsia" w:ascii="楷体_GB2312" w:hAnsi="楷体_GB2312" w:eastAsia="楷体_GB2312" w:cs="楷体_GB2312"/>
          <w:bCs w:val="0"/>
          <w:kern w:val="2"/>
          <w:szCs w:val="32"/>
          <w:lang w:val="en-US" w:eastAsia="zh-CN"/>
        </w:rPr>
        <w:t>区域灾害风险特征</w:t>
      </w:r>
      <w:r>
        <w:tab/>
      </w:r>
      <w:r>
        <w:fldChar w:fldCharType="begin"/>
      </w:r>
      <w:r>
        <w:instrText xml:space="preserve"> PAGEREF _Toc2753 \h </w:instrText>
      </w:r>
      <w:r>
        <w:fldChar w:fldCharType="separate"/>
      </w:r>
      <w:r>
        <w:t>6</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_Toc854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2</w:t>
      </w:r>
      <w:r>
        <w:rPr>
          <w:rFonts w:hint="eastAsia" w:ascii="楷体_GB2312" w:hAnsi="楷体_GB2312" w:eastAsia="楷体_GB2312" w:cs="楷体_GB2312"/>
          <w:bCs w:val="0"/>
          <w:kern w:val="2"/>
          <w:szCs w:val="32"/>
          <w:lang w:val="en-US" w:eastAsia="zh-CN"/>
        </w:rPr>
        <w:t>.</w:t>
      </w:r>
      <w:r>
        <w:rPr>
          <w:rFonts w:hint="eastAsia" w:ascii="Times New Roman" w:hAnsi="Times New Roman" w:eastAsia="楷体_GB2312" w:cs="楷体_GB2312"/>
          <w:bCs w:val="0"/>
          <w:kern w:val="2"/>
          <w:szCs w:val="32"/>
          <w:lang w:val="en-US" w:eastAsia="zh-CN"/>
        </w:rPr>
        <w:t>2</w:t>
      </w:r>
      <w:r>
        <w:rPr>
          <w:rFonts w:hint="eastAsia" w:ascii="楷体_GB2312" w:hAnsi="楷体_GB2312" w:eastAsia="楷体_GB2312" w:cs="楷体_GB2312"/>
          <w:bCs w:val="0"/>
          <w:kern w:val="2"/>
          <w:szCs w:val="32"/>
          <w:lang w:val="en-US" w:eastAsia="zh-CN"/>
        </w:rPr>
        <w:t>高频灾害防控重点</w:t>
      </w:r>
      <w:r>
        <w:tab/>
      </w:r>
      <w:r>
        <w:fldChar w:fldCharType="begin"/>
      </w:r>
      <w:r>
        <w:instrText xml:space="preserve"> PAGEREF _Toc854 \h </w:instrText>
      </w:r>
      <w:r>
        <w:fldChar w:fldCharType="separate"/>
      </w:r>
      <w:r>
        <w:t>7</w:t>
      </w:r>
      <w:r>
        <w:fldChar w:fldCharType="end"/>
      </w:r>
      <w:r>
        <w:rPr>
          <w:rFonts w:ascii="宋体" w:hAnsi="宋体" w:eastAsia="宋体" w:cs="Times New Roman"/>
          <w:color w:val="auto"/>
          <w:kern w:val="2"/>
          <w:szCs w:val="22"/>
          <w:lang w:val="en-US" w:eastAsia="en-US" w:bidi="ar-SA"/>
        </w:rPr>
        <w:fldChar w:fldCharType="end"/>
      </w:r>
    </w:p>
    <w:p>
      <w:pPr>
        <w:pStyle w:val="11"/>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_Toc21259 </w:instrText>
      </w:r>
      <w:r>
        <w:rPr>
          <w:rFonts w:ascii="宋体" w:hAnsi="宋体" w:eastAsia="宋体" w:cs="Times New Roman"/>
          <w:kern w:val="2"/>
          <w:szCs w:val="22"/>
          <w:lang w:val="en-US" w:eastAsia="en-US" w:bidi="ar-SA"/>
        </w:rPr>
        <w:fldChar w:fldCharType="separate"/>
      </w:r>
      <w:r>
        <w:rPr>
          <w:rFonts w:hint="eastAsia" w:ascii="Times New Roman" w:hAnsi="Times New Roman" w:eastAsia="黑体" w:cs="黑体"/>
          <w:bCs w:val="0"/>
          <w:kern w:val="2"/>
          <w:szCs w:val="32"/>
          <w:lang w:val="en-US" w:eastAsia="zh-CN"/>
        </w:rPr>
        <w:t>3</w:t>
      </w:r>
      <w:r>
        <w:rPr>
          <w:rFonts w:hint="eastAsia" w:ascii="黑体" w:hAnsi="黑体" w:eastAsia="黑体" w:cs="黑体"/>
          <w:bCs/>
          <w:snapToGrid/>
          <w:kern w:val="2"/>
          <w:highlight w:val="none"/>
        </w:rPr>
        <w:t>.</w:t>
      </w:r>
      <w:r>
        <w:rPr>
          <w:rFonts w:hint="eastAsia" w:ascii="黑体" w:hAnsi="黑体" w:eastAsia="黑体" w:cs="黑体"/>
          <w:bCs w:val="0"/>
          <w:kern w:val="2"/>
          <w:szCs w:val="32"/>
          <w:lang w:eastAsia="zh-CN"/>
        </w:rPr>
        <w:t>组织体系</w:t>
      </w:r>
      <w:r>
        <w:rPr>
          <w:rFonts w:hint="eastAsia" w:ascii="黑体" w:hAnsi="黑体" w:eastAsia="黑体" w:cs="黑体"/>
          <w:bCs w:val="0"/>
          <w:kern w:val="2"/>
          <w:szCs w:val="32"/>
          <w:lang w:val="en-US" w:eastAsia="zh-CN"/>
        </w:rPr>
        <w:t>与基层职责</w:t>
      </w:r>
      <w:r>
        <w:tab/>
      </w:r>
      <w:r>
        <w:fldChar w:fldCharType="begin"/>
      </w:r>
      <w:r>
        <w:instrText xml:space="preserve"> PAGEREF _Toc21259 \h </w:instrText>
      </w:r>
      <w:r>
        <w:fldChar w:fldCharType="separate"/>
      </w:r>
      <w:r>
        <w:t>7</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_Toc15998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3</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1</w:t>
      </w:r>
      <w:r>
        <w:rPr>
          <w:rFonts w:hint="eastAsia" w:ascii="楷体_GB2312" w:hAnsi="楷体_GB2312" w:eastAsia="楷体_GB2312" w:cs="楷体_GB2312"/>
          <w:bCs w:val="0"/>
          <w:kern w:val="2"/>
          <w:szCs w:val="32"/>
          <w:lang w:eastAsia="zh-CN"/>
        </w:rPr>
        <w:t>区减灾委</w:t>
      </w:r>
      <w:r>
        <w:rPr>
          <w:rFonts w:hint="eastAsia" w:ascii="楷体_GB2312" w:hAnsi="楷体_GB2312" w:eastAsia="楷体_GB2312" w:cs="楷体_GB2312"/>
          <w:bCs w:val="0"/>
          <w:kern w:val="2"/>
          <w:szCs w:val="32"/>
          <w:lang w:val="en-US" w:eastAsia="zh-CN"/>
        </w:rPr>
        <w:t>及相关部门</w:t>
      </w:r>
      <w:r>
        <w:tab/>
      </w:r>
      <w:r>
        <w:fldChar w:fldCharType="begin"/>
      </w:r>
      <w:r>
        <w:instrText xml:space="preserve"> PAGEREF _Toc15998 \h </w:instrText>
      </w:r>
      <w:r>
        <w:fldChar w:fldCharType="separate"/>
      </w:r>
      <w:r>
        <w:t>7</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_Toc6048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3</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2</w:t>
      </w:r>
      <w:r>
        <w:rPr>
          <w:rFonts w:hint="eastAsia" w:ascii="楷体_GB2312" w:hAnsi="楷体_GB2312" w:eastAsia="楷体_GB2312" w:cs="楷体_GB2312"/>
          <w:bCs w:val="0"/>
          <w:kern w:val="2"/>
          <w:szCs w:val="32"/>
          <w:lang w:val="en-US" w:eastAsia="zh-CN"/>
        </w:rPr>
        <w:t>区减灾委员会办公室职责</w:t>
      </w:r>
      <w:r>
        <w:tab/>
      </w:r>
      <w:r>
        <w:fldChar w:fldCharType="begin"/>
      </w:r>
      <w:r>
        <w:instrText xml:space="preserve"> PAGEREF _Toc6048 \h </w:instrText>
      </w:r>
      <w:r>
        <w:fldChar w:fldCharType="separate"/>
      </w:r>
      <w:r>
        <w:t>13</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_Toc30772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3</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val="en-US" w:eastAsia="zh-CN"/>
        </w:rPr>
        <w:t>3</w:t>
      </w:r>
      <w:r>
        <w:rPr>
          <w:rFonts w:hint="eastAsia" w:ascii="楷体_GB2312" w:hAnsi="楷体_GB2312" w:eastAsia="楷体_GB2312" w:cs="楷体_GB2312"/>
          <w:bCs w:val="0"/>
          <w:kern w:val="2"/>
          <w:szCs w:val="32"/>
          <w:lang w:val="en-US" w:eastAsia="zh-CN"/>
        </w:rPr>
        <w:t>镇（街）职责</w:t>
      </w:r>
      <w:r>
        <w:tab/>
      </w:r>
      <w:r>
        <w:fldChar w:fldCharType="begin"/>
      </w:r>
      <w:r>
        <w:instrText xml:space="preserve"> PAGEREF _Toc30772 \h </w:instrText>
      </w:r>
      <w:r>
        <w:fldChar w:fldCharType="separate"/>
      </w:r>
      <w:r>
        <w:t>14</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_Toc5949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3</w:t>
      </w:r>
      <w:r>
        <w:rPr>
          <w:rFonts w:hint="eastAsia" w:ascii="楷体_GB2312" w:hAnsi="楷体_GB2312" w:eastAsia="楷体_GB2312" w:cs="楷体_GB2312"/>
          <w:bCs w:val="0"/>
          <w:kern w:val="2"/>
          <w:szCs w:val="32"/>
          <w:lang w:val="en-US" w:eastAsia="zh-CN"/>
        </w:rPr>
        <w:t>.</w:t>
      </w:r>
      <w:r>
        <w:rPr>
          <w:rFonts w:hint="eastAsia" w:ascii="Times New Roman" w:hAnsi="Times New Roman" w:eastAsia="楷体_GB2312" w:cs="楷体_GB2312"/>
          <w:bCs w:val="0"/>
          <w:kern w:val="2"/>
          <w:szCs w:val="32"/>
          <w:lang w:val="en-US" w:eastAsia="zh-CN"/>
        </w:rPr>
        <w:t>4</w:t>
      </w:r>
      <w:r>
        <w:rPr>
          <w:rFonts w:hint="eastAsia" w:ascii="楷体_GB2312" w:hAnsi="楷体_GB2312" w:eastAsia="楷体_GB2312" w:cs="楷体_GB2312"/>
          <w:bCs w:val="0"/>
          <w:kern w:val="2"/>
          <w:szCs w:val="32"/>
          <w:lang w:val="en-US" w:eastAsia="zh-CN"/>
        </w:rPr>
        <w:t>村（社区）职责</w:t>
      </w:r>
      <w:r>
        <w:tab/>
      </w:r>
      <w:r>
        <w:fldChar w:fldCharType="begin"/>
      </w:r>
      <w:r>
        <w:instrText xml:space="preserve"> PAGEREF _Toc5949 \h </w:instrText>
      </w:r>
      <w:r>
        <w:fldChar w:fldCharType="separate"/>
      </w:r>
      <w:r>
        <w:t>14</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_Toc10694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3</w:t>
      </w:r>
      <w:r>
        <w:rPr>
          <w:rFonts w:hint="eastAsia" w:ascii="楷体_GB2312" w:hAnsi="楷体_GB2312" w:eastAsia="楷体_GB2312" w:cs="楷体_GB2312"/>
          <w:bCs w:val="0"/>
          <w:kern w:val="2"/>
          <w:szCs w:val="32"/>
          <w:lang w:val="en-US" w:eastAsia="zh-CN"/>
        </w:rPr>
        <w:t>.</w:t>
      </w:r>
      <w:r>
        <w:rPr>
          <w:rFonts w:hint="eastAsia" w:ascii="Times New Roman" w:hAnsi="Times New Roman" w:eastAsia="楷体_GB2312" w:cs="楷体_GB2312"/>
          <w:bCs w:val="0"/>
          <w:kern w:val="2"/>
          <w:szCs w:val="32"/>
          <w:lang w:val="en-US" w:eastAsia="zh-CN"/>
        </w:rPr>
        <w:t>5</w:t>
      </w:r>
      <w:r>
        <w:rPr>
          <w:rFonts w:hint="eastAsia" w:ascii="楷体_GB2312" w:hAnsi="楷体_GB2312" w:eastAsia="楷体_GB2312" w:cs="楷体_GB2312"/>
          <w:bCs w:val="0"/>
          <w:kern w:val="2"/>
          <w:szCs w:val="32"/>
          <w:lang w:eastAsia="zh-CN"/>
        </w:rPr>
        <w:t>专家组</w:t>
      </w:r>
      <w:r>
        <w:tab/>
      </w:r>
      <w:r>
        <w:fldChar w:fldCharType="begin"/>
      </w:r>
      <w:r>
        <w:instrText xml:space="preserve"> PAGEREF _Toc10694 \h </w:instrText>
      </w:r>
      <w:r>
        <w:fldChar w:fldCharType="separate"/>
      </w:r>
      <w:r>
        <w:t>14</w:t>
      </w:r>
      <w:r>
        <w:fldChar w:fldCharType="end"/>
      </w:r>
      <w:r>
        <w:rPr>
          <w:rFonts w:ascii="宋体" w:hAnsi="宋体" w:eastAsia="宋体" w:cs="Times New Roman"/>
          <w:color w:val="auto"/>
          <w:kern w:val="2"/>
          <w:szCs w:val="22"/>
          <w:lang w:val="en-US" w:eastAsia="en-US" w:bidi="ar-SA"/>
        </w:rPr>
        <w:fldChar w:fldCharType="end"/>
      </w:r>
    </w:p>
    <w:p>
      <w:pPr>
        <w:pStyle w:val="11"/>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_Toc19820 </w:instrText>
      </w:r>
      <w:r>
        <w:rPr>
          <w:rFonts w:ascii="宋体" w:hAnsi="宋体" w:eastAsia="宋体" w:cs="Times New Roman"/>
          <w:kern w:val="2"/>
          <w:szCs w:val="22"/>
          <w:lang w:val="en-US" w:eastAsia="en-US" w:bidi="ar-SA"/>
        </w:rPr>
        <w:fldChar w:fldCharType="separate"/>
      </w:r>
      <w:r>
        <w:rPr>
          <w:rFonts w:hint="eastAsia" w:ascii="Times New Roman" w:hAnsi="Times New Roman" w:eastAsia="黑体" w:cs="黑体"/>
          <w:bCs w:val="0"/>
          <w:kern w:val="2"/>
          <w:szCs w:val="32"/>
          <w:lang w:val="en-US" w:eastAsia="zh-CN"/>
        </w:rPr>
        <w:t>4</w:t>
      </w:r>
      <w:r>
        <w:rPr>
          <w:rFonts w:hint="eastAsia" w:ascii="黑体" w:hAnsi="黑体" w:eastAsia="黑体" w:cs="黑体"/>
          <w:bCs/>
          <w:snapToGrid/>
          <w:kern w:val="2"/>
          <w:highlight w:val="none"/>
        </w:rPr>
        <w:t>.</w:t>
      </w:r>
      <w:r>
        <w:rPr>
          <w:rFonts w:hint="eastAsia" w:ascii="黑体" w:hAnsi="黑体" w:eastAsia="黑体" w:cs="黑体"/>
          <w:bCs w:val="0"/>
          <w:kern w:val="2"/>
          <w:szCs w:val="32"/>
          <w:lang w:eastAsia="zh-CN"/>
        </w:rPr>
        <w:t>预警</w:t>
      </w:r>
      <w:r>
        <w:rPr>
          <w:rFonts w:hint="eastAsia" w:ascii="黑体" w:hAnsi="黑体" w:eastAsia="黑体" w:cs="黑体"/>
          <w:bCs w:val="0"/>
          <w:kern w:val="2"/>
          <w:szCs w:val="32"/>
          <w:lang w:val="en-US" w:eastAsia="zh-CN"/>
        </w:rPr>
        <w:t>与响应</w:t>
      </w:r>
      <w:r>
        <w:tab/>
      </w:r>
      <w:r>
        <w:fldChar w:fldCharType="begin"/>
      </w:r>
      <w:r>
        <w:instrText xml:space="preserve"> PAGEREF _Toc19820 \h </w:instrText>
      </w:r>
      <w:r>
        <w:fldChar w:fldCharType="separate"/>
      </w:r>
      <w:r>
        <w:t>15</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_Toc4646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4</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val="en-US" w:eastAsia="zh-CN"/>
        </w:rPr>
        <w:t>1</w:t>
      </w:r>
      <w:r>
        <w:rPr>
          <w:rFonts w:hint="eastAsia" w:ascii="楷体_GB2312" w:hAnsi="楷体_GB2312" w:eastAsia="楷体_GB2312" w:cs="楷体_GB2312"/>
          <w:bCs w:val="0"/>
          <w:kern w:val="2"/>
          <w:szCs w:val="32"/>
          <w:lang w:eastAsia="zh-CN"/>
        </w:rPr>
        <w:t>预警</w:t>
      </w:r>
      <w:r>
        <w:rPr>
          <w:rFonts w:hint="eastAsia" w:ascii="楷体_GB2312" w:hAnsi="楷体_GB2312" w:eastAsia="楷体_GB2312" w:cs="楷体_GB2312"/>
          <w:bCs w:val="0"/>
          <w:kern w:val="2"/>
          <w:szCs w:val="32"/>
          <w:lang w:val="en-US" w:eastAsia="zh-CN"/>
        </w:rPr>
        <w:t>预报</w:t>
      </w:r>
      <w:r>
        <w:tab/>
      </w:r>
      <w:r>
        <w:fldChar w:fldCharType="begin"/>
      </w:r>
      <w:r>
        <w:instrText xml:space="preserve"> PAGEREF _Toc4646 \h </w:instrText>
      </w:r>
      <w:r>
        <w:fldChar w:fldCharType="separate"/>
      </w:r>
      <w:r>
        <w:t>15</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_Toc12455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4</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val="en-US" w:eastAsia="zh-CN"/>
        </w:rPr>
        <w:t>2</w:t>
      </w:r>
      <w:r>
        <w:rPr>
          <w:rFonts w:hint="eastAsia" w:ascii="楷体_GB2312" w:hAnsi="楷体_GB2312" w:eastAsia="楷体_GB2312" w:cs="楷体_GB2312"/>
          <w:bCs w:val="0"/>
          <w:kern w:val="2"/>
          <w:szCs w:val="32"/>
          <w:lang w:val="en-US" w:eastAsia="zh-CN"/>
        </w:rPr>
        <w:t>预警响应</w:t>
      </w:r>
      <w:r>
        <w:tab/>
      </w:r>
      <w:r>
        <w:fldChar w:fldCharType="begin"/>
      </w:r>
      <w:r>
        <w:instrText xml:space="preserve"> PAGEREF _Toc12455 \h </w:instrText>
      </w:r>
      <w:r>
        <w:fldChar w:fldCharType="separate"/>
      </w:r>
      <w:r>
        <w:t>15</w:t>
      </w:r>
      <w:r>
        <w:fldChar w:fldCharType="end"/>
      </w:r>
      <w:r>
        <w:rPr>
          <w:rFonts w:ascii="宋体" w:hAnsi="宋体" w:eastAsia="宋体" w:cs="Times New Roman"/>
          <w:color w:val="auto"/>
          <w:kern w:val="2"/>
          <w:szCs w:val="22"/>
          <w:lang w:val="en-US" w:eastAsia="en-US" w:bidi="ar-SA"/>
        </w:rPr>
        <w:fldChar w:fldCharType="end"/>
      </w:r>
    </w:p>
    <w:p>
      <w:pPr>
        <w:pStyle w:val="11"/>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_Toc23562 </w:instrText>
      </w:r>
      <w:r>
        <w:rPr>
          <w:rFonts w:ascii="宋体" w:hAnsi="宋体" w:eastAsia="宋体" w:cs="Times New Roman"/>
          <w:kern w:val="2"/>
          <w:szCs w:val="22"/>
          <w:lang w:val="en-US" w:eastAsia="en-US" w:bidi="ar-SA"/>
        </w:rPr>
        <w:fldChar w:fldCharType="separate"/>
      </w:r>
      <w:r>
        <w:rPr>
          <w:rFonts w:hint="eastAsia" w:ascii="Times New Roman" w:hAnsi="Times New Roman" w:eastAsia="黑体" w:cs="黑体"/>
          <w:bCs w:val="0"/>
          <w:kern w:val="2"/>
          <w:szCs w:val="32"/>
          <w:lang w:val="en-US" w:eastAsia="zh-CN"/>
        </w:rPr>
        <w:t>5</w:t>
      </w:r>
      <w:r>
        <w:rPr>
          <w:rFonts w:hint="eastAsia" w:ascii="黑体" w:hAnsi="黑体" w:eastAsia="黑体" w:cs="黑体"/>
          <w:bCs/>
          <w:snapToGrid/>
          <w:kern w:val="2"/>
          <w:highlight w:val="none"/>
        </w:rPr>
        <w:t>.</w:t>
      </w:r>
      <w:r>
        <w:rPr>
          <w:rFonts w:hint="eastAsia" w:ascii="黑体" w:hAnsi="黑体" w:eastAsia="黑体" w:cs="黑体"/>
          <w:bCs w:val="0"/>
          <w:kern w:val="2"/>
          <w:szCs w:val="32"/>
          <w:lang w:val="en-US" w:eastAsia="zh-CN"/>
        </w:rPr>
        <w:t>分级</w:t>
      </w:r>
      <w:r>
        <w:rPr>
          <w:rFonts w:hint="eastAsia" w:ascii="黑体" w:hAnsi="黑体" w:eastAsia="黑体" w:cs="黑体"/>
          <w:bCs w:val="0"/>
          <w:kern w:val="2"/>
          <w:szCs w:val="32"/>
          <w:lang w:eastAsia="zh-CN"/>
        </w:rPr>
        <w:t>应急响应</w:t>
      </w:r>
      <w:r>
        <w:tab/>
      </w:r>
      <w:r>
        <w:fldChar w:fldCharType="begin"/>
      </w:r>
      <w:r>
        <w:instrText xml:space="preserve"> PAGEREF _Toc23562 \h </w:instrText>
      </w:r>
      <w:r>
        <w:fldChar w:fldCharType="separate"/>
      </w:r>
      <w:r>
        <w:t>16</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_Toc7779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5</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1</w:t>
      </w:r>
      <w:r>
        <w:rPr>
          <w:rFonts w:hint="eastAsia" w:ascii="楷体_GB2312" w:hAnsi="楷体_GB2312" w:eastAsia="楷体_GB2312" w:cs="楷体_GB2312"/>
          <w:bCs w:val="0"/>
          <w:kern w:val="2"/>
          <w:szCs w:val="32"/>
          <w:lang w:eastAsia="zh-CN"/>
        </w:rPr>
        <w:t>Ⅳ级响应</w:t>
      </w:r>
      <w:r>
        <w:tab/>
      </w:r>
      <w:r>
        <w:fldChar w:fldCharType="begin"/>
      </w:r>
      <w:r>
        <w:instrText xml:space="preserve"> PAGEREF _Toc7779 \h </w:instrText>
      </w:r>
      <w:r>
        <w:fldChar w:fldCharType="separate"/>
      </w:r>
      <w:r>
        <w:t>16</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_Toc5275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5</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2</w:t>
      </w:r>
      <w:r>
        <w:rPr>
          <w:rFonts w:hint="eastAsia" w:ascii="楷体_GB2312" w:hAnsi="楷体_GB2312" w:eastAsia="楷体_GB2312" w:cs="楷体_GB2312"/>
          <w:bCs w:val="0"/>
          <w:kern w:val="2"/>
          <w:szCs w:val="32"/>
          <w:lang w:eastAsia="zh-CN"/>
        </w:rPr>
        <w:t>Ⅲ级响应</w:t>
      </w:r>
      <w:r>
        <w:tab/>
      </w:r>
      <w:r>
        <w:fldChar w:fldCharType="begin"/>
      </w:r>
      <w:r>
        <w:instrText xml:space="preserve"> PAGEREF _Toc5275 \h </w:instrText>
      </w:r>
      <w:r>
        <w:fldChar w:fldCharType="separate"/>
      </w:r>
      <w:r>
        <w:t>18</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_Toc6552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5</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3</w:t>
      </w:r>
      <w:r>
        <w:rPr>
          <w:rFonts w:hint="eastAsia" w:ascii="楷体_GB2312" w:hAnsi="楷体_GB2312" w:eastAsia="楷体_GB2312" w:cs="楷体_GB2312"/>
          <w:bCs w:val="0"/>
          <w:kern w:val="2"/>
          <w:szCs w:val="32"/>
          <w:lang w:eastAsia="zh-CN"/>
        </w:rPr>
        <w:t>Ⅱ级响应</w:t>
      </w:r>
      <w:r>
        <w:tab/>
      </w:r>
      <w:r>
        <w:fldChar w:fldCharType="begin"/>
      </w:r>
      <w:r>
        <w:instrText xml:space="preserve"> PAGEREF _Toc6552 \h </w:instrText>
      </w:r>
      <w:r>
        <w:fldChar w:fldCharType="separate"/>
      </w:r>
      <w:r>
        <w:t>20</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_Toc23582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5</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4</w:t>
      </w:r>
      <w:r>
        <w:rPr>
          <w:rFonts w:hint="eastAsia" w:ascii="楷体_GB2312" w:hAnsi="楷体_GB2312" w:eastAsia="楷体_GB2312" w:cs="楷体_GB2312"/>
          <w:bCs w:val="0"/>
          <w:kern w:val="2"/>
          <w:szCs w:val="32"/>
          <w:lang w:eastAsia="zh-CN"/>
        </w:rPr>
        <w:t>Ⅰ级响应</w:t>
      </w:r>
      <w:r>
        <w:tab/>
      </w:r>
      <w:r>
        <w:fldChar w:fldCharType="begin"/>
      </w:r>
      <w:r>
        <w:instrText xml:space="preserve"> PAGEREF _Toc23582 \h </w:instrText>
      </w:r>
      <w:r>
        <w:fldChar w:fldCharType="separate"/>
      </w:r>
      <w:r>
        <w:t>22</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_Toc18500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5</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val="en-US" w:eastAsia="zh-CN"/>
        </w:rPr>
        <w:t>5</w:t>
      </w:r>
      <w:r>
        <w:rPr>
          <w:rFonts w:hint="eastAsia" w:ascii="楷体_GB2312" w:hAnsi="楷体_GB2312" w:eastAsia="楷体_GB2312" w:cs="楷体_GB2312"/>
          <w:bCs w:val="0"/>
          <w:kern w:val="2"/>
          <w:szCs w:val="32"/>
          <w:lang w:eastAsia="zh-CN"/>
        </w:rPr>
        <w:t>响应终止</w:t>
      </w:r>
      <w:r>
        <w:tab/>
      </w:r>
      <w:r>
        <w:fldChar w:fldCharType="begin"/>
      </w:r>
      <w:r>
        <w:instrText xml:space="preserve"> PAGEREF _Toc18500 \h </w:instrText>
      </w:r>
      <w:r>
        <w:fldChar w:fldCharType="separate"/>
      </w:r>
      <w:r>
        <w:t>24</w:t>
      </w:r>
      <w:r>
        <w:fldChar w:fldCharType="end"/>
      </w:r>
      <w:r>
        <w:rPr>
          <w:rFonts w:ascii="宋体" w:hAnsi="宋体" w:eastAsia="宋体" w:cs="Times New Roman"/>
          <w:color w:val="auto"/>
          <w:kern w:val="2"/>
          <w:szCs w:val="22"/>
          <w:lang w:val="en-US" w:eastAsia="en-US" w:bidi="ar-SA"/>
        </w:rPr>
        <w:fldChar w:fldCharType="end"/>
      </w:r>
    </w:p>
    <w:p>
      <w:pPr>
        <w:pStyle w:val="11"/>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_Toc12400 </w:instrText>
      </w:r>
      <w:r>
        <w:rPr>
          <w:rFonts w:ascii="宋体" w:hAnsi="宋体" w:eastAsia="宋体" w:cs="Times New Roman"/>
          <w:kern w:val="2"/>
          <w:szCs w:val="22"/>
          <w:lang w:val="en-US" w:eastAsia="en-US" w:bidi="ar-SA"/>
        </w:rPr>
        <w:fldChar w:fldCharType="separate"/>
      </w:r>
      <w:r>
        <w:rPr>
          <w:rFonts w:hint="eastAsia" w:ascii="Times New Roman" w:hAnsi="Times New Roman" w:eastAsia="黑体" w:cs="黑体"/>
          <w:bCs w:val="0"/>
          <w:kern w:val="2"/>
          <w:szCs w:val="32"/>
          <w:lang w:val="en-US" w:eastAsia="zh-CN"/>
        </w:rPr>
        <w:t>6</w:t>
      </w:r>
      <w:r>
        <w:rPr>
          <w:rFonts w:hint="eastAsia" w:ascii="黑体" w:hAnsi="黑体" w:eastAsia="黑体" w:cs="黑体"/>
          <w:bCs/>
          <w:snapToGrid/>
          <w:kern w:val="2"/>
          <w:highlight w:val="none"/>
        </w:rPr>
        <w:t>.</w:t>
      </w:r>
      <w:r>
        <w:rPr>
          <w:rFonts w:hint="eastAsia" w:ascii="黑体" w:hAnsi="黑体" w:eastAsia="黑体" w:cs="黑体"/>
          <w:bCs w:val="0"/>
          <w:kern w:val="2"/>
          <w:szCs w:val="32"/>
          <w:lang w:eastAsia="zh-CN"/>
        </w:rPr>
        <w:t>灾后救助与恢复重建</w:t>
      </w:r>
      <w:r>
        <w:tab/>
      </w:r>
      <w:r>
        <w:fldChar w:fldCharType="begin"/>
      </w:r>
      <w:r>
        <w:instrText xml:space="preserve"> PAGEREF _Toc12400 \h </w:instrText>
      </w:r>
      <w:r>
        <w:fldChar w:fldCharType="separate"/>
      </w:r>
      <w:r>
        <w:t>25</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_Toc916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6</w:t>
      </w:r>
      <w:r>
        <w:rPr>
          <w:rFonts w:hint="eastAsia" w:ascii="楷体_GB2312" w:hAnsi="楷体_GB2312" w:eastAsia="楷体_GB2312" w:cs="楷体_GB2312"/>
          <w:bCs w:val="0"/>
          <w:kern w:val="2"/>
          <w:szCs w:val="32"/>
          <w:lang w:val="en-US" w:eastAsia="zh-CN"/>
        </w:rPr>
        <w:t>.</w:t>
      </w:r>
      <w:r>
        <w:rPr>
          <w:rFonts w:hint="eastAsia" w:ascii="Times New Roman" w:hAnsi="Times New Roman" w:eastAsia="楷体_GB2312" w:cs="楷体_GB2312"/>
          <w:bCs w:val="0"/>
          <w:kern w:val="2"/>
          <w:szCs w:val="32"/>
          <w:lang w:val="en-US" w:eastAsia="zh-CN"/>
        </w:rPr>
        <w:t>1</w:t>
      </w:r>
      <w:r>
        <w:rPr>
          <w:rFonts w:hint="eastAsia" w:ascii="楷体_GB2312" w:hAnsi="楷体_GB2312" w:eastAsia="楷体_GB2312" w:cs="楷体_GB2312"/>
          <w:bCs w:val="0"/>
          <w:kern w:val="2"/>
          <w:szCs w:val="32"/>
          <w:lang w:val="en-US" w:eastAsia="zh-CN"/>
        </w:rPr>
        <w:t>过渡期生活救助</w:t>
      </w:r>
      <w:r>
        <w:tab/>
      </w:r>
      <w:r>
        <w:fldChar w:fldCharType="begin"/>
      </w:r>
      <w:r>
        <w:instrText xml:space="preserve"> PAGEREF _Toc916 \h </w:instrText>
      </w:r>
      <w:r>
        <w:fldChar w:fldCharType="separate"/>
      </w:r>
      <w:r>
        <w:t>25</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_Toc19230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6</w:t>
      </w:r>
      <w:r>
        <w:rPr>
          <w:rFonts w:hint="eastAsia" w:ascii="楷体_GB2312" w:hAnsi="楷体_GB2312" w:eastAsia="楷体_GB2312" w:cs="楷体_GB2312"/>
          <w:bCs w:val="0"/>
          <w:kern w:val="2"/>
          <w:szCs w:val="32"/>
          <w:lang w:val="en-US" w:eastAsia="zh-CN"/>
        </w:rPr>
        <w:t>.</w:t>
      </w:r>
      <w:r>
        <w:rPr>
          <w:rFonts w:hint="eastAsia" w:ascii="Times New Roman" w:hAnsi="Times New Roman" w:eastAsia="楷体_GB2312" w:cs="楷体_GB2312"/>
          <w:bCs w:val="0"/>
          <w:kern w:val="2"/>
          <w:szCs w:val="32"/>
          <w:lang w:val="en-US" w:eastAsia="zh-CN"/>
        </w:rPr>
        <w:t>2</w:t>
      </w:r>
      <w:r>
        <w:rPr>
          <w:rFonts w:hint="eastAsia" w:ascii="楷体_GB2312" w:hAnsi="楷体_GB2312" w:eastAsia="楷体_GB2312" w:cs="楷体_GB2312"/>
          <w:bCs w:val="0"/>
          <w:kern w:val="2"/>
          <w:szCs w:val="32"/>
          <w:lang w:val="en-US" w:eastAsia="zh-CN"/>
        </w:rPr>
        <w:t>冬春救助</w:t>
      </w:r>
      <w:r>
        <w:tab/>
      </w:r>
      <w:r>
        <w:fldChar w:fldCharType="begin"/>
      </w:r>
      <w:r>
        <w:instrText xml:space="preserve"> PAGEREF _Toc19230 \h </w:instrText>
      </w:r>
      <w:r>
        <w:fldChar w:fldCharType="separate"/>
      </w:r>
      <w:r>
        <w:t>25</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_Toc17866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6</w:t>
      </w:r>
      <w:r>
        <w:rPr>
          <w:rFonts w:hint="eastAsia" w:ascii="楷体_GB2312" w:hAnsi="楷体_GB2312" w:eastAsia="楷体_GB2312" w:cs="楷体_GB2312"/>
          <w:bCs w:val="0"/>
          <w:kern w:val="2"/>
          <w:szCs w:val="32"/>
          <w:lang w:val="en-US" w:eastAsia="zh-CN"/>
        </w:rPr>
        <w:t>.</w:t>
      </w:r>
      <w:r>
        <w:rPr>
          <w:rFonts w:hint="eastAsia" w:ascii="Times New Roman" w:hAnsi="Times New Roman" w:eastAsia="楷体_GB2312" w:cs="楷体_GB2312"/>
          <w:bCs w:val="0"/>
          <w:kern w:val="2"/>
          <w:szCs w:val="32"/>
          <w:lang w:val="en-US" w:eastAsia="zh-CN"/>
        </w:rPr>
        <w:t>3</w:t>
      </w:r>
      <w:r>
        <w:rPr>
          <w:rFonts w:hint="eastAsia" w:ascii="楷体_GB2312" w:hAnsi="楷体_GB2312" w:eastAsia="楷体_GB2312" w:cs="楷体_GB2312"/>
          <w:bCs w:val="0"/>
          <w:kern w:val="2"/>
          <w:szCs w:val="32"/>
          <w:lang w:val="en-US" w:eastAsia="zh-CN"/>
        </w:rPr>
        <w:t>倒损住房恢复重建</w:t>
      </w:r>
      <w:r>
        <w:tab/>
      </w:r>
      <w:r>
        <w:fldChar w:fldCharType="begin"/>
      </w:r>
      <w:r>
        <w:instrText xml:space="preserve"> PAGEREF _Toc17866 \h </w:instrText>
      </w:r>
      <w:r>
        <w:fldChar w:fldCharType="separate"/>
      </w:r>
      <w:r>
        <w:t>26</w:t>
      </w:r>
      <w:r>
        <w:fldChar w:fldCharType="end"/>
      </w:r>
      <w:r>
        <w:rPr>
          <w:rFonts w:ascii="宋体" w:hAnsi="宋体" w:eastAsia="宋体" w:cs="Times New Roman"/>
          <w:color w:val="auto"/>
          <w:kern w:val="2"/>
          <w:szCs w:val="22"/>
          <w:lang w:val="en-US" w:eastAsia="en-US" w:bidi="ar-SA"/>
        </w:rPr>
        <w:fldChar w:fldCharType="end"/>
      </w:r>
    </w:p>
    <w:p>
      <w:pPr>
        <w:pStyle w:val="11"/>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_Toc25945 </w:instrText>
      </w:r>
      <w:r>
        <w:rPr>
          <w:rFonts w:ascii="宋体" w:hAnsi="宋体" w:eastAsia="宋体" w:cs="Times New Roman"/>
          <w:kern w:val="2"/>
          <w:szCs w:val="22"/>
          <w:lang w:val="en-US" w:eastAsia="en-US" w:bidi="ar-SA"/>
        </w:rPr>
        <w:fldChar w:fldCharType="separate"/>
      </w:r>
      <w:r>
        <w:rPr>
          <w:rFonts w:hint="eastAsia" w:ascii="Times New Roman" w:hAnsi="Times New Roman" w:eastAsia="黑体" w:cs="黑体"/>
          <w:bCs w:val="0"/>
          <w:kern w:val="2"/>
          <w:szCs w:val="32"/>
          <w:lang w:val="en-US" w:eastAsia="zh-CN"/>
        </w:rPr>
        <w:t>7</w:t>
      </w:r>
      <w:r>
        <w:rPr>
          <w:rFonts w:hint="eastAsia" w:ascii="黑体" w:hAnsi="黑体" w:eastAsia="黑体" w:cs="黑体"/>
          <w:bCs/>
          <w:snapToGrid/>
          <w:kern w:val="2"/>
          <w:highlight w:val="none"/>
        </w:rPr>
        <w:t>.</w:t>
      </w:r>
      <w:r>
        <w:rPr>
          <w:rFonts w:hint="eastAsia" w:ascii="黑体" w:hAnsi="黑体" w:eastAsia="黑体" w:cs="黑体"/>
          <w:bCs w:val="0"/>
          <w:kern w:val="2"/>
          <w:szCs w:val="32"/>
          <w:lang w:val="en-US" w:eastAsia="zh-CN"/>
        </w:rPr>
        <w:t>信息报告和发布</w:t>
      </w:r>
      <w:r>
        <w:tab/>
      </w:r>
      <w:r>
        <w:fldChar w:fldCharType="begin"/>
      </w:r>
      <w:r>
        <w:instrText xml:space="preserve"> PAGEREF _Toc25945 \h </w:instrText>
      </w:r>
      <w:r>
        <w:fldChar w:fldCharType="separate"/>
      </w:r>
      <w:r>
        <w:t>27</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_Toc3495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7</w:t>
      </w:r>
      <w:r>
        <w:rPr>
          <w:rFonts w:hint="eastAsia" w:ascii="楷体_GB2312" w:hAnsi="楷体_GB2312" w:eastAsia="楷体_GB2312" w:cs="楷体_GB2312"/>
          <w:bCs w:val="0"/>
          <w:kern w:val="2"/>
          <w:szCs w:val="32"/>
          <w:lang w:val="en-US" w:eastAsia="zh-CN"/>
        </w:rPr>
        <w:t>.</w:t>
      </w:r>
      <w:r>
        <w:rPr>
          <w:rFonts w:hint="eastAsia" w:ascii="Times New Roman" w:hAnsi="Times New Roman" w:eastAsia="楷体_GB2312" w:cs="楷体_GB2312"/>
          <w:bCs w:val="0"/>
          <w:kern w:val="2"/>
          <w:szCs w:val="32"/>
          <w:lang w:val="en-US" w:eastAsia="zh-CN"/>
        </w:rPr>
        <w:t>1</w:t>
      </w:r>
      <w:r>
        <w:rPr>
          <w:rFonts w:hint="eastAsia" w:ascii="楷体_GB2312" w:hAnsi="楷体_GB2312" w:eastAsia="楷体_GB2312" w:cs="楷体_GB2312"/>
          <w:bCs w:val="0"/>
          <w:kern w:val="2"/>
          <w:szCs w:val="32"/>
          <w:lang w:val="en-US" w:eastAsia="zh-CN"/>
        </w:rPr>
        <w:t>信息报告</w:t>
      </w:r>
      <w:r>
        <w:tab/>
      </w:r>
      <w:r>
        <w:fldChar w:fldCharType="begin"/>
      </w:r>
      <w:r>
        <w:instrText xml:space="preserve"> PAGEREF _Toc3495 \h </w:instrText>
      </w:r>
      <w:r>
        <w:fldChar w:fldCharType="separate"/>
      </w:r>
      <w:r>
        <w:t>27</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_Toc7869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7</w:t>
      </w:r>
      <w:r>
        <w:rPr>
          <w:rFonts w:hint="eastAsia" w:ascii="楷体_GB2312" w:hAnsi="楷体_GB2312" w:eastAsia="楷体_GB2312" w:cs="楷体_GB2312"/>
          <w:bCs w:val="0"/>
          <w:kern w:val="2"/>
          <w:szCs w:val="32"/>
          <w:lang w:val="en-US" w:eastAsia="zh-CN"/>
        </w:rPr>
        <w:t>.</w:t>
      </w:r>
      <w:r>
        <w:rPr>
          <w:rFonts w:hint="eastAsia" w:ascii="Times New Roman" w:hAnsi="Times New Roman" w:eastAsia="楷体_GB2312" w:cs="楷体_GB2312"/>
          <w:bCs w:val="0"/>
          <w:kern w:val="2"/>
          <w:szCs w:val="32"/>
          <w:lang w:val="en-US" w:eastAsia="zh-CN"/>
        </w:rPr>
        <w:t>2</w:t>
      </w:r>
      <w:r>
        <w:rPr>
          <w:rFonts w:hint="eastAsia" w:ascii="楷体_GB2312" w:hAnsi="楷体_GB2312" w:eastAsia="楷体_GB2312" w:cs="楷体_GB2312"/>
          <w:bCs w:val="0"/>
          <w:kern w:val="2"/>
          <w:szCs w:val="32"/>
          <w:lang w:val="en-US" w:eastAsia="zh-CN"/>
        </w:rPr>
        <w:t>信息报告要求</w:t>
      </w:r>
      <w:r>
        <w:tab/>
      </w:r>
      <w:r>
        <w:fldChar w:fldCharType="begin"/>
      </w:r>
      <w:r>
        <w:instrText xml:space="preserve"> PAGEREF _Toc7869 \h </w:instrText>
      </w:r>
      <w:r>
        <w:fldChar w:fldCharType="separate"/>
      </w:r>
      <w:r>
        <w:t>29</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_Toc12460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7</w:t>
      </w:r>
      <w:r>
        <w:rPr>
          <w:rFonts w:hint="eastAsia" w:ascii="楷体_GB2312" w:hAnsi="楷体_GB2312" w:eastAsia="楷体_GB2312" w:cs="楷体_GB2312"/>
          <w:bCs w:val="0"/>
          <w:kern w:val="2"/>
          <w:szCs w:val="32"/>
          <w:lang w:val="en-US" w:eastAsia="zh-CN"/>
        </w:rPr>
        <w:t>.</w:t>
      </w:r>
      <w:r>
        <w:rPr>
          <w:rFonts w:hint="eastAsia" w:ascii="Times New Roman" w:hAnsi="Times New Roman" w:eastAsia="楷体_GB2312" w:cs="楷体_GB2312"/>
          <w:bCs w:val="0"/>
          <w:kern w:val="2"/>
          <w:szCs w:val="32"/>
          <w:lang w:val="en-US" w:eastAsia="zh-CN"/>
        </w:rPr>
        <w:t>3</w:t>
      </w:r>
      <w:r>
        <w:rPr>
          <w:rFonts w:hint="eastAsia" w:ascii="楷体_GB2312" w:hAnsi="楷体_GB2312" w:eastAsia="楷体_GB2312" w:cs="楷体_GB2312"/>
          <w:bCs w:val="0"/>
          <w:kern w:val="2"/>
          <w:szCs w:val="32"/>
          <w:lang w:val="en-US" w:eastAsia="zh-CN"/>
        </w:rPr>
        <w:t>信息发布</w:t>
      </w:r>
      <w:r>
        <w:tab/>
      </w:r>
      <w:r>
        <w:fldChar w:fldCharType="begin"/>
      </w:r>
      <w:r>
        <w:instrText xml:space="preserve"> PAGEREF _Toc12460 \h </w:instrText>
      </w:r>
      <w:r>
        <w:fldChar w:fldCharType="separate"/>
      </w:r>
      <w:r>
        <w:t>29</w:t>
      </w:r>
      <w:r>
        <w:fldChar w:fldCharType="end"/>
      </w:r>
      <w:r>
        <w:rPr>
          <w:rFonts w:ascii="宋体" w:hAnsi="宋体" w:eastAsia="宋体" w:cs="Times New Roman"/>
          <w:color w:val="auto"/>
          <w:kern w:val="2"/>
          <w:szCs w:val="22"/>
          <w:lang w:val="en-US" w:eastAsia="en-US" w:bidi="ar-SA"/>
        </w:rPr>
        <w:fldChar w:fldCharType="end"/>
      </w:r>
    </w:p>
    <w:p>
      <w:pPr>
        <w:pStyle w:val="11"/>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_Toc16822 </w:instrText>
      </w:r>
      <w:r>
        <w:rPr>
          <w:rFonts w:ascii="宋体" w:hAnsi="宋体" w:eastAsia="宋体" w:cs="Times New Roman"/>
          <w:kern w:val="2"/>
          <w:szCs w:val="22"/>
          <w:lang w:val="en-US" w:eastAsia="en-US" w:bidi="ar-SA"/>
        </w:rPr>
        <w:fldChar w:fldCharType="separate"/>
      </w:r>
      <w:r>
        <w:rPr>
          <w:rFonts w:hint="eastAsia" w:ascii="Times New Roman" w:hAnsi="Times New Roman" w:eastAsia="黑体" w:cs="黑体"/>
          <w:bCs w:val="0"/>
          <w:kern w:val="2"/>
          <w:szCs w:val="32"/>
          <w:lang w:val="en-US" w:eastAsia="zh-CN"/>
        </w:rPr>
        <w:t>8</w:t>
      </w:r>
      <w:r>
        <w:rPr>
          <w:rFonts w:hint="eastAsia" w:ascii="黑体" w:hAnsi="黑体" w:eastAsia="黑体" w:cs="黑体"/>
          <w:bCs/>
          <w:snapToGrid/>
          <w:kern w:val="2"/>
          <w:highlight w:val="none"/>
        </w:rPr>
        <w:t>.</w:t>
      </w:r>
      <w:r>
        <w:rPr>
          <w:rFonts w:hint="eastAsia" w:ascii="黑体" w:hAnsi="黑体" w:eastAsia="黑体" w:cs="黑体"/>
          <w:bCs w:val="0"/>
          <w:kern w:val="2"/>
          <w:szCs w:val="32"/>
          <w:lang w:eastAsia="zh-CN"/>
        </w:rPr>
        <w:t>保障措施</w:t>
      </w:r>
      <w:r>
        <w:tab/>
      </w:r>
      <w:r>
        <w:fldChar w:fldCharType="begin"/>
      </w:r>
      <w:r>
        <w:instrText xml:space="preserve"> PAGEREF _Toc16822 \h </w:instrText>
      </w:r>
      <w:r>
        <w:fldChar w:fldCharType="separate"/>
      </w:r>
      <w:r>
        <w:t>30</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_Toc14018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8</w:t>
      </w:r>
      <w:r>
        <w:rPr>
          <w:rFonts w:hint="eastAsia" w:ascii="楷体_GB2312" w:hAnsi="楷体_GB2312" w:eastAsia="楷体_GB2312" w:cs="楷体_GB2312"/>
          <w:bCs w:val="0"/>
          <w:kern w:val="2"/>
          <w:szCs w:val="32"/>
          <w:lang w:val="en-US" w:eastAsia="zh-CN"/>
        </w:rPr>
        <w:t>.</w:t>
      </w:r>
      <w:r>
        <w:rPr>
          <w:rFonts w:hint="eastAsia" w:ascii="Times New Roman" w:hAnsi="Times New Roman" w:eastAsia="楷体_GB2312" w:cs="楷体_GB2312"/>
          <w:bCs w:val="0"/>
          <w:kern w:val="2"/>
          <w:szCs w:val="32"/>
          <w:lang w:val="en-US" w:eastAsia="zh-CN"/>
        </w:rPr>
        <w:t>1</w:t>
      </w:r>
      <w:r>
        <w:rPr>
          <w:rFonts w:hint="eastAsia" w:ascii="楷体_GB2312" w:hAnsi="楷体_GB2312" w:eastAsia="楷体_GB2312" w:cs="楷体_GB2312"/>
          <w:bCs w:val="0"/>
          <w:kern w:val="2"/>
          <w:szCs w:val="32"/>
          <w:lang w:val="en-US" w:eastAsia="zh-CN"/>
        </w:rPr>
        <w:t>资金保障</w:t>
      </w:r>
      <w:r>
        <w:tab/>
      </w:r>
      <w:r>
        <w:fldChar w:fldCharType="begin"/>
      </w:r>
      <w:r>
        <w:instrText xml:space="preserve"> PAGEREF _Toc14018 \h </w:instrText>
      </w:r>
      <w:r>
        <w:fldChar w:fldCharType="separate"/>
      </w:r>
      <w:r>
        <w:t>30</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_Toc10515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8</w:t>
      </w:r>
      <w:r>
        <w:rPr>
          <w:rFonts w:hint="eastAsia" w:ascii="楷体_GB2312" w:hAnsi="楷体_GB2312" w:eastAsia="楷体_GB2312" w:cs="楷体_GB2312"/>
          <w:bCs w:val="0"/>
          <w:kern w:val="2"/>
          <w:szCs w:val="32"/>
          <w:lang w:val="en-US" w:eastAsia="zh-CN"/>
        </w:rPr>
        <w:t>.</w:t>
      </w:r>
      <w:r>
        <w:rPr>
          <w:rFonts w:hint="eastAsia" w:ascii="Times New Roman" w:hAnsi="Times New Roman" w:eastAsia="楷体_GB2312" w:cs="楷体_GB2312"/>
          <w:bCs w:val="0"/>
          <w:kern w:val="2"/>
          <w:szCs w:val="32"/>
          <w:lang w:val="en-US" w:eastAsia="zh-CN"/>
        </w:rPr>
        <w:t>2</w:t>
      </w:r>
      <w:r>
        <w:rPr>
          <w:rFonts w:hint="eastAsia" w:ascii="楷体_GB2312" w:hAnsi="楷体_GB2312" w:eastAsia="楷体_GB2312" w:cs="楷体_GB2312"/>
          <w:bCs w:val="0"/>
          <w:kern w:val="2"/>
          <w:szCs w:val="32"/>
          <w:lang w:eastAsia="zh-CN"/>
        </w:rPr>
        <w:t>人力保障</w:t>
      </w:r>
      <w:r>
        <w:tab/>
      </w:r>
      <w:r>
        <w:fldChar w:fldCharType="begin"/>
      </w:r>
      <w:r>
        <w:instrText xml:space="preserve"> PAGEREF _Toc10515 \h </w:instrText>
      </w:r>
      <w:r>
        <w:fldChar w:fldCharType="separate"/>
      </w:r>
      <w:r>
        <w:t>30</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_Toc16375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8</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3</w:t>
      </w:r>
      <w:r>
        <w:rPr>
          <w:rFonts w:hint="eastAsia" w:ascii="楷体_GB2312" w:hAnsi="楷体_GB2312" w:eastAsia="楷体_GB2312" w:cs="楷体_GB2312"/>
          <w:bCs w:val="0"/>
          <w:kern w:val="2"/>
          <w:szCs w:val="32"/>
          <w:lang w:eastAsia="zh-CN"/>
        </w:rPr>
        <w:t>物资保障</w:t>
      </w:r>
      <w:r>
        <w:tab/>
      </w:r>
      <w:r>
        <w:fldChar w:fldCharType="begin"/>
      </w:r>
      <w:r>
        <w:instrText xml:space="preserve"> PAGEREF _Toc16375 \h </w:instrText>
      </w:r>
      <w:r>
        <w:fldChar w:fldCharType="separate"/>
      </w:r>
      <w:r>
        <w:t>32</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_Toc19251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8</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val="en-US" w:eastAsia="zh-CN"/>
        </w:rPr>
        <w:t>4</w:t>
      </w:r>
      <w:r>
        <w:rPr>
          <w:rFonts w:hint="eastAsia" w:ascii="楷体_GB2312" w:hAnsi="楷体_GB2312" w:eastAsia="楷体_GB2312" w:cs="楷体_GB2312"/>
          <w:bCs w:val="0"/>
          <w:kern w:val="2"/>
          <w:szCs w:val="32"/>
          <w:lang w:eastAsia="zh-CN"/>
        </w:rPr>
        <w:t>联动保障</w:t>
      </w:r>
      <w:r>
        <w:tab/>
      </w:r>
      <w:r>
        <w:fldChar w:fldCharType="begin"/>
      </w:r>
      <w:r>
        <w:instrText xml:space="preserve"> PAGEREF _Toc19251 \h </w:instrText>
      </w:r>
      <w:r>
        <w:fldChar w:fldCharType="separate"/>
      </w:r>
      <w:r>
        <w:t>32</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_Toc11638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8</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val="en-US" w:eastAsia="zh-CN"/>
        </w:rPr>
        <w:t>5</w:t>
      </w:r>
      <w:r>
        <w:rPr>
          <w:rFonts w:hint="eastAsia" w:ascii="楷体_GB2312" w:hAnsi="楷体_GB2312" w:eastAsia="楷体_GB2312" w:cs="楷体_GB2312"/>
          <w:bCs w:val="0"/>
          <w:kern w:val="2"/>
          <w:szCs w:val="32"/>
          <w:lang w:eastAsia="zh-CN"/>
        </w:rPr>
        <w:t>设施保障</w:t>
      </w:r>
      <w:r>
        <w:tab/>
      </w:r>
      <w:r>
        <w:fldChar w:fldCharType="begin"/>
      </w:r>
      <w:r>
        <w:instrText xml:space="preserve"> PAGEREF _Toc11638 \h </w:instrText>
      </w:r>
      <w:r>
        <w:fldChar w:fldCharType="separate"/>
      </w:r>
      <w:r>
        <w:t>33</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_Toc24511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8</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val="en-US" w:eastAsia="zh-CN"/>
        </w:rPr>
        <w:t>6</w:t>
      </w:r>
      <w:r>
        <w:rPr>
          <w:rFonts w:hint="eastAsia" w:ascii="楷体_GB2312" w:hAnsi="楷体_GB2312" w:eastAsia="楷体_GB2312" w:cs="楷体_GB2312"/>
          <w:bCs w:val="0"/>
          <w:kern w:val="2"/>
          <w:szCs w:val="32"/>
          <w:lang w:eastAsia="zh-CN"/>
        </w:rPr>
        <w:t>交通保障</w:t>
      </w:r>
      <w:r>
        <w:tab/>
      </w:r>
      <w:r>
        <w:fldChar w:fldCharType="begin"/>
      </w:r>
      <w:r>
        <w:instrText xml:space="preserve"> PAGEREF _Toc24511 \h </w:instrText>
      </w:r>
      <w:r>
        <w:fldChar w:fldCharType="separate"/>
      </w:r>
      <w:r>
        <w:t>33</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_Toc20188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8</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val="en-US" w:eastAsia="zh-CN"/>
        </w:rPr>
        <w:t>7</w:t>
      </w:r>
      <w:r>
        <w:rPr>
          <w:rFonts w:hint="eastAsia" w:ascii="楷体_GB2312" w:hAnsi="楷体_GB2312" w:eastAsia="楷体_GB2312" w:cs="楷体_GB2312"/>
          <w:bCs w:val="0"/>
          <w:kern w:val="2"/>
          <w:szCs w:val="32"/>
          <w:lang w:eastAsia="zh-CN"/>
        </w:rPr>
        <w:t>通信保障</w:t>
      </w:r>
      <w:r>
        <w:tab/>
      </w:r>
      <w:r>
        <w:fldChar w:fldCharType="begin"/>
      </w:r>
      <w:r>
        <w:instrText xml:space="preserve"> PAGEREF _Toc20188 \h </w:instrText>
      </w:r>
      <w:r>
        <w:fldChar w:fldCharType="separate"/>
      </w:r>
      <w:r>
        <w:t>34</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_Toc31755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8</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val="en-US" w:eastAsia="zh-CN"/>
        </w:rPr>
        <w:t>8</w:t>
      </w:r>
      <w:r>
        <w:rPr>
          <w:rFonts w:hint="eastAsia" w:ascii="楷体_GB2312" w:hAnsi="楷体_GB2312" w:eastAsia="楷体_GB2312" w:cs="楷体_GB2312"/>
          <w:bCs w:val="0"/>
          <w:kern w:val="2"/>
          <w:szCs w:val="32"/>
          <w:lang w:eastAsia="zh-CN"/>
        </w:rPr>
        <w:t>动员保障</w:t>
      </w:r>
      <w:r>
        <w:tab/>
      </w:r>
      <w:r>
        <w:fldChar w:fldCharType="begin"/>
      </w:r>
      <w:r>
        <w:instrText xml:space="preserve"> PAGEREF _Toc31755 \h </w:instrText>
      </w:r>
      <w:r>
        <w:fldChar w:fldCharType="separate"/>
      </w:r>
      <w:r>
        <w:t>34</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_Toc8089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8</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val="en-US" w:eastAsia="zh-CN"/>
        </w:rPr>
        <w:t>9</w:t>
      </w:r>
      <w:r>
        <w:rPr>
          <w:rFonts w:hint="eastAsia" w:ascii="楷体_GB2312" w:hAnsi="楷体_GB2312" w:eastAsia="楷体_GB2312" w:cs="楷体_GB2312"/>
          <w:bCs w:val="0"/>
          <w:kern w:val="2"/>
          <w:szCs w:val="32"/>
          <w:lang w:eastAsia="zh-CN"/>
        </w:rPr>
        <w:t>科技保障</w:t>
      </w:r>
      <w:r>
        <w:tab/>
      </w:r>
      <w:r>
        <w:fldChar w:fldCharType="begin"/>
      </w:r>
      <w:r>
        <w:instrText xml:space="preserve"> PAGEREF _Toc8089 \h </w:instrText>
      </w:r>
      <w:r>
        <w:fldChar w:fldCharType="separate"/>
      </w:r>
      <w:r>
        <w:t>35</w:t>
      </w:r>
      <w:r>
        <w:fldChar w:fldCharType="end"/>
      </w:r>
      <w:r>
        <w:rPr>
          <w:rFonts w:ascii="宋体" w:hAnsi="宋体" w:eastAsia="宋体" w:cs="Times New Roman"/>
          <w:color w:val="auto"/>
          <w:kern w:val="2"/>
          <w:szCs w:val="22"/>
          <w:lang w:val="en-US" w:eastAsia="en-US" w:bidi="ar-SA"/>
        </w:rPr>
        <w:fldChar w:fldCharType="end"/>
      </w:r>
    </w:p>
    <w:p>
      <w:pPr>
        <w:pStyle w:val="11"/>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_Toc9102 </w:instrText>
      </w:r>
      <w:r>
        <w:rPr>
          <w:rFonts w:ascii="宋体" w:hAnsi="宋体" w:eastAsia="宋体" w:cs="Times New Roman"/>
          <w:kern w:val="2"/>
          <w:szCs w:val="22"/>
          <w:lang w:val="en-US" w:eastAsia="en-US" w:bidi="ar-SA"/>
        </w:rPr>
        <w:fldChar w:fldCharType="separate"/>
      </w:r>
      <w:r>
        <w:rPr>
          <w:rFonts w:hint="eastAsia" w:ascii="Times New Roman" w:hAnsi="Times New Roman" w:eastAsia="黑体" w:cs="黑体"/>
          <w:bCs w:val="0"/>
          <w:kern w:val="2"/>
          <w:szCs w:val="32"/>
          <w:lang w:val="en-US" w:eastAsia="zh-CN"/>
        </w:rPr>
        <w:t>9</w:t>
      </w:r>
      <w:r>
        <w:rPr>
          <w:rFonts w:hint="eastAsia" w:ascii="黑体" w:hAnsi="黑体" w:eastAsia="黑体" w:cs="黑体"/>
          <w:bCs/>
          <w:snapToGrid/>
          <w:kern w:val="2"/>
          <w:highlight w:val="none"/>
        </w:rPr>
        <w:t>.</w:t>
      </w:r>
      <w:r>
        <w:rPr>
          <w:rFonts w:hint="eastAsia" w:ascii="黑体" w:hAnsi="黑体" w:eastAsia="黑体" w:cs="黑体"/>
          <w:bCs w:val="0"/>
          <w:kern w:val="2"/>
          <w:szCs w:val="32"/>
          <w:lang w:eastAsia="zh-CN"/>
        </w:rPr>
        <w:t>监督管理</w:t>
      </w:r>
      <w:r>
        <w:tab/>
      </w:r>
      <w:r>
        <w:fldChar w:fldCharType="begin"/>
      </w:r>
      <w:r>
        <w:instrText xml:space="preserve"> PAGEREF _Toc9102 \h </w:instrText>
      </w:r>
      <w:r>
        <w:fldChar w:fldCharType="separate"/>
      </w:r>
      <w:r>
        <w:t>35</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_Toc15363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9</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1</w:t>
      </w:r>
      <w:r>
        <w:rPr>
          <w:rFonts w:hint="eastAsia" w:ascii="楷体_GB2312" w:hAnsi="楷体_GB2312" w:eastAsia="楷体_GB2312" w:cs="楷体_GB2312"/>
          <w:bCs w:val="0"/>
          <w:kern w:val="2"/>
          <w:szCs w:val="32"/>
          <w:lang w:eastAsia="zh-CN"/>
        </w:rPr>
        <w:t>预案演练</w:t>
      </w:r>
      <w:r>
        <w:tab/>
      </w:r>
      <w:r>
        <w:fldChar w:fldCharType="begin"/>
      </w:r>
      <w:r>
        <w:instrText xml:space="preserve"> PAGEREF _Toc15363 \h </w:instrText>
      </w:r>
      <w:r>
        <w:fldChar w:fldCharType="separate"/>
      </w:r>
      <w:r>
        <w:t>35</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_Toc29974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9</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2</w:t>
      </w:r>
      <w:r>
        <w:rPr>
          <w:rFonts w:hint="eastAsia" w:ascii="楷体_GB2312" w:hAnsi="楷体_GB2312" w:eastAsia="楷体_GB2312" w:cs="楷体_GB2312"/>
          <w:bCs w:val="0"/>
          <w:kern w:val="2"/>
          <w:szCs w:val="32"/>
          <w:lang w:eastAsia="zh-CN"/>
        </w:rPr>
        <w:t>宣教培训</w:t>
      </w:r>
      <w:r>
        <w:tab/>
      </w:r>
      <w:r>
        <w:fldChar w:fldCharType="begin"/>
      </w:r>
      <w:r>
        <w:instrText xml:space="preserve"> PAGEREF _Toc29974 \h </w:instrText>
      </w:r>
      <w:r>
        <w:fldChar w:fldCharType="separate"/>
      </w:r>
      <w:r>
        <w:t>36</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_Toc13372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9</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3</w:t>
      </w:r>
      <w:r>
        <w:rPr>
          <w:rFonts w:hint="eastAsia" w:ascii="楷体_GB2312" w:hAnsi="楷体_GB2312" w:eastAsia="楷体_GB2312" w:cs="楷体_GB2312"/>
          <w:bCs w:val="0"/>
          <w:kern w:val="2"/>
          <w:szCs w:val="32"/>
          <w:lang w:eastAsia="zh-CN"/>
        </w:rPr>
        <w:t>预案评估与修订</w:t>
      </w:r>
      <w:r>
        <w:tab/>
      </w:r>
      <w:r>
        <w:fldChar w:fldCharType="begin"/>
      </w:r>
      <w:r>
        <w:instrText xml:space="preserve"> PAGEREF _Toc13372 \h </w:instrText>
      </w:r>
      <w:r>
        <w:fldChar w:fldCharType="separate"/>
      </w:r>
      <w:r>
        <w:t>36</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_Toc8864 </w:instrText>
      </w:r>
      <w:r>
        <w:rPr>
          <w:rFonts w:ascii="宋体" w:hAnsi="宋体" w:eastAsia="宋体" w:cs="Times New Roman"/>
          <w:kern w:val="2"/>
          <w:szCs w:val="22"/>
          <w:lang w:val="en-US" w:eastAsia="en-US" w:bidi="ar-SA"/>
        </w:rPr>
        <w:fldChar w:fldCharType="separate"/>
      </w:r>
      <w:r>
        <w:rPr>
          <w:rFonts w:hint="eastAsia" w:ascii="Times New Roman" w:hAnsi="Times New Roman" w:eastAsia="楷体_GB2312" w:cs="楷体_GB2312"/>
          <w:bCs w:val="0"/>
          <w:kern w:val="2"/>
          <w:szCs w:val="32"/>
          <w:lang w:val="en-US" w:eastAsia="zh-CN"/>
        </w:rPr>
        <w:t>9</w:t>
      </w:r>
      <w:r>
        <w:rPr>
          <w:rFonts w:hint="eastAsia" w:ascii="楷体_GB2312" w:hAnsi="楷体_GB2312" w:eastAsia="楷体_GB2312" w:cs="楷体_GB2312"/>
          <w:bCs w:val="0"/>
          <w:kern w:val="2"/>
          <w:szCs w:val="32"/>
          <w:lang w:eastAsia="zh-CN"/>
        </w:rPr>
        <w:t>.</w:t>
      </w:r>
      <w:r>
        <w:rPr>
          <w:rFonts w:hint="eastAsia" w:ascii="Times New Roman" w:hAnsi="Times New Roman" w:eastAsia="楷体_GB2312" w:cs="楷体_GB2312"/>
          <w:bCs w:val="0"/>
          <w:kern w:val="2"/>
          <w:szCs w:val="32"/>
          <w:lang w:eastAsia="zh-CN"/>
        </w:rPr>
        <w:t>4</w:t>
      </w:r>
      <w:r>
        <w:rPr>
          <w:rFonts w:hint="eastAsia" w:ascii="楷体_GB2312" w:hAnsi="楷体_GB2312" w:eastAsia="楷体_GB2312" w:cs="楷体_GB2312"/>
          <w:bCs w:val="0"/>
          <w:kern w:val="2"/>
          <w:szCs w:val="32"/>
          <w:lang w:eastAsia="zh-CN"/>
        </w:rPr>
        <w:t>责任与奖惩</w:t>
      </w:r>
      <w:r>
        <w:tab/>
      </w:r>
      <w:r>
        <w:fldChar w:fldCharType="begin"/>
      </w:r>
      <w:r>
        <w:instrText xml:space="preserve"> PAGEREF _Toc8864 \h </w:instrText>
      </w:r>
      <w:r>
        <w:fldChar w:fldCharType="separate"/>
      </w:r>
      <w:r>
        <w:t>37</w:t>
      </w:r>
      <w:r>
        <w:fldChar w:fldCharType="end"/>
      </w:r>
      <w:r>
        <w:rPr>
          <w:rFonts w:ascii="宋体" w:hAnsi="宋体" w:eastAsia="宋体" w:cs="Times New Roman"/>
          <w:color w:val="auto"/>
          <w:kern w:val="2"/>
          <w:szCs w:val="22"/>
          <w:lang w:val="en-US" w:eastAsia="en-US" w:bidi="ar-SA"/>
        </w:rPr>
        <w:fldChar w:fldCharType="end"/>
      </w:r>
    </w:p>
    <w:p>
      <w:pPr>
        <w:pStyle w:val="11"/>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_Toc21282 </w:instrText>
      </w:r>
      <w:r>
        <w:rPr>
          <w:rFonts w:ascii="宋体" w:hAnsi="宋体" w:eastAsia="宋体" w:cs="Times New Roman"/>
          <w:kern w:val="2"/>
          <w:szCs w:val="22"/>
          <w:lang w:val="en-US" w:eastAsia="en-US" w:bidi="ar-SA"/>
        </w:rPr>
        <w:fldChar w:fldCharType="separate"/>
      </w:r>
      <w:r>
        <w:rPr>
          <w:rFonts w:hint="eastAsia" w:ascii="Times New Roman" w:hAnsi="Times New Roman" w:eastAsia="黑体" w:cs="黑体"/>
          <w:bCs w:val="0"/>
          <w:kern w:val="2"/>
          <w:szCs w:val="32"/>
          <w:lang w:val="en-US" w:eastAsia="zh-CN"/>
        </w:rPr>
        <w:t>10</w:t>
      </w:r>
      <w:r>
        <w:rPr>
          <w:rFonts w:hint="eastAsia" w:ascii="黑体" w:hAnsi="黑体" w:eastAsia="黑体" w:cs="黑体"/>
          <w:bCs/>
          <w:snapToGrid/>
          <w:kern w:val="2"/>
          <w:highlight w:val="none"/>
        </w:rPr>
        <w:t>.</w:t>
      </w:r>
      <w:r>
        <w:rPr>
          <w:rFonts w:hint="eastAsia" w:ascii="黑体" w:hAnsi="黑体" w:eastAsia="黑体" w:cs="黑体"/>
          <w:bCs w:val="0"/>
          <w:kern w:val="2"/>
          <w:szCs w:val="32"/>
          <w:lang w:eastAsia="zh-CN"/>
        </w:rPr>
        <w:t>附则</w:t>
      </w:r>
      <w:r>
        <w:tab/>
      </w:r>
      <w:r>
        <w:fldChar w:fldCharType="begin"/>
      </w:r>
      <w:r>
        <w:instrText xml:space="preserve"> PAGEREF _Toc21282 \h </w:instrText>
      </w:r>
      <w:r>
        <w:fldChar w:fldCharType="separate"/>
      </w:r>
      <w:r>
        <w:t>37</w:t>
      </w:r>
      <w:r>
        <w:fldChar w:fldCharType="end"/>
      </w:r>
      <w:r>
        <w:rPr>
          <w:rFonts w:ascii="宋体" w:hAnsi="宋体" w:eastAsia="宋体" w:cs="Times New Roman"/>
          <w:color w:val="auto"/>
          <w:kern w:val="2"/>
          <w:szCs w:val="22"/>
          <w:lang w:val="en-US" w:eastAsia="en-US" w:bidi="ar-SA"/>
        </w:rPr>
        <w:fldChar w:fldCharType="end"/>
      </w:r>
    </w:p>
    <w:p>
      <w:pPr>
        <w:pStyle w:val="11"/>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_Toc4354 </w:instrText>
      </w:r>
      <w:r>
        <w:rPr>
          <w:rFonts w:ascii="宋体" w:hAnsi="宋体" w:eastAsia="宋体" w:cs="Times New Roman"/>
          <w:kern w:val="2"/>
          <w:szCs w:val="22"/>
          <w:lang w:val="en-US" w:eastAsia="en-US" w:bidi="ar-SA"/>
        </w:rPr>
        <w:fldChar w:fldCharType="separate"/>
      </w:r>
      <w:r>
        <w:rPr>
          <w:rFonts w:hint="default" w:ascii="Times New Roman" w:hAnsi="Times New Roman" w:eastAsia="黑体" w:cs="黑体"/>
          <w:bCs w:val="0"/>
          <w:kern w:val="2"/>
          <w:szCs w:val="32"/>
          <w:lang w:val="en-US" w:eastAsia="zh-CN"/>
        </w:rPr>
        <w:t>1</w:t>
      </w:r>
      <w:r>
        <w:rPr>
          <w:rFonts w:hint="eastAsia" w:ascii="Times New Roman" w:hAnsi="Times New Roman" w:eastAsia="黑体" w:cs="黑体"/>
          <w:bCs w:val="0"/>
          <w:kern w:val="2"/>
          <w:szCs w:val="32"/>
          <w:lang w:val="en-US" w:eastAsia="zh-CN"/>
        </w:rPr>
        <w:t>1</w:t>
      </w:r>
      <w:r>
        <w:rPr>
          <w:rFonts w:hint="eastAsia" w:ascii="黑体" w:hAnsi="黑体" w:eastAsia="黑体" w:cs="黑体"/>
          <w:bCs/>
          <w:snapToGrid/>
          <w:kern w:val="2"/>
          <w:highlight w:val="none"/>
        </w:rPr>
        <w:t>.</w:t>
      </w:r>
      <w:r>
        <w:rPr>
          <w:rFonts w:hint="default" w:ascii="黑体" w:hAnsi="黑体" w:eastAsia="黑体" w:cs="黑体"/>
          <w:bCs w:val="0"/>
          <w:kern w:val="2"/>
          <w:szCs w:val="32"/>
          <w:lang w:val="en-US" w:eastAsia="zh-CN"/>
        </w:rPr>
        <w:t>附件</w:t>
      </w:r>
      <w:r>
        <w:tab/>
      </w:r>
      <w:r>
        <w:fldChar w:fldCharType="begin"/>
      </w:r>
      <w:r>
        <w:instrText xml:space="preserve"> PAGEREF _Toc4354 \h </w:instrText>
      </w:r>
      <w:r>
        <w:fldChar w:fldCharType="separate"/>
      </w:r>
      <w:r>
        <w:t>38</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_Toc9670 </w:instrText>
      </w:r>
      <w:r>
        <w:rPr>
          <w:rFonts w:ascii="宋体" w:hAnsi="宋体" w:eastAsia="宋体" w:cs="Times New Roman"/>
          <w:kern w:val="2"/>
          <w:szCs w:val="22"/>
          <w:lang w:val="en-US" w:eastAsia="en-US" w:bidi="ar-SA"/>
        </w:rPr>
        <w:fldChar w:fldCharType="separate"/>
      </w:r>
      <w:r>
        <w:rPr>
          <w:rFonts w:hint="eastAsia" w:ascii="黑体" w:hAnsi="黑体" w:eastAsia="黑体" w:cs="黑体"/>
          <w:bCs/>
          <w:lang w:val="en-US" w:eastAsia="zh-CN"/>
        </w:rPr>
        <w:t>附件</w:t>
      </w:r>
      <w:r>
        <w:rPr>
          <w:rFonts w:hint="eastAsia" w:ascii="Times New Roman" w:hAnsi="Times New Roman" w:eastAsia="黑体" w:cs="黑体"/>
          <w:bCs/>
          <w:lang w:val="en-US" w:eastAsia="zh-CN"/>
        </w:rPr>
        <w:t>1</w:t>
      </w:r>
      <w:r>
        <w:rPr>
          <w:rFonts w:hint="default" w:ascii="方正小标宋简体" w:hAnsi="方正小标宋简体" w:eastAsia="方正小标宋简体" w:cs="方正小标宋简体"/>
          <w:bCs w:val="0"/>
          <w:szCs w:val="44"/>
          <w:lang w:val="en-US" w:eastAsia="zh-CN"/>
        </w:rPr>
        <w:t>有关部门和单位联系方式</w:t>
      </w:r>
      <w:r>
        <w:tab/>
      </w:r>
      <w:r>
        <w:fldChar w:fldCharType="begin"/>
      </w:r>
      <w:r>
        <w:instrText xml:space="preserve"> PAGEREF _Toc9670 \h </w:instrText>
      </w:r>
      <w:r>
        <w:fldChar w:fldCharType="separate"/>
      </w:r>
      <w:r>
        <w:t>39</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_Toc15584 </w:instrText>
      </w:r>
      <w:r>
        <w:rPr>
          <w:rFonts w:ascii="宋体" w:hAnsi="宋体" w:eastAsia="宋体" w:cs="Times New Roman"/>
          <w:kern w:val="2"/>
          <w:szCs w:val="22"/>
          <w:lang w:val="en-US" w:eastAsia="en-US" w:bidi="ar-SA"/>
        </w:rPr>
        <w:fldChar w:fldCharType="separate"/>
      </w:r>
      <w:r>
        <w:rPr>
          <w:rFonts w:hint="eastAsia" w:ascii="黑体" w:hAnsi="黑体" w:eastAsia="黑体" w:cs="黑体"/>
          <w:bCs/>
          <w:lang w:val="en-US" w:eastAsia="zh-CN"/>
        </w:rPr>
        <w:t>附件</w:t>
      </w:r>
      <w:r>
        <w:rPr>
          <w:rFonts w:hint="eastAsia" w:ascii="Times New Roman" w:hAnsi="Times New Roman" w:cs="黑体"/>
          <w:bCs/>
          <w:lang w:val="en-US" w:eastAsia="zh-CN"/>
        </w:rPr>
        <w:t>2</w:t>
      </w:r>
      <w:r>
        <w:rPr>
          <w:rFonts w:hint="default" w:ascii="方正小标宋简体" w:hAnsi="方正小标宋简体" w:eastAsia="方正小标宋简体" w:cs="方正小标宋简体"/>
          <w:bCs w:val="0"/>
          <w:szCs w:val="44"/>
          <w:lang w:val="en-US" w:eastAsia="zh-CN"/>
        </w:rPr>
        <w:t>应急避护场所一览表</w:t>
      </w:r>
      <w:r>
        <w:tab/>
      </w:r>
      <w:r>
        <w:fldChar w:fldCharType="begin"/>
      </w:r>
      <w:r>
        <w:instrText xml:space="preserve"> PAGEREF _Toc15584 \h </w:instrText>
      </w:r>
      <w:r>
        <w:fldChar w:fldCharType="separate"/>
      </w:r>
      <w:r>
        <w:t>40</w:t>
      </w:r>
      <w:r>
        <w:fldChar w:fldCharType="end"/>
      </w:r>
      <w:r>
        <w:rPr>
          <w:rFonts w:ascii="宋体" w:hAnsi="宋体" w:eastAsia="宋体" w:cs="Times New Roman"/>
          <w:color w:val="auto"/>
          <w:kern w:val="2"/>
          <w:szCs w:val="22"/>
          <w:lang w:val="en-US" w:eastAsia="en-US" w:bidi="ar-SA"/>
        </w:rPr>
        <w:fldChar w:fldCharType="end"/>
      </w:r>
    </w:p>
    <w:p>
      <w:pPr>
        <w:pStyle w:val="2"/>
        <w:keepNext w:val="0"/>
        <w:keepLines w:val="0"/>
        <w:pageBreakBefore w:val="0"/>
        <w:widowControl w:val="0"/>
        <w:tabs>
          <w:tab w:val="right" w:leader="dot" w:pos="8849"/>
        </w:tabs>
        <w:kinsoku/>
        <w:wordWrap/>
        <w:overflowPunct/>
        <w:topLinePunct w:val="0"/>
        <w:autoSpaceDE/>
        <w:autoSpaceDN/>
        <w:bidi w:val="0"/>
        <w:adjustRightInd/>
        <w:snapToGrid/>
        <w:spacing w:after="0" w:line="570" w:lineRule="exact"/>
        <w:textAlignment w:val="auto"/>
      </w:pPr>
      <w:r>
        <w:rPr>
          <w:rFonts w:ascii="宋体" w:hAnsi="宋体" w:eastAsia="宋体" w:cs="Times New Roman"/>
          <w:color w:val="auto"/>
          <w:kern w:val="2"/>
          <w:szCs w:val="22"/>
          <w:lang w:val="en-US" w:eastAsia="en-US" w:bidi="ar-SA"/>
        </w:rPr>
        <w:fldChar w:fldCharType="begin"/>
      </w:r>
      <w:r>
        <w:rPr>
          <w:rFonts w:ascii="宋体" w:hAnsi="宋体" w:eastAsia="宋体" w:cs="Times New Roman"/>
          <w:kern w:val="2"/>
          <w:szCs w:val="22"/>
          <w:lang w:val="en-US" w:eastAsia="en-US" w:bidi="ar-SA"/>
        </w:rPr>
        <w:instrText xml:space="preserve"> HYPERLINK \l _Toc19759 </w:instrText>
      </w:r>
      <w:r>
        <w:rPr>
          <w:rFonts w:ascii="宋体" w:hAnsi="宋体" w:eastAsia="宋体" w:cs="Times New Roman"/>
          <w:kern w:val="2"/>
          <w:szCs w:val="22"/>
          <w:lang w:val="en-US" w:eastAsia="en-US" w:bidi="ar-SA"/>
        </w:rPr>
        <w:fldChar w:fldCharType="separate"/>
      </w:r>
      <w:r>
        <w:rPr>
          <w:rFonts w:hint="eastAsia" w:ascii="黑体" w:hAnsi="黑体" w:eastAsia="黑体" w:cs="黑体"/>
          <w:bCs/>
          <w:lang w:val="en-US" w:eastAsia="zh-CN"/>
        </w:rPr>
        <w:t>附件</w:t>
      </w:r>
      <w:r>
        <w:rPr>
          <w:rFonts w:hint="eastAsia" w:ascii="Times New Roman" w:hAnsi="Times New Roman" w:eastAsia="黑体" w:cs="黑体"/>
          <w:bCs/>
          <w:lang w:val="en-US" w:eastAsia="zh-CN"/>
        </w:rPr>
        <w:t>3</w:t>
      </w:r>
      <w:r>
        <w:rPr>
          <w:rFonts w:hint="eastAsia" w:ascii="方正小标宋简体" w:hAnsi="方正小标宋简体" w:eastAsia="方正小标宋简体" w:cs="方正小标宋简体"/>
          <w:bCs/>
          <w:szCs w:val="44"/>
          <w:lang w:val="en-US" w:eastAsia="zh-CN"/>
        </w:rPr>
        <w:t>增城区受灾群众救款物发放流程</w:t>
      </w:r>
      <w:r>
        <w:tab/>
      </w:r>
      <w:r>
        <w:fldChar w:fldCharType="begin"/>
      </w:r>
      <w:r>
        <w:instrText xml:space="preserve"> PAGEREF _Toc19759 \h </w:instrText>
      </w:r>
      <w:r>
        <w:fldChar w:fldCharType="separate"/>
      </w:r>
      <w:r>
        <w:t>83</w:t>
      </w:r>
      <w:r>
        <w:fldChar w:fldCharType="end"/>
      </w:r>
      <w:r>
        <w:rPr>
          <w:rFonts w:ascii="宋体" w:hAnsi="宋体" w:eastAsia="宋体" w:cs="Times New Roman"/>
          <w:color w:val="auto"/>
          <w:kern w:val="2"/>
          <w:szCs w:val="22"/>
          <w:lang w:val="en-US" w:eastAsia="en-US" w:bidi="ar-SA"/>
        </w:rPr>
        <w:fldChar w:fldCharType="end"/>
      </w:r>
    </w:p>
    <w:p>
      <w:pPr>
        <w:keepNext w:val="0"/>
        <w:keepLines w:val="0"/>
        <w:pageBreakBefore w:val="0"/>
        <w:widowControl w:val="0"/>
        <w:kinsoku/>
        <w:wordWrap/>
        <w:overflowPunct/>
        <w:topLinePunct w:val="0"/>
        <w:autoSpaceDE/>
        <w:autoSpaceDN/>
        <w:bidi w:val="0"/>
        <w:adjustRightInd/>
        <w:snapToGrid/>
        <w:spacing w:before="0" w:line="570" w:lineRule="exact"/>
        <w:ind w:left="0" w:leftChars="0" w:right="0" w:rightChars="0" w:firstLine="0" w:firstLineChars="0"/>
        <w:jc w:val="center"/>
        <w:textAlignment w:val="auto"/>
        <w:rPr>
          <w:rFonts w:ascii="宋体" w:hAnsi="宋体" w:eastAsia="宋体" w:cs="Times New Roman"/>
          <w:color w:val="auto"/>
          <w:kern w:val="2"/>
          <w:szCs w:val="22"/>
          <w:lang w:val="en-US" w:eastAsia="en-US" w:bidi="ar-SA"/>
        </w:rPr>
      </w:pPr>
      <w:r>
        <w:rPr>
          <w:rFonts w:ascii="宋体" w:hAnsi="宋体" w:eastAsia="宋体" w:cs="Times New Roman"/>
          <w:color w:val="auto"/>
          <w:kern w:val="2"/>
          <w:szCs w:val="22"/>
          <w:lang w:val="en-US" w:eastAsia="en-US" w:bidi="ar-SA"/>
        </w:rPr>
        <w:fldChar w:fldCharType="end"/>
      </w:r>
    </w:p>
    <w:p>
      <w:pPr>
        <w:pStyle w:val="2"/>
        <w:rPr>
          <w:rFonts w:ascii="宋体" w:hAnsi="宋体" w:eastAsia="宋体" w:cs="Times New Roman"/>
          <w:color w:val="auto"/>
          <w:kern w:val="2"/>
          <w:szCs w:val="22"/>
          <w:lang w:val="en-US" w:eastAsia="en-US" w:bidi="ar-SA"/>
        </w:rPr>
      </w:pPr>
    </w:p>
    <w:p>
      <w:pPr>
        <w:rPr>
          <w:rFonts w:ascii="宋体" w:hAnsi="宋体" w:eastAsia="宋体" w:cs="Times New Roman"/>
          <w:color w:val="auto"/>
          <w:kern w:val="2"/>
          <w:szCs w:val="22"/>
          <w:lang w:val="en-US" w:eastAsia="en-US" w:bidi="ar-SA"/>
        </w:rPr>
      </w:pPr>
    </w:p>
    <w:p>
      <w:pPr>
        <w:pStyle w:val="2"/>
        <w:rPr>
          <w:rFonts w:ascii="宋体" w:hAnsi="宋体" w:eastAsia="宋体" w:cs="Times New Roman"/>
          <w:color w:val="auto"/>
          <w:kern w:val="2"/>
          <w:szCs w:val="22"/>
          <w:lang w:val="en-US" w:eastAsia="en-US" w:bidi="ar-SA"/>
        </w:rPr>
      </w:pPr>
    </w:p>
    <w:p>
      <w:pPr>
        <w:rPr>
          <w:rFonts w:ascii="宋体" w:hAnsi="宋体" w:eastAsia="宋体" w:cs="Times New Roman"/>
          <w:color w:val="auto"/>
          <w:kern w:val="2"/>
          <w:szCs w:val="22"/>
          <w:lang w:val="en-US" w:eastAsia="en-US" w:bidi="ar-SA"/>
        </w:rPr>
      </w:pPr>
    </w:p>
    <w:p>
      <w:pPr>
        <w:pStyle w:val="2"/>
        <w:rPr>
          <w:rFonts w:ascii="宋体" w:hAnsi="宋体" w:eastAsia="宋体" w:cs="Times New Roman"/>
          <w:color w:val="auto"/>
          <w:kern w:val="2"/>
          <w:szCs w:val="22"/>
          <w:lang w:val="en-US" w:eastAsia="en-US" w:bidi="ar-SA"/>
        </w:rPr>
      </w:pPr>
    </w:p>
    <w:p>
      <w:pPr>
        <w:rPr>
          <w:rFonts w:ascii="宋体" w:hAnsi="宋体" w:eastAsia="宋体" w:cs="Times New Roman"/>
          <w:color w:val="auto"/>
          <w:kern w:val="2"/>
          <w:szCs w:val="22"/>
          <w:lang w:val="en-US" w:eastAsia="en-US" w:bidi="ar-SA"/>
        </w:rPr>
      </w:pPr>
    </w:p>
    <w:p>
      <w:pPr>
        <w:pStyle w:val="2"/>
        <w:rPr>
          <w:rFonts w:ascii="宋体" w:hAnsi="宋体" w:eastAsia="宋体" w:cs="Times New Roman"/>
          <w:color w:val="auto"/>
          <w:kern w:val="2"/>
          <w:szCs w:val="22"/>
          <w:lang w:val="en-US" w:eastAsia="en-US" w:bidi="ar-SA"/>
        </w:rPr>
      </w:pPr>
    </w:p>
    <w:p>
      <w:pPr>
        <w:keepNext w:val="0"/>
        <w:keepLines w:val="0"/>
        <w:pageBreakBefore w:val="0"/>
        <w:widowControl w:val="0"/>
        <w:kinsoku/>
        <w:overflowPunct/>
        <w:topLinePunct w:val="0"/>
        <w:autoSpaceDE/>
        <w:autoSpaceDN/>
        <w:bidi w:val="0"/>
        <w:adjustRightInd/>
        <w:snapToGrid/>
        <w:spacing w:before="0" w:line="570" w:lineRule="exact"/>
        <w:ind w:left="0" w:leftChars="0" w:right="0" w:rightChars="0" w:firstLine="0" w:firstLineChars="0"/>
        <w:jc w:val="center"/>
        <w:textAlignment w:val="auto"/>
        <w:rPr>
          <w:rFonts w:ascii="宋体" w:hAnsi="宋体" w:eastAsia="宋体" w:cs="Times New Roman"/>
          <w:color w:val="auto"/>
          <w:kern w:val="2"/>
          <w:sz w:val="21"/>
          <w:szCs w:val="22"/>
          <w:lang w:val="en-US" w:eastAsia="en-US"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0" w:line="570" w:lineRule="exact"/>
        <w:ind w:right="0"/>
        <w:jc w:val="center"/>
        <w:textAlignment w:val="auto"/>
        <w:outlineLvl w:val="0"/>
        <w:rPr>
          <w:rFonts w:hint="default" w:ascii="Times New Roman" w:hAnsi="Times New Roman" w:eastAsia="方正小标宋简体" w:cs="Times New Roman"/>
          <w:b w:val="0"/>
          <w:bCs w:val="0"/>
          <w:color w:val="auto"/>
          <w:kern w:val="2"/>
          <w:sz w:val="44"/>
          <w:szCs w:val="44"/>
          <w:lang w:val="en-US" w:eastAsia="zh-CN" w:bidi="ar-SA"/>
        </w:rPr>
      </w:pPr>
      <w:bookmarkStart w:id="1" w:name="_Toc22338"/>
      <w:bookmarkStart w:id="2" w:name="_Toc12550"/>
      <w:bookmarkStart w:id="3" w:name="_Toc32083"/>
      <w:bookmarkStart w:id="4" w:name="_Toc17829"/>
      <w:bookmarkStart w:id="5" w:name="_Toc22080"/>
      <w:bookmarkStart w:id="6" w:name="_Toc20414"/>
      <w:bookmarkStart w:id="7" w:name="_Toc8488"/>
      <w:bookmarkStart w:id="8" w:name="_Toc6418"/>
      <w:bookmarkStart w:id="9" w:name="_Toc22296"/>
      <w:bookmarkStart w:id="10" w:name="_Toc24999"/>
      <w:bookmarkStart w:id="11" w:name="_Toc30218"/>
      <w:bookmarkStart w:id="12" w:name="_Toc26296"/>
      <w:bookmarkStart w:id="13" w:name="_Toc16746"/>
      <w:bookmarkStart w:id="14" w:name="_Toc13081"/>
      <w:bookmarkStart w:id="15" w:name="_Toc11601"/>
      <w:bookmarkStart w:id="16" w:name="_Toc16855"/>
      <w:bookmarkStart w:id="17" w:name="_Toc20914"/>
      <w:bookmarkStart w:id="18" w:name="_Toc29910"/>
      <w:bookmarkStart w:id="19" w:name="_Toc28237"/>
      <w:bookmarkStart w:id="20" w:name="_Toc27672"/>
      <w:r>
        <w:rPr>
          <w:rFonts w:hint="default" w:ascii="Times New Roman" w:hAnsi="Times New Roman" w:eastAsia="方正小标宋简体" w:cs="Times New Roman"/>
          <w:b w:val="0"/>
          <w:bCs w:val="0"/>
          <w:color w:val="auto"/>
          <w:kern w:val="2"/>
          <w:sz w:val="44"/>
          <w:szCs w:val="44"/>
          <w:lang w:val="en-US" w:eastAsia="zh-CN" w:bidi="ar-SA"/>
        </w:rPr>
        <w:t>广州市增城区自然灾害救助应急预案</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Fonts w:hint="eastAsia" w:ascii="Times New Roman" w:hAnsi="Times New Roman" w:eastAsia="方正小标宋简体" w:cs="Times New Roman"/>
          <w:b w:val="0"/>
          <w:bCs w:val="0"/>
          <w:color w:val="auto"/>
          <w:kern w:val="2"/>
          <w:sz w:val="44"/>
          <w:szCs w:val="44"/>
          <w:lang w:val="en-US" w:eastAsia="zh-CN" w:bidi="ar-SA"/>
        </w:rPr>
        <w:t>（修订）</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宋体" w:cs="Times New Roman"/>
          <w:b/>
          <w:bCs/>
          <w:color w:val="auto"/>
          <w:kern w:val="2"/>
          <w:sz w:val="32"/>
          <w:szCs w:val="32"/>
          <w:lang w:eastAsia="zh-CN"/>
        </w:rPr>
      </w:pP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firstLine="634" w:firstLineChars="200"/>
        <w:contextualSpacing/>
        <w:textAlignment w:val="auto"/>
        <w:rPr>
          <w:rFonts w:hint="eastAsia" w:ascii="黑体" w:hAnsi="黑体" w:eastAsia="黑体" w:cs="黑体"/>
          <w:b w:val="0"/>
          <w:bCs w:val="0"/>
          <w:color w:val="auto"/>
          <w:kern w:val="2"/>
          <w:sz w:val="32"/>
          <w:szCs w:val="32"/>
          <w:lang w:eastAsia="zh-CN"/>
        </w:rPr>
      </w:pPr>
      <w:bookmarkStart w:id="21" w:name="_Toc9584"/>
      <w:bookmarkStart w:id="22" w:name="_Toc20716"/>
      <w:bookmarkStart w:id="23" w:name="_Toc27714"/>
      <w:bookmarkStart w:id="24" w:name="_Toc16518"/>
      <w:r>
        <w:rPr>
          <w:rFonts w:hint="eastAsia" w:ascii="Times New Roman" w:hAnsi="Times New Roman" w:eastAsia="黑体" w:cs="黑体"/>
          <w:b w:val="0"/>
          <w:bCs w:val="0"/>
          <w:color w:val="auto"/>
          <w:kern w:val="2"/>
          <w:sz w:val="32"/>
          <w:szCs w:val="32"/>
          <w:lang w:eastAsia="zh-CN"/>
        </w:rPr>
        <w:t>1</w:t>
      </w:r>
      <w:r>
        <w:rPr>
          <w:rFonts w:hint="eastAsia" w:ascii="黑体" w:hAnsi="黑体" w:eastAsia="黑体" w:cs="黑体"/>
          <w:b w:val="0"/>
          <w:bCs w:val="0"/>
          <w:color w:val="auto"/>
          <w:kern w:val="2"/>
          <w:sz w:val="32"/>
          <w:szCs w:val="32"/>
          <w:lang w:val="en-US" w:eastAsia="zh-CN"/>
        </w:rPr>
        <w:t>.</w:t>
      </w:r>
      <w:r>
        <w:rPr>
          <w:rFonts w:hint="eastAsia" w:ascii="黑体" w:hAnsi="黑体" w:eastAsia="黑体" w:cs="黑体"/>
          <w:b w:val="0"/>
          <w:bCs w:val="0"/>
          <w:color w:val="auto"/>
          <w:kern w:val="2"/>
          <w:sz w:val="32"/>
          <w:szCs w:val="32"/>
          <w:lang w:eastAsia="zh-CN"/>
        </w:rPr>
        <w:t>总则</w:t>
      </w:r>
      <w:bookmarkEnd w:id="21"/>
      <w:bookmarkEnd w:id="22"/>
      <w:bookmarkEnd w:id="23"/>
      <w:bookmarkEnd w:id="24"/>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5" w:name="_Toc22364"/>
      <w:bookmarkStart w:id="26" w:name="_Toc20325"/>
      <w:bookmarkStart w:id="27" w:name="_Toc8422"/>
      <w:bookmarkStart w:id="28" w:name="_Toc3571"/>
      <w:r>
        <w:rPr>
          <w:rFonts w:hint="eastAsia" w:ascii="Times New Roman" w:hAnsi="Times New Roman" w:eastAsia="楷体_GB2312" w:cs="楷体_GB2312"/>
          <w:b w:val="0"/>
          <w:bCs w:val="0"/>
          <w:color w:val="auto"/>
          <w:kern w:val="2"/>
          <w:sz w:val="32"/>
          <w:szCs w:val="32"/>
          <w:lang w:eastAsia="zh-CN"/>
        </w:rPr>
        <w:t>1</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1</w:t>
      </w:r>
      <w:r>
        <w:rPr>
          <w:rFonts w:hint="eastAsia" w:ascii="楷体_GB2312" w:hAnsi="楷体_GB2312" w:eastAsia="楷体_GB2312" w:cs="楷体_GB2312"/>
          <w:b w:val="0"/>
          <w:bCs w:val="0"/>
          <w:color w:val="auto"/>
          <w:kern w:val="2"/>
          <w:sz w:val="32"/>
          <w:szCs w:val="32"/>
          <w:lang w:eastAsia="zh-CN"/>
        </w:rPr>
        <w:t>编制目的</w:t>
      </w:r>
      <w:bookmarkEnd w:id="25"/>
      <w:bookmarkEnd w:id="26"/>
      <w:bookmarkEnd w:id="27"/>
      <w:bookmarkEnd w:id="28"/>
    </w:p>
    <w:p>
      <w:pPr>
        <w:keepNext w:val="0"/>
        <w:keepLines w:val="0"/>
        <w:pageBreakBefore w:val="0"/>
        <w:widowControl w:val="0"/>
        <w:numPr>
          <w:ilvl w:val="0"/>
          <w:numId w:val="0"/>
        </w:numPr>
        <w:kinsoku/>
        <w:wordWrap/>
        <w:overflowPunct/>
        <w:topLinePunct w:val="0"/>
        <w:autoSpaceDE/>
        <w:autoSpaceDN/>
        <w:bidi w:val="0"/>
        <w:adjustRightInd/>
        <w:snapToGrid/>
        <w:spacing w:before="0" w:line="570" w:lineRule="exact"/>
        <w:ind w:left="0" w:right="0"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070000"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070000" w:fill="auto"/>
          <w:lang w:val="en-US" w:eastAsia="zh-CN" w:bidi="ar-SA"/>
        </w:rPr>
        <w:t>为</w:t>
      </w:r>
      <w:r>
        <w:rPr>
          <w:rFonts w:hint="eastAsia" w:ascii="仿宋_GB2312" w:hAnsi="仿宋_GB2312" w:eastAsia="仿宋_GB2312" w:cs="仿宋_GB2312"/>
          <w:b w:val="0"/>
          <w:bCs w:val="0"/>
          <w:color w:val="auto"/>
          <w:kern w:val="2"/>
          <w:sz w:val="32"/>
          <w:szCs w:val="32"/>
          <w:lang w:val="en-US" w:eastAsia="zh-CN" w:bidi="ar-SA"/>
        </w:rPr>
        <w:t>建立健全增城区自然灾害救助体系和运行机制，</w:t>
      </w:r>
      <w:r>
        <w:rPr>
          <w:rFonts w:hint="eastAsia" w:ascii="仿宋_GB2312" w:hAnsi="仿宋_GB2312" w:eastAsia="仿宋_GB2312" w:cs="仿宋_GB2312"/>
          <w:color w:val="auto"/>
          <w:spacing w:val="0"/>
          <w:w w:val="100"/>
          <w:kern w:val="2"/>
          <w:position w:val="0"/>
          <w:sz w:val="32"/>
          <w:szCs w:val="32"/>
          <w:shd w:val="clear" w:color="070000" w:fill="auto"/>
          <w:lang w:val="en-US" w:eastAsia="zh-CN" w:bidi="ar-SA"/>
        </w:rPr>
        <w:t>构建“预防-响应-恢复-发展”全链条</w:t>
      </w:r>
      <w:r>
        <w:rPr>
          <w:rFonts w:hint="eastAsia" w:ascii="仿宋_GB2312" w:hAnsi="仿宋_GB2312" w:eastAsia="仿宋_GB2312" w:cs="仿宋_GB2312"/>
          <w:b w:val="0"/>
          <w:bCs w:val="0"/>
          <w:color w:val="auto"/>
          <w:kern w:val="2"/>
          <w:sz w:val="32"/>
          <w:szCs w:val="32"/>
          <w:lang w:val="en-US" w:eastAsia="zh-CN" w:bidi="ar-SA"/>
        </w:rPr>
        <w:t>灾害救助体系，优化救助运行机制，提升靶向救助能力，高效、有序、规范实施自然灾害救助工作，提高自然灾害救助能力，最大限度减少人民群众生命和财产损失，保障受灾人员的基本生活，维护灾区</w:t>
      </w:r>
      <w:r>
        <w:rPr>
          <w:rFonts w:hint="eastAsia" w:ascii="仿宋_GB2312" w:hAnsi="仿宋_GB2312" w:eastAsia="仿宋_GB2312" w:cs="仿宋_GB2312"/>
          <w:color w:val="auto"/>
          <w:spacing w:val="0"/>
          <w:w w:val="100"/>
          <w:kern w:val="2"/>
          <w:position w:val="0"/>
          <w:sz w:val="32"/>
          <w:szCs w:val="32"/>
          <w:shd w:val="clear" w:color="070000" w:fill="auto"/>
          <w:lang w:val="en-US" w:eastAsia="zh-CN" w:bidi="ar-SA"/>
        </w:rPr>
        <w:t>社会稳定，制定本预案。</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9" w:name="_Toc21237"/>
      <w:bookmarkStart w:id="30" w:name="_Toc29098"/>
      <w:bookmarkStart w:id="31" w:name="_Toc28435"/>
      <w:bookmarkStart w:id="32" w:name="_Toc30030"/>
      <w:r>
        <w:rPr>
          <w:rFonts w:hint="eastAsia" w:ascii="Times New Roman" w:hAnsi="Times New Roman" w:eastAsia="楷体_GB2312" w:cs="楷体_GB2312"/>
          <w:b w:val="0"/>
          <w:bCs w:val="0"/>
          <w:color w:val="auto"/>
          <w:kern w:val="2"/>
          <w:sz w:val="32"/>
          <w:szCs w:val="32"/>
          <w:lang w:eastAsia="zh-CN"/>
        </w:rPr>
        <w:t>1</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val="en-US" w:eastAsia="zh-CN"/>
        </w:rPr>
        <w:t>2</w:t>
      </w:r>
      <w:r>
        <w:rPr>
          <w:rFonts w:hint="eastAsia" w:ascii="楷体_GB2312" w:hAnsi="楷体_GB2312" w:eastAsia="楷体_GB2312" w:cs="楷体_GB2312"/>
          <w:b w:val="0"/>
          <w:bCs w:val="0"/>
          <w:color w:val="auto"/>
          <w:kern w:val="2"/>
          <w:sz w:val="32"/>
          <w:szCs w:val="32"/>
          <w:lang w:eastAsia="zh-CN"/>
        </w:rPr>
        <w:t>编制依据</w:t>
      </w:r>
      <w:bookmarkEnd w:id="29"/>
      <w:bookmarkEnd w:id="30"/>
      <w:bookmarkEnd w:id="31"/>
    </w:p>
    <w:p>
      <w:pPr>
        <w:keepNext w:val="0"/>
        <w:keepLines w:val="0"/>
        <w:pageBreakBefore w:val="0"/>
        <w:widowControl w:val="0"/>
        <w:numPr>
          <w:ilvl w:val="0"/>
          <w:numId w:val="0"/>
        </w:numPr>
        <w:kinsoku/>
        <w:wordWrap/>
        <w:overflowPunct/>
        <w:topLinePunct w:val="0"/>
        <w:autoSpaceDE/>
        <w:autoSpaceDN/>
        <w:bidi w:val="0"/>
        <w:adjustRightInd/>
        <w:snapToGrid/>
        <w:spacing w:before="0" w:line="570" w:lineRule="exact"/>
        <w:ind w:left="0" w:right="0" w:firstLine="634"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本预案依据《中华人民共和国突发事件应对法》《中华人民共和国慈善法》《自然灾害救助条例》《国家自然灾害应急救助预案》《广东省突发事件应对条例》《广东省自然灾害救助办法》《广东省社会力量参与救灾促进条例》《广东省自然灾害救助应急预案》《广州市突发事件总体应急预案》《广州市自然灾害救助应急预案》《广州市增城区突发事件总体应急预案》《广州市自然灾害救助款物使用管理办法》等有关法律法规及有关规定，结合增城区地理环境禀赋、人口结构特点及产业发展布局实际编制。</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33" w:name="_Toc23207"/>
      <w:bookmarkStart w:id="34" w:name="_Toc12556"/>
      <w:bookmarkStart w:id="35" w:name="_Toc15806"/>
      <w:bookmarkStart w:id="36" w:name="_Toc30701"/>
      <w:r>
        <w:rPr>
          <w:rFonts w:hint="eastAsia" w:ascii="Times New Roman" w:hAnsi="Times New Roman" w:eastAsia="楷体_GB2312" w:cs="楷体_GB2312"/>
          <w:b w:val="0"/>
          <w:bCs w:val="0"/>
          <w:color w:val="auto"/>
          <w:kern w:val="2"/>
          <w:sz w:val="32"/>
          <w:szCs w:val="32"/>
          <w:lang w:eastAsia="zh-CN"/>
        </w:rPr>
        <w:t>1</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val="en-US" w:eastAsia="zh-CN"/>
        </w:rPr>
        <w:t>3</w:t>
      </w:r>
      <w:bookmarkEnd w:id="33"/>
      <w:r>
        <w:rPr>
          <w:rFonts w:hint="eastAsia" w:ascii="楷体_GB2312" w:hAnsi="楷体_GB2312" w:eastAsia="楷体_GB2312" w:cs="楷体_GB2312"/>
          <w:b w:val="0"/>
          <w:bCs w:val="0"/>
          <w:color w:val="auto"/>
          <w:kern w:val="2"/>
          <w:sz w:val="32"/>
          <w:szCs w:val="32"/>
          <w:lang w:eastAsia="zh-CN"/>
        </w:rPr>
        <w:t>适用范围</w:t>
      </w:r>
      <w:bookmarkEnd w:id="34"/>
      <w:bookmarkEnd w:id="35"/>
      <w:bookmarkEnd w:id="36"/>
    </w:p>
    <w:p>
      <w:pPr>
        <w:keepNext w:val="0"/>
        <w:keepLines w:val="0"/>
        <w:pageBreakBefore w:val="0"/>
        <w:widowControl w:val="0"/>
        <w:numPr>
          <w:ilvl w:val="0"/>
          <w:numId w:val="0"/>
        </w:numPr>
        <w:kinsoku/>
        <w:wordWrap/>
        <w:overflowPunct/>
        <w:topLinePunct w:val="0"/>
        <w:autoSpaceDE/>
        <w:autoSpaceDN/>
        <w:bidi w:val="0"/>
        <w:adjustRightInd/>
        <w:snapToGrid/>
        <w:spacing w:before="0" w:line="570" w:lineRule="exact"/>
        <w:ind w:left="0" w:right="0" w:firstLine="634"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本预案适用于增城区行政辖区内发生的台风、洪涝、地质灾害、干旱等自然灾害的应急救助工作，重点覆盖需紧急转移安置、临时生活救助等场景。对于工业园区安全生产事故、旅游景区突发事件等其他类型突发事件，若需同步开展人员转移安置或生活救助的，可参照本预案启动专项救助流程。此外，当相邻的黄埔区、从化区等发生重特大自然灾害（如洪水倒灌、地质灾害波及），对增城区造成跨界影响时，适用本预案开展应急救助工作。</w:t>
      </w:r>
    </w:p>
    <w:bookmarkEnd w:id="32"/>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37" w:name="_Toc19809"/>
      <w:bookmarkStart w:id="38" w:name="_Toc32610"/>
      <w:bookmarkStart w:id="39" w:name="_Toc18171"/>
      <w:bookmarkStart w:id="40" w:name="_Toc16072"/>
      <w:r>
        <w:rPr>
          <w:rFonts w:hint="eastAsia" w:ascii="Times New Roman" w:hAnsi="Times New Roman" w:eastAsia="楷体_GB2312" w:cs="楷体_GB2312"/>
          <w:b w:val="0"/>
          <w:bCs w:val="0"/>
          <w:color w:val="auto"/>
          <w:kern w:val="2"/>
          <w:sz w:val="32"/>
          <w:szCs w:val="32"/>
          <w:lang w:eastAsia="zh-CN"/>
        </w:rPr>
        <w:t>1</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4</w:t>
      </w:r>
      <w:r>
        <w:rPr>
          <w:rFonts w:hint="eastAsia" w:ascii="楷体_GB2312" w:hAnsi="楷体_GB2312" w:eastAsia="楷体_GB2312" w:cs="楷体_GB2312"/>
          <w:b w:val="0"/>
          <w:bCs w:val="0"/>
          <w:color w:val="auto"/>
          <w:kern w:val="2"/>
          <w:sz w:val="32"/>
          <w:szCs w:val="32"/>
          <w:lang w:eastAsia="zh-CN"/>
        </w:rPr>
        <w:t>工作原则</w:t>
      </w:r>
      <w:bookmarkEnd w:id="37"/>
      <w:bookmarkEnd w:id="38"/>
      <w:bookmarkEnd w:id="39"/>
      <w:bookmarkEnd w:id="40"/>
    </w:p>
    <w:p>
      <w:pPr>
        <w:keepNext w:val="0"/>
        <w:keepLines w:val="0"/>
        <w:pageBreakBefore w:val="0"/>
        <w:widowControl w:val="0"/>
        <w:numPr>
          <w:ilvl w:val="0"/>
          <w:numId w:val="0"/>
        </w:numPr>
        <w:kinsoku/>
        <w:wordWrap/>
        <w:overflowPunct/>
        <w:topLinePunct w:val="0"/>
        <w:autoSpaceDE/>
        <w:autoSpaceDN/>
        <w:bidi w:val="0"/>
        <w:adjustRightInd/>
        <w:snapToGrid/>
        <w:spacing w:before="0" w:line="570" w:lineRule="exact"/>
        <w:ind w:right="0" w:rightChars="0" w:firstLine="634" w:firstLineChars="200"/>
        <w:jc w:val="both"/>
        <w:textAlignment w:val="auto"/>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bidi="ar-SA"/>
        </w:rPr>
        <w:t xml:space="preserve">本预案工作原则遵循《广州市自然灾害救助应急预案》第 </w:t>
      </w:r>
      <w:r>
        <w:rPr>
          <w:rFonts w:hint="eastAsia" w:ascii="Times New Roman" w:hAnsi="Times New Roman" w:eastAsia="仿宋_GB2312" w:cs="仿宋_GB2312"/>
          <w:b w:val="0"/>
          <w:bCs w:val="0"/>
          <w:color w:val="auto"/>
          <w:kern w:val="2"/>
          <w:sz w:val="32"/>
          <w:szCs w:val="32"/>
          <w:lang w:val="en-US" w:eastAsia="zh-CN" w:bidi="ar-SA"/>
        </w:rPr>
        <w:t>1</w:t>
      </w: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4</w:t>
      </w:r>
      <w:r>
        <w:rPr>
          <w:rFonts w:hint="eastAsia" w:ascii="仿宋_GB2312" w:hAnsi="仿宋_GB2312" w:eastAsia="仿宋_GB2312" w:cs="仿宋_GB2312"/>
          <w:b w:val="0"/>
          <w:bCs w:val="0"/>
          <w:color w:val="auto"/>
          <w:kern w:val="2"/>
          <w:sz w:val="32"/>
          <w:szCs w:val="32"/>
          <w:lang w:val="en-US" w:eastAsia="zh-CN" w:bidi="ar-SA"/>
        </w:rPr>
        <w:t xml:space="preserve"> 条；结合增城区“山区多地质灾害、平原多内涝、城区多流动人口”的实际，补充“基层优先响应、分级精准施策”原则，强化镇（街）、村（社区）前端处置能力。</w:t>
      </w:r>
      <w:bookmarkStart w:id="41" w:name="_Toc633"/>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firstLine="634" w:firstLineChars="200"/>
        <w:contextualSpacing/>
        <w:textAlignment w:val="auto"/>
        <w:rPr>
          <w:rFonts w:hint="eastAsia" w:ascii="黑体" w:hAnsi="黑体" w:eastAsia="黑体" w:cs="黑体"/>
          <w:b w:val="0"/>
          <w:bCs w:val="0"/>
          <w:color w:val="auto"/>
          <w:kern w:val="2"/>
          <w:sz w:val="32"/>
          <w:szCs w:val="32"/>
          <w:lang w:val="en-US" w:eastAsia="zh-CN"/>
        </w:rPr>
      </w:pPr>
      <w:bookmarkStart w:id="42" w:name="_Toc9278"/>
      <w:bookmarkStart w:id="43" w:name="_Toc26505"/>
      <w:bookmarkStart w:id="44" w:name="_Toc20204"/>
      <w:bookmarkStart w:id="45" w:name="_Toc16838"/>
      <w:r>
        <w:rPr>
          <w:rFonts w:hint="eastAsia" w:ascii="Times New Roman" w:hAnsi="Times New Roman" w:eastAsia="黑体" w:cs="黑体"/>
          <w:b w:val="0"/>
          <w:bCs w:val="0"/>
          <w:color w:val="auto"/>
          <w:kern w:val="2"/>
          <w:sz w:val="32"/>
          <w:szCs w:val="32"/>
          <w:lang w:val="en-US" w:eastAsia="zh-CN"/>
        </w:rPr>
        <w:t>2</w:t>
      </w:r>
      <w:r>
        <w:rPr>
          <w:rFonts w:hint="eastAsia" w:ascii="黑体" w:hAnsi="黑体" w:eastAsia="黑体" w:cs="黑体"/>
          <w:b w:val="0"/>
          <w:bCs w:val="0"/>
          <w:color w:val="auto"/>
          <w:kern w:val="2"/>
          <w:sz w:val="32"/>
          <w:szCs w:val="32"/>
          <w:lang w:val="en-US" w:eastAsia="zh-CN"/>
        </w:rPr>
        <w:t>.区域灾害风险特征</w:t>
      </w:r>
      <w:bookmarkEnd w:id="42"/>
      <w:bookmarkEnd w:id="43"/>
      <w:bookmarkStart w:id="46" w:name="_Toc1111"/>
      <w:r>
        <w:rPr>
          <w:rFonts w:hint="eastAsia" w:ascii="黑体" w:hAnsi="黑体" w:eastAsia="黑体" w:cs="黑体"/>
          <w:b w:val="0"/>
          <w:bCs w:val="0"/>
          <w:color w:val="auto"/>
          <w:kern w:val="2"/>
          <w:sz w:val="32"/>
          <w:szCs w:val="32"/>
          <w:lang w:val="en-US" w:eastAsia="zh-CN"/>
        </w:rPr>
        <w:t>与防控重点</w:t>
      </w:r>
      <w:bookmarkEnd w:id="44"/>
      <w:bookmarkEnd w:id="45"/>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47" w:name="_Toc222"/>
      <w:bookmarkStart w:id="48" w:name="_Toc2753"/>
      <w:r>
        <w:rPr>
          <w:rFonts w:hint="eastAsia" w:ascii="Times New Roman" w:hAnsi="Times New Roman" w:eastAsia="楷体_GB2312" w:cs="楷体_GB2312"/>
          <w:b w:val="0"/>
          <w:bCs w:val="0"/>
          <w:color w:val="auto"/>
          <w:kern w:val="2"/>
          <w:sz w:val="32"/>
          <w:szCs w:val="32"/>
          <w:lang w:val="en-US" w:eastAsia="zh-CN"/>
        </w:rPr>
        <w:t>2</w:t>
      </w:r>
      <w:r>
        <w:rPr>
          <w:rFonts w:hint="eastAsia" w:ascii="楷体_GB2312" w:hAnsi="楷体_GB2312" w:eastAsia="楷体_GB2312" w:cs="楷体_GB2312"/>
          <w:b w:val="0"/>
          <w:bCs w:val="0"/>
          <w:color w:val="auto"/>
          <w:kern w:val="2"/>
          <w:sz w:val="32"/>
          <w:szCs w:val="32"/>
          <w:lang w:val="en-US" w:eastAsia="zh-CN"/>
        </w:rPr>
        <w:t>.</w:t>
      </w:r>
      <w:r>
        <w:rPr>
          <w:rFonts w:hint="eastAsia" w:ascii="Times New Roman" w:hAnsi="Times New Roman" w:eastAsia="楷体_GB2312" w:cs="楷体_GB2312"/>
          <w:b w:val="0"/>
          <w:bCs w:val="0"/>
          <w:color w:val="auto"/>
          <w:kern w:val="2"/>
          <w:sz w:val="32"/>
          <w:szCs w:val="32"/>
          <w:lang w:val="en-US" w:eastAsia="zh-CN"/>
        </w:rPr>
        <w:t>1</w:t>
      </w:r>
      <w:r>
        <w:rPr>
          <w:rFonts w:hint="eastAsia" w:ascii="楷体_GB2312" w:hAnsi="楷体_GB2312" w:eastAsia="楷体_GB2312" w:cs="楷体_GB2312"/>
          <w:b w:val="0"/>
          <w:bCs w:val="0"/>
          <w:color w:val="auto"/>
          <w:kern w:val="2"/>
          <w:sz w:val="32"/>
          <w:szCs w:val="32"/>
          <w:lang w:val="en-US" w:eastAsia="zh-CN"/>
        </w:rPr>
        <w:t>区域灾害风险特征</w:t>
      </w:r>
      <w:bookmarkEnd w:id="47"/>
      <w:bookmarkEnd w:id="48"/>
    </w:p>
    <w:p>
      <w:pPr>
        <w:keepNext w:val="0"/>
        <w:keepLines w:val="0"/>
        <w:pageBreakBefore w:val="0"/>
        <w:widowControl w:val="0"/>
        <w:numPr>
          <w:ilvl w:val="0"/>
          <w:numId w:val="0"/>
        </w:numPr>
        <w:kinsoku/>
        <w:wordWrap/>
        <w:overflowPunct/>
        <w:topLinePunct w:val="0"/>
        <w:autoSpaceDE/>
        <w:autoSpaceDN/>
        <w:bidi w:val="0"/>
        <w:adjustRightInd/>
        <w:snapToGrid/>
        <w:spacing w:before="0" w:line="570" w:lineRule="exact"/>
        <w:ind w:right="0" w:rightChars="0" w:firstLine="634"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广州市增城区位于广东省中部，广州市东部，气候属海洋性季风气候，主要面临台风、洪涝、地质灾害等自然灾害风险，全区南北地形地貌差异大、城区人口密集且流动性大，灾害影响带来较大的人员疏散避险、转移安置、应急救援等空间需求。其中，派潭镇、正果镇、小楼镇因地处山区，容易受台风、暴雨影响易引发山体崩塌、滑坡、泥石流等灾害；新塘镇、石滩镇属于南部平原，易受台风引发的风暴潮和强降雨导致的内涝影响，同时该区域人口密集、工业园区集中，灾害易造成人员伤亡和财产损失；核心区域荔城街、增江街流动人口多、出租屋密集，基础设施相对薄弱，暴雨天气易出现排水不畅、房屋漏水等问题，且流动人口防灾意识薄弱，应急疏散难度较大。</w:t>
      </w:r>
      <w:bookmarkEnd w:id="46"/>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49" w:name="_Toc17780"/>
      <w:bookmarkStart w:id="50" w:name="_Toc854"/>
      <w:r>
        <w:rPr>
          <w:rFonts w:hint="eastAsia" w:ascii="Times New Roman" w:hAnsi="Times New Roman" w:eastAsia="楷体_GB2312" w:cs="楷体_GB2312"/>
          <w:b w:val="0"/>
          <w:bCs w:val="0"/>
          <w:color w:val="auto"/>
          <w:kern w:val="2"/>
          <w:sz w:val="32"/>
          <w:szCs w:val="32"/>
          <w:lang w:val="en-US" w:eastAsia="zh-CN"/>
        </w:rPr>
        <w:t>2</w:t>
      </w:r>
      <w:r>
        <w:rPr>
          <w:rFonts w:hint="eastAsia" w:ascii="楷体_GB2312" w:hAnsi="楷体_GB2312" w:eastAsia="楷体_GB2312" w:cs="楷体_GB2312"/>
          <w:b w:val="0"/>
          <w:bCs w:val="0"/>
          <w:color w:val="auto"/>
          <w:kern w:val="2"/>
          <w:sz w:val="32"/>
          <w:szCs w:val="32"/>
          <w:lang w:val="en-US" w:eastAsia="zh-CN"/>
        </w:rPr>
        <w:t>.</w:t>
      </w:r>
      <w:r>
        <w:rPr>
          <w:rFonts w:hint="eastAsia" w:ascii="Times New Roman" w:hAnsi="Times New Roman" w:eastAsia="楷体_GB2312" w:cs="楷体_GB2312"/>
          <w:b w:val="0"/>
          <w:bCs w:val="0"/>
          <w:color w:val="auto"/>
          <w:kern w:val="2"/>
          <w:sz w:val="32"/>
          <w:szCs w:val="32"/>
          <w:lang w:val="en-US" w:eastAsia="zh-CN"/>
        </w:rPr>
        <w:t>2</w:t>
      </w:r>
      <w:r>
        <w:rPr>
          <w:rFonts w:hint="eastAsia" w:ascii="楷体_GB2312" w:hAnsi="楷体_GB2312" w:eastAsia="楷体_GB2312" w:cs="楷体_GB2312"/>
          <w:b w:val="0"/>
          <w:bCs w:val="0"/>
          <w:color w:val="auto"/>
          <w:kern w:val="2"/>
          <w:sz w:val="32"/>
          <w:szCs w:val="32"/>
          <w:lang w:val="en-US" w:eastAsia="zh-CN"/>
        </w:rPr>
        <w:t>高频灾害防控重点</w:t>
      </w:r>
      <w:bookmarkEnd w:id="49"/>
      <w:bookmarkEnd w:id="50"/>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9"/>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w:t>
      </w:r>
      <w:r>
        <w:rPr>
          <w:rFonts w:hint="eastAsia" w:ascii="Times New Roman" w:hAnsi="Times New Roman" w:eastAsia="仿宋_GB2312" w:cs="仿宋_GB2312"/>
          <w:b w:val="0"/>
          <w:bCs w:val="0"/>
          <w:color w:val="auto"/>
          <w:kern w:val="2"/>
          <w:sz w:val="32"/>
          <w:szCs w:val="32"/>
          <w:lang w:val="en-US" w:eastAsia="zh-CN"/>
        </w:rPr>
        <w:t>1</w:t>
      </w:r>
      <w:r>
        <w:rPr>
          <w:rFonts w:hint="eastAsia" w:ascii="仿宋_GB2312" w:hAnsi="仿宋_GB2312" w:eastAsia="仿宋_GB2312" w:cs="仿宋_GB2312"/>
          <w:b w:val="0"/>
          <w:bCs w:val="0"/>
          <w:color w:val="auto"/>
          <w:kern w:val="2"/>
          <w:sz w:val="32"/>
          <w:szCs w:val="32"/>
          <w:lang w:val="en-US" w:eastAsia="zh-CN"/>
        </w:rPr>
        <w:t>）台风灾害：重点防控风暴潮倒灌、树木倒伏、广告牌坠落、电力通信中断，聚焦沿海（江）区域、高层建筑、工业园区、户外设施密集区的防护与人员转移。</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9"/>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w:t>
      </w:r>
      <w:r>
        <w:rPr>
          <w:rFonts w:hint="eastAsia" w:ascii="Times New Roman" w:hAnsi="Times New Roman" w:eastAsia="仿宋_GB2312" w:cs="仿宋_GB2312"/>
          <w:b w:val="0"/>
          <w:bCs w:val="0"/>
          <w:color w:val="auto"/>
          <w:kern w:val="2"/>
          <w:sz w:val="32"/>
          <w:szCs w:val="32"/>
          <w:lang w:val="en-US" w:eastAsia="zh-CN"/>
        </w:rPr>
        <w:t>2</w:t>
      </w:r>
      <w:r>
        <w:rPr>
          <w:rFonts w:hint="eastAsia" w:ascii="仿宋_GB2312" w:hAnsi="仿宋_GB2312" w:eastAsia="仿宋_GB2312" w:cs="仿宋_GB2312"/>
          <w:b w:val="0"/>
          <w:bCs w:val="0"/>
          <w:color w:val="auto"/>
          <w:kern w:val="2"/>
          <w:sz w:val="32"/>
          <w:szCs w:val="32"/>
          <w:lang w:val="en-US" w:eastAsia="zh-CN"/>
        </w:rPr>
        <w:t>）洪涝灾害：重点防控城市内涝、河道漫溢、地下空间积水，聚焦低洼居民区、地下车库、地铁出入口、工业园区地下设施的排水防涝与人员疏散。</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9"/>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w:t>
      </w:r>
      <w:r>
        <w:rPr>
          <w:rFonts w:hint="eastAsia" w:ascii="Times New Roman" w:hAnsi="Times New Roman" w:eastAsia="仿宋_GB2312" w:cs="仿宋_GB2312"/>
          <w:b w:val="0"/>
          <w:bCs w:val="0"/>
          <w:color w:val="auto"/>
          <w:kern w:val="2"/>
          <w:sz w:val="32"/>
          <w:szCs w:val="32"/>
          <w:lang w:val="en-US" w:eastAsia="zh-CN"/>
        </w:rPr>
        <w:t>3</w:t>
      </w:r>
      <w:r>
        <w:rPr>
          <w:rFonts w:hint="eastAsia" w:ascii="仿宋_GB2312" w:hAnsi="仿宋_GB2312" w:eastAsia="仿宋_GB2312" w:cs="仿宋_GB2312"/>
          <w:b w:val="0"/>
          <w:bCs w:val="0"/>
          <w:color w:val="auto"/>
          <w:kern w:val="2"/>
          <w:sz w:val="32"/>
          <w:szCs w:val="32"/>
          <w:lang w:val="en-US" w:eastAsia="zh-CN"/>
        </w:rPr>
        <w:t>）地质灾害：重点防控山体崩塌、滑坡、泥石流，聚焦山区村落、切坡建房区域、进山道路、景区步道的监测预警与人员转移避让。</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9"/>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w:t>
      </w:r>
      <w:r>
        <w:rPr>
          <w:rFonts w:hint="eastAsia" w:ascii="Times New Roman" w:hAnsi="Times New Roman" w:eastAsia="仿宋_GB2312" w:cs="仿宋_GB2312"/>
          <w:b w:val="0"/>
          <w:bCs w:val="0"/>
          <w:color w:val="auto"/>
          <w:kern w:val="2"/>
          <w:sz w:val="32"/>
          <w:szCs w:val="32"/>
          <w:lang w:val="en-US" w:eastAsia="zh-CN"/>
        </w:rPr>
        <w:t>4</w:t>
      </w:r>
      <w:r>
        <w:rPr>
          <w:rFonts w:hint="eastAsia" w:ascii="仿宋_GB2312" w:hAnsi="仿宋_GB2312" w:eastAsia="仿宋_GB2312" w:cs="仿宋_GB2312"/>
          <w:b w:val="0"/>
          <w:bCs w:val="0"/>
          <w:color w:val="auto"/>
          <w:kern w:val="2"/>
          <w:sz w:val="32"/>
          <w:szCs w:val="32"/>
          <w:lang w:val="en-US" w:eastAsia="zh-CN"/>
        </w:rPr>
        <w:t>）干旱灾害：重点防控农作物缺水、农村饮用水短缺，聚焦农业主产区、偏远村落的灌溉保障与饮水安全供给。</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firstLine="634" w:firstLineChars="200"/>
        <w:contextualSpacing/>
        <w:textAlignment w:val="auto"/>
        <w:rPr>
          <w:rFonts w:hint="eastAsia" w:ascii="黑体" w:hAnsi="黑体" w:eastAsia="黑体" w:cs="黑体"/>
          <w:b w:val="0"/>
          <w:bCs w:val="0"/>
          <w:color w:val="auto"/>
          <w:kern w:val="2"/>
          <w:sz w:val="32"/>
          <w:szCs w:val="32"/>
          <w:lang w:val="en-US" w:eastAsia="zh-CN"/>
        </w:rPr>
      </w:pPr>
      <w:bookmarkStart w:id="51" w:name="_Toc770"/>
      <w:bookmarkStart w:id="52" w:name="_Toc29013"/>
      <w:bookmarkStart w:id="53" w:name="_Toc21259"/>
      <w:bookmarkStart w:id="54" w:name="_Toc11783"/>
      <w:r>
        <w:rPr>
          <w:rFonts w:hint="eastAsia" w:ascii="Times New Roman" w:hAnsi="Times New Roman" w:eastAsia="黑体" w:cs="黑体"/>
          <w:b w:val="0"/>
          <w:bCs w:val="0"/>
          <w:color w:val="auto"/>
          <w:kern w:val="2"/>
          <w:sz w:val="32"/>
          <w:szCs w:val="32"/>
          <w:lang w:val="en-US" w:eastAsia="zh-CN"/>
        </w:rPr>
        <w:t>3</w:t>
      </w:r>
      <w:r>
        <w:rPr>
          <w:rFonts w:hint="eastAsia" w:ascii="黑体" w:hAnsi="黑体" w:eastAsia="黑体" w:cs="黑体"/>
          <w:b w:val="0"/>
          <w:bCs w:val="0"/>
          <w:color w:val="auto"/>
          <w:kern w:val="2"/>
          <w:sz w:val="32"/>
          <w:szCs w:val="32"/>
          <w:lang w:val="en-US" w:eastAsia="zh-CN"/>
        </w:rPr>
        <w:t>.</w:t>
      </w:r>
      <w:r>
        <w:rPr>
          <w:rFonts w:hint="eastAsia" w:ascii="黑体" w:hAnsi="黑体" w:eastAsia="黑体" w:cs="黑体"/>
          <w:b w:val="0"/>
          <w:bCs w:val="0"/>
          <w:color w:val="auto"/>
          <w:kern w:val="2"/>
          <w:sz w:val="32"/>
          <w:szCs w:val="32"/>
          <w:lang w:eastAsia="zh-CN"/>
        </w:rPr>
        <w:t>组织体系</w:t>
      </w:r>
      <w:bookmarkEnd w:id="41"/>
      <w:bookmarkEnd w:id="51"/>
      <w:bookmarkEnd w:id="52"/>
      <w:r>
        <w:rPr>
          <w:rFonts w:hint="eastAsia" w:ascii="黑体" w:hAnsi="黑体" w:eastAsia="黑体" w:cs="黑体"/>
          <w:b w:val="0"/>
          <w:bCs w:val="0"/>
          <w:color w:val="auto"/>
          <w:kern w:val="2"/>
          <w:sz w:val="32"/>
          <w:szCs w:val="32"/>
          <w:lang w:val="en-US" w:eastAsia="zh-CN"/>
        </w:rPr>
        <w:t>与基层职责</w:t>
      </w:r>
      <w:bookmarkEnd w:id="53"/>
      <w:bookmarkEnd w:id="54"/>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55" w:name="_Toc20920"/>
      <w:bookmarkStart w:id="56" w:name="_Toc23934"/>
      <w:bookmarkStart w:id="57" w:name="_Toc25432"/>
      <w:bookmarkStart w:id="58" w:name="_Toc15998"/>
      <w:r>
        <w:rPr>
          <w:rFonts w:hint="eastAsia" w:ascii="Times New Roman" w:hAnsi="Times New Roman" w:eastAsia="楷体_GB2312" w:cs="楷体_GB2312"/>
          <w:b w:val="0"/>
          <w:bCs w:val="0"/>
          <w:color w:val="auto"/>
          <w:kern w:val="2"/>
          <w:sz w:val="32"/>
          <w:szCs w:val="32"/>
          <w:lang w:val="en-US" w:eastAsia="zh-CN"/>
        </w:rPr>
        <w:t>3</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1</w:t>
      </w:r>
      <w:r>
        <w:rPr>
          <w:rFonts w:hint="eastAsia" w:ascii="楷体_GB2312" w:hAnsi="楷体_GB2312" w:eastAsia="楷体_GB2312" w:cs="楷体_GB2312"/>
          <w:b w:val="0"/>
          <w:bCs w:val="0"/>
          <w:color w:val="auto"/>
          <w:kern w:val="2"/>
          <w:sz w:val="32"/>
          <w:szCs w:val="32"/>
          <w:lang w:eastAsia="zh-CN"/>
        </w:rPr>
        <w:t>区减灾委</w:t>
      </w:r>
      <w:bookmarkEnd w:id="55"/>
      <w:r>
        <w:rPr>
          <w:rFonts w:hint="eastAsia" w:ascii="楷体_GB2312" w:hAnsi="楷体_GB2312" w:eastAsia="楷体_GB2312" w:cs="楷体_GB2312"/>
          <w:b w:val="0"/>
          <w:bCs w:val="0"/>
          <w:color w:val="auto"/>
          <w:kern w:val="2"/>
          <w:sz w:val="32"/>
          <w:szCs w:val="32"/>
          <w:lang w:val="en-US" w:eastAsia="zh-CN"/>
        </w:rPr>
        <w:t>及</w:t>
      </w:r>
      <w:bookmarkEnd w:id="56"/>
      <w:bookmarkEnd w:id="57"/>
      <w:bookmarkEnd w:id="58"/>
      <w:r>
        <w:rPr>
          <w:rFonts w:hint="eastAsia" w:ascii="楷体_GB2312" w:hAnsi="楷体_GB2312" w:eastAsia="楷体_GB2312" w:cs="楷体_GB2312"/>
          <w:b w:val="0"/>
          <w:bCs w:val="0"/>
          <w:color w:val="auto"/>
          <w:kern w:val="2"/>
          <w:sz w:val="32"/>
          <w:szCs w:val="32"/>
          <w:lang w:val="en-US" w:eastAsia="zh-CN"/>
        </w:rPr>
        <w:t>成员单位</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区减灾委为全区自然灾害救助的应急综合协调机构，负责组织、协调、指导全区自然灾害救助工作。区应急管理局承担区减灾委日常工作。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主  任：区委常委、常务副区长</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副主任：区应急管理局局长、区政府办公室分管副主任</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成员单位：区委宣传部、区政府办公室、区发展改革局、区教育局、区科技工业商务和信息化局、区民政局、市公安局增城分局、区财政局、市规划和自然资源局增城区分局、市生态环境局增城分局、区住房城乡建设局、区交通运输局、区水务局、区农业农村局、区文化广电旅游体育局、区卫生健康局、区应急管理局、区市场监管局、区统计局、区城市管理综合执法局、区林业和园林局、区消防救援大队、区气象局、区科协、区人民武装部、武警增城中队、增城供电局、中国移动增城分公司、中国电信增城分公司、中国联通增城分公司。</w:t>
      </w:r>
    </w:p>
    <w:p>
      <w:pPr>
        <w:pStyle w:val="5"/>
        <w:keepNext w:val="0"/>
        <w:keepLines w:val="0"/>
        <w:pageBreakBefore w:val="0"/>
        <w:widowControl w:val="0"/>
        <w:kinsoku/>
        <w:wordWrap/>
        <w:overflowPunct/>
        <w:topLinePunct w:val="0"/>
        <w:autoSpaceDE/>
        <w:autoSpaceDN/>
        <w:bidi w:val="0"/>
        <w:adjustRightInd/>
        <w:snapToGrid/>
        <w:spacing w:line="570" w:lineRule="exact"/>
        <w:ind w:firstLine="640"/>
        <w:jc w:val="left"/>
        <w:textAlignment w:val="auto"/>
        <w:rPr>
          <w:rFonts w:hint="eastAsia" w:ascii="仿宋_GB2312" w:hAnsi="仿宋_GB2312" w:eastAsia="仿宋_GB2312" w:cs="仿宋_GB2312"/>
          <w:b w:val="0"/>
          <w:bCs w:val="0"/>
          <w:color w:val="auto"/>
          <w:kern w:val="2"/>
          <w:sz w:val="32"/>
          <w:szCs w:val="32"/>
          <w:lang w:val="en-US" w:eastAsia="zh-CN" w:bidi="ar-SA"/>
        </w:rPr>
      </w:pPr>
      <w:bookmarkStart w:id="59" w:name="_Toc27521"/>
      <w:r>
        <w:rPr>
          <w:rFonts w:hint="eastAsia" w:ascii="仿宋_GB2312" w:hAnsi="仿宋_GB2312" w:eastAsia="仿宋_GB2312" w:cs="仿宋_GB2312"/>
          <w:b w:val="0"/>
          <w:bCs w:val="0"/>
          <w:color w:val="auto"/>
          <w:kern w:val="2"/>
          <w:sz w:val="32"/>
          <w:szCs w:val="32"/>
          <w:lang w:val="en-US" w:eastAsia="zh-CN" w:bidi="ar-SA"/>
        </w:rPr>
        <w:t>各成员单位根据应急响应级别，按照区减灾委的统一部署和各自职责，配合各镇街共同做好自然灾害防灾减灾救灾工作。</w:t>
      </w:r>
      <w:bookmarkEnd w:id="59"/>
    </w:p>
    <w:p>
      <w:pPr>
        <w:pStyle w:val="5"/>
        <w:keepNext w:val="0"/>
        <w:keepLines w:val="0"/>
        <w:pageBreakBefore w:val="0"/>
        <w:widowControl w:val="0"/>
        <w:kinsoku/>
        <w:wordWrap/>
        <w:overflowPunct/>
        <w:topLinePunct w:val="0"/>
        <w:autoSpaceDE/>
        <w:autoSpaceDN/>
        <w:bidi w:val="0"/>
        <w:adjustRightInd/>
        <w:snapToGrid/>
        <w:spacing w:line="570" w:lineRule="exact"/>
        <w:ind w:firstLine="640"/>
        <w:jc w:val="left"/>
        <w:textAlignment w:val="auto"/>
        <w:rPr>
          <w:rFonts w:hint="eastAsia" w:ascii="仿宋_GB2312" w:hAnsi="仿宋_GB2312" w:eastAsia="仿宋_GB2312" w:cs="仿宋_GB2312"/>
          <w:b/>
          <w:bCs/>
          <w:color w:val="auto"/>
          <w:kern w:val="2"/>
          <w:sz w:val="32"/>
          <w:szCs w:val="32"/>
          <w:lang w:val="en-US" w:eastAsia="zh-CN" w:bidi="ar-SA"/>
        </w:rPr>
      </w:pPr>
      <w:bookmarkStart w:id="60" w:name="_Toc21301"/>
      <w:r>
        <w:rPr>
          <w:rFonts w:hint="eastAsia" w:ascii="仿宋_GB2312" w:hAnsi="仿宋_GB2312" w:eastAsia="仿宋_GB2312" w:cs="仿宋_GB2312"/>
          <w:b/>
          <w:bCs/>
          <w:color w:val="auto"/>
          <w:kern w:val="2"/>
          <w:sz w:val="32"/>
          <w:szCs w:val="32"/>
          <w:lang w:val="en-US" w:eastAsia="zh-CN" w:bidi="ar-SA"/>
        </w:rPr>
        <w:t>区减灾委成员单位职责：</w:t>
      </w:r>
      <w:bookmarkEnd w:id="60"/>
    </w:p>
    <w:p>
      <w:pPr>
        <w:keepNext w:val="0"/>
        <w:keepLines w:val="0"/>
        <w:pageBreakBefore w:val="0"/>
        <w:widowControl w:val="0"/>
        <w:kinsoku/>
        <w:wordWrap/>
        <w:overflowPunct/>
        <w:topLinePunct w:val="0"/>
        <w:autoSpaceDE/>
        <w:autoSpaceDN/>
        <w:bidi w:val="0"/>
        <w:adjustRightInd/>
        <w:snapToGrid/>
        <w:spacing w:line="570" w:lineRule="exact"/>
        <w:ind w:firstLine="641"/>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1</w:t>
      </w:r>
      <w:r>
        <w:rPr>
          <w:rFonts w:hint="eastAsia" w:ascii="仿宋_GB2312" w:hAnsi="仿宋_GB2312" w:eastAsia="仿宋_GB2312" w:cs="仿宋_GB2312"/>
          <w:b w:val="0"/>
          <w:bCs w:val="0"/>
          <w:color w:val="auto"/>
          <w:kern w:val="2"/>
          <w:sz w:val="32"/>
          <w:szCs w:val="32"/>
          <w:lang w:val="en-US" w:eastAsia="zh-CN" w:bidi="ar-SA"/>
        </w:rPr>
        <w:t>）区委宣传部：负责协调、指导救灾工作新闻发布及宣传报道工作，引导社会舆论。</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color w:val="auto"/>
          <w:kern w:val="2"/>
          <w:lang w:val="en-US" w:eastAsia="zh-CN"/>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2</w:t>
      </w:r>
      <w:r>
        <w:rPr>
          <w:rFonts w:hint="eastAsia" w:ascii="仿宋_GB2312" w:hAnsi="仿宋_GB2312" w:eastAsia="仿宋_GB2312" w:cs="仿宋_GB2312"/>
          <w:b w:val="0"/>
          <w:bCs w:val="0"/>
          <w:color w:val="auto"/>
          <w:kern w:val="2"/>
          <w:sz w:val="32"/>
          <w:szCs w:val="32"/>
          <w:lang w:val="en-US" w:eastAsia="zh-CN" w:bidi="ar-SA"/>
        </w:rPr>
        <w:t>）区政府办公室：负责向区领导报送自然灾害防灾减灾救灾工作文件、信息，转办、督办区领导相关批示和指示。</w:t>
      </w:r>
    </w:p>
    <w:p>
      <w:pPr>
        <w:keepNext w:val="0"/>
        <w:keepLines w:val="0"/>
        <w:pageBreakBefore w:val="0"/>
        <w:widowControl w:val="0"/>
        <w:kinsoku/>
        <w:wordWrap/>
        <w:overflowPunct/>
        <w:topLinePunct w:val="0"/>
        <w:autoSpaceDE/>
        <w:autoSpaceDN/>
        <w:bidi w:val="0"/>
        <w:adjustRightInd/>
        <w:snapToGrid/>
        <w:spacing w:line="570" w:lineRule="exact"/>
        <w:ind w:firstLine="641"/>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3</w:t>
      </w:r>
      <w:r>
        <w:rPr>
          <w:rFonts w:hint="eastAsia" w:ascii="仿宋_GB2312" w:hAnsi="仿宋_GB2312" w:eastAsia="仿宋_GB2312" w:cs="仿宋_GB2312"/>
          <w:b w:val="0"/>
          <w:bCs w:val="0"/>
          <w:color w:val="auto"/>
          <w:kern w:val="2"/>
          <w:sz w:val="32"/>
          <w:szCs w:val="32"/>
          <w:lang w:val="en-US" w:eastAsia="zh-CN" w:bidi="ar-SA"/>
        </w:rPr>
        <w:t>）区发展改革局：负责将防灾减灾工作纳入国民经济和社会发展规划；</w:t>
      </w:r>
      <w:r>
        <w:rPr>
          <w:rFonts w:hint="eastAsia" w:ascii="仿宋_GB2312" w:hAnsi="仿宋_GB2312" w:eastAsia="仿宋_GB2312" w:cs="仿宋_GB2312"/>
          <w:color w:val="auto"/>
          <w:kern w:val="2"/>
          <w:sz w:val="32"/>
          <w:szCs w:val="32"/>
          <w:lang w:val="en-US" w:eastAsia="zh-CN"/>
        </w:rPr>
        <w:t>会同行业主管部门将重点防灾减灾及灾后重建项目纳入政府投资年度计划，协调落实建设资金；</w:t>
      </w:r>
      <w:r>
        <w:rPr>
          <w:rFonts w:hint="eastAsia" w:ascii="仿宋_GB2312" w:hAnsi="仿宋_GB2312" w:eastAsia="仿宋_GB2312" w:cs="仿宋_GB2312"/>
          <w:b w:val="0"/>
          <w:bCs w:val="0"/>
          <w:color w:val="auto"/>
          <w:kern w:val="2"/>
          <w:sz w:val="32"/>
          <w:szCs w:val="32"/>
          <w:lang w:val="en-US" w:eastAsia="zh-CN" w:bidi="ar-SA"/>
        </w:rPr>
        <w:t>协调做好救灾粮食调拨工作，保障粮食市场供应；会同区农业农村局确保受灾期间粮油市场价格稳定；会同区财政局、农业农村局等单位落实冬春救助中以工代赈政策；根据区级应急救灾物资需求及区级应急物资储备规划、品种目录和标准，制定年度购置计划，负责年度救灾物资的收储、轮换和日常管理，根据区应急管理局的动用指令按程序组织调运。</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4</w:t>
      </w:r>
      <w:r>
        <w:rPr>
          <w:rFonts w:hint="eastAsia" w:ascii="仿宋_GB2312" w:hAnsi="仿宋_GB2312" w:eastAsia="仿宋_GB2312" w:cs="仿宋_GB2312"/>
          <w:b w:val="0"/>
          <w:bCs w:val="0"/>
          <w:color w:val="auto"/>
          <w:kern w:val="2"/>
          <w:sz w:val="32"/>
          <w:szCs w:val="32"/>
          <w:lang w:val="en-US" w:eastAsia="zh-CN" w:bidi="ar-SA"/>
        </w:rPr>
        <w:t>）区科技工业商务和信息化局：负责组织协调各通讯运营部门做好通讯基础设施抢修恢复和应急通讯保障等工作。</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5</w:t>
      </w:r>
      <w:r>
        <w:rPr>
          <w:rFonts w:hint="eastAsia" w:ascii="仿宋_GB2312" w:hAnsi="仿宋_GB2312" w:eastAsia="仿宋_GB2312" w:cs="仿宋_GB2312"/>
          <w:b w:val="0"/>
          <w:bCs w:val="0"/>
          <w:color w:val="auto"/>
          <w:kern w:val="2"/>
          <w:sz w:val="32"/>
          <w:szCs w:val="32"/>
          <w:lang w:val="en-US" w:eastAsia="zh-CN" w:bidi="ar-SA"/>
        </w:rPr>
        <w:t>）区教育局：负责做好灾后学校教育、教学组织工作，协调有关部门共同做好灾后校舍恢复重建；负责对学生组织开展防灾减灾救灾知识宣传教育和演练工作。</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6</w:t>
      </w:r>
      <w:r>
        <w:rPr>
          <w:rFonts w:hint="eastAsia" w:ascii="仿宋_GB2312" w:hAnsi="仿宋_GB2312" w:eastAsia="仿宋_GB2312" w:cs="仿宋_GB2312"/>
          <w:b w:val="0"/>
          <w:bCs w:val="0"/>
          <w:color w:val="auto"/>
          <w:kern w:val="2"/>
          <w:sz w:val="32"/>
          <w:szCs w:val="32"/>
          <w:lang w:val="en-US" w:eastAsia="zh-CN" w:bidi="ar-SA"/>
        </w:rPr>
        <w:t>）市公安局增城分局：负责指挥灾害现场警戒、道路交通管制、维护灾害现场治安，配合做好受灾地区人员紧急转移和安置工作。</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7</w:t>
      </w:r>
      <w:r>
        <w:rPr>
          <w:rFonts w:hint="eastAsia" w:ascii="仿宋_GB2312" w:hAnsi="仿宋_GB2312" w:eastAsia="仿宋_GB2312" w:cs="仿宋_GB2312"/>
          <w:b w:val="0"/>
          <w:bCs w:val="0"/>
          <w:color w:val="auto"/>
          <w:kern w:val="2"/>
          <w:sz w:val="32"/>
          <w:szCs w:val="32"/>
          <w:lang w:val="en-US" w:eastAsia="zh-CN" w:bidi="ar-SA"/>
        </w:rPr>
        <w:t>）区民政局：负责依法对防灾减灾社会团体、民办非企事业单位进行登记管理；组织指导救灾捐赠工作；督促指导各镇街和有关部门及时将符合条件的受灾人员纳入临时救助或最低生活保障范围。</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8</w:t>
      </w:r>
      <w:r>
        <w:rPr>
          <w:rFonts w:hint="eastAsia" w:ascii="仿宋_GB2312" w:hAnsi="仿宋_GB2312" w:eastAsia="仿宋_GB2312" w:cs="仿宋_GB2312"/>
          <w:b w:val="0"/>
          <w:bCs w:val="0"/>
          <w:color w:val="auto"/>
          <w:kern w:val="2"/>
          <w:sz w:val="32"/>
          <w:szCs w:val="32"/>
          <w:lang w:val="en-US" w:eastAsia="zh-CN" w:bidi="ar-SA"/>
        </w:rPr>
        <w:t>）区财政局：负责救灾资金的预算安排、资金拨付，对救灾资金的使用进行监督、检查，保证救灾款及时到位。</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9</w:t>
      </w:r>
      <w:r>
        <w:rPr>
          <w:rFonts w:hint="eastAsia" w:ascii="仿宋_GB2312" w:hAnsi="仿宋_GB2312" w:eastAsia="仿宋_GB2312" w:cs="仿宋_GB2312"/>
          <w:b w:val="0"/>
          <w:bCs w:val="0"/>
          <w:color w:val="auto"/>
          <w:kern w:val="2"/>
          <w:sz w:val="32"/>
          <w:szCs w:val="32"/>
          <w:lang w:val="en-US" w:eastAsia="zh-CN" w:bidi="ar-SA"/>
        </w:rPr>
        <w:t>）市规划和自然资源局增城区分局：负责组织、协调、指导和监督地质灾害防治工作；完善地质灾害群测群防体系；组织突发地质灾害应急调查，核查地质灾害灾情与诱发因素，实时掌握灾情险情动态信息，分析、预测发展趋势，根据灾情、险情变化及时提出应急防范措施和建议；及时向区人民政府、上级自然资源主管部门及区减灾办报送地质灾害灾情信息；指导做好灾后恢复重建工作、按规定对灾后重建有关用地审批手续给予优先办理，</w:t>
      </w:r>
      <w:r>
        <w:rPr>
          <w:rFonts w:hint="eastAsia" w:ascii="仿宋_GB2312" w:hAnsi="仿宋_GB2312" w:eastAsia="仿宋_GB2312" w:cs="仿宋_GB2312"/>
          <w:color w:val="auto"/>
          <w:kern w:val="2"/>
          <w:sz w:val="32"/>
          <w:szCs w:val="32"/>
          <w:lang w:val="en-US" w:eastAsia="zh-CN" w:bidi="ar-SA"/>
        </w:rPr>
        <w:t>组织开展地质灾害防灾减灾知识宣传教育及协助开展应急演练</w:t>
      </w:r>
      <w:r>
        <w:rPr>
          <w:rFonts w:hint="eastAsia" w:ascii="仿宋_GB2312" w:hAnsi="仿宋_GB2312" w:eastAsia="仿宋_GB2312" w:cs="仿宋_GB2312"/>
          <w:b w:val="0"/>
          <w:bCs w:val="0"/>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10</w:t>
      </w:r>
      <w:r>
        <w:rPr>
          <w:rFonts w:hint="eastAsia" w:ascii="仿宋_GB2312" w:hAnsi="仿宋_GB2312" w:eastAsia="仿宋_GB2312" w:cs="仿宋_GB2312"/>
          <w:b w:val="0"/>
          <w:bCs w:val="0"/>
          <w:color w:val="auto"/>
          <w:kern w:val="2"/>
          <w:sz w:val="32"/>
          <w:szCs w:val="32"/>
          <w:lang w:val="en-US" w:eastAsia="zh-CN" w:bidi="ar-SA"/>
        </w:rPr>
        <w:t>）市生态环境局增城分局：负责开展受灾期间环境监测、发布相关环境信息；会同区水务局、区卫生健康局做好灾区饮用水水源地环境监测监督。</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11</w:t>
      </w:r>
      <w:r>
        <w:rPr>
          <w:rFonts w:hint="eastAsia" w:ascii="仿宋_GB2312" w:hAnsi="仿宋_GB2312" w:eastAsia="仿宋_GB2312" w:cs="仿宋_GB2312"/>
          <w:b w:val="0"/>
          <w:bCs w:val="0"/>
          <w:color w:val="auto"/>
          <w:kern w:val="2"/>
          <w:sz w:val="32"/>
          <w:szCs w:val="32"/>
          <w:lang w:val="en-US" w:eastAsia="zh-CN" w:bidi="ar-SA"/>
        </w:rPr>
        <w:t>）区住房城乡建设局：负责灾后房屋建筑和市政公共基础设施工程建设管理；指导灾后房屋建筑结构安全和市政公共基础设施的质量安全鉴定、修复、重建等工作，以及灾后重建设施施工管理工作。</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12</w:t>
      </w:r>
      <w:r>
        <w:rPr>
          <w:rFonts w:hint="eastAsia"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color w:val="auto"/>
          <w:kern w:val="2"/>
          <w:sz w:val="32"/>
          <w:szCs w:val="32"/>
          <w:lang w:eastAsia="zh-CN"/>
        </w:rPr>
        <w:t>区交通运输局：</w:t>
      </w:r>
      <w:r>
        <w:rPr>
          <w:rFonts w:hint="eastAsia" w:ascii="仿宋_GB2312" w:hAnsi="仿宋_GB2312" w:eastAsia="仿宋_GB2312" w:cs="仿宋_GB2312"/>
          <w:color w:val="auto"/>
          <w:kern w:val="2"/>
          <w:sz w:val="32"/>
          <w:szCs w:val="32"/>
          <w:highlight w:val="none"/>
          <w:lang w:eastAsia="zh-CN"/>
        </w:rPr>
        <w:t>负责</w:t>
      </w:r>
      <w:r>
        <w:rPr>
          <w:rFonts w:hint="eastAsia" w:ascii="仿宋_GB2312" w:hAnsi="仿宋_GB2312" w:eastAsia="仿宋_GB2312" w:cs="仿宋_GB2312"/>
          <w:color w:val="auto"/>
          <w:kern w:val="2"/>
          <w:sz w:val="32"/>
          <w:szCs w:val="32"/>
          <w:highlight w:val="none"/>
          <w:lang w:val="en-US" w:eastAsia="zh-CN" w:bidi="ar"/>
        </w:rPr>
        <w:t>配合有关部门做好灾民、抗灾救灾人员、物资、设备的道路运输保障</w:t>
      </w:r>
      <w:r>
        <w:rPr>
          <w:rFonts w:hint="eastAsia" w:ascii="仿宋_GB2312" w:hAnsi="仿宋_GB2312" w:eastAsia="仿宋_GB2312" w:cs="仿宋_GB2312"/>
          <w:color w:val="auto"/>
          <w:kern w:val="2"/>
          <w:sz w:val="32"/>
          <w:szCs w:val="32"/>
          <w:highlight w:val="none"/>
          <w:lang w:eastAsia="zh-CN"/>
        </w:rPr>
        <w:t>，组织抢修负责管养的损毁道路及其他重要交通设施，</w:t>
      </w:r>
      <w:r>
        <w:rPr>
          <w:rFonts w:hint="eastAsia" w:ascii="仿宋_GB2312" w:hAnsi="仿宋_GB2312" w:eastAsia="仿宋_GB2312" w:cs="仿宋_GB2312"/>
          <w:b w:val="0"/>
          <w:bCs w:val="0"/>
          <w:color w:val="auto"/>
          <w:kern w:val="2"/>
          <w:sz w:val="32"/>
          <w:szCs w:val="32"/>
          <w:highlight w:val="none"/>
          <w:lang w:eastAsia="zh-CN"/>
        </w:rPr>
        <w:t>协助</w:t>
      </w:r>
      <w:r>
        <w:rPr>
          <w:rFonts w:hint="eastAsia" w:ascii="仿宋_GB2312" w:hAnsi="仿宋_GB2312" w:eastAsia="仿宋_GB2312" w:cs="仿宋_GB2312"/>
          <w:color w:val="auto"/>
          <w:kern w:val="2"/>
          <w:sz w:val="32"/>
          <w:szCs w:val="32"/>
          <w:highlight w:val="none"/>
          <w:lang w:eastAsia="zh-CN"/>
        </w:rPr>
        <w:t>保障抢险救灾车辆的优先免费通行，核定管辖交通设施因灾损失情况和损失数据</w:t>
      </w:r>
      <w:r>
        <w:rPr>
          <w:rFonts w:hint="eastAsia" w:ascii="仿宋_GB2312" w:hAnsi="仿宋_GB2312" w:eastAsia="仿宋_GB2312" w:cs="仿宋_GB2312"/>
          <w:b w:val="0"/>
          <w:bCs w:val="0"/>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13</w:t>
      </w:r>
      <w:r>
        <w:rPr>
          <w:rFonts w:hint="eastAsia" w:ascii="仿宋_GB2312" w:hAnsi="仿宋_GB2312" w:eastAsia="仿宋_GB2312" w:cs="仿宋_GB2312"/>
          <w:b w:val="0"/>
          <w:bCs w:val="0"/>
          <w:color w:val="auto"/>
          <w:kern w:val="2"/>
          <w:sz w:val="32"/>
          <w:szCs w:val="32"/>
          <w:lang w:val="en-US" w:eastAsia="zh-CN" w:bidi="ar-SA"/>
        </w:rPr>
        <w:t>）区水务局：组织编制洪涝干旱灾害防治规划和防护标准并指导实施；协调水情旱情监测预警工作；组织编制重要江河湖泊和重要水工程的防御洪水抗御旱灾调度及应急水量调度方案，并组织实施；负责防御洪水应急抢险的技术支撑工作；负责台风防御期间重要水工程调度工作；督促指导水管单位开展水务灾害风险隐患排查和整改；指导、实施水务灾害的抢险；指导修复毁坏的水利设施；</w:t>
      </w:r>
      <w:r>
        <w:rPr>
          <w:rFonts w:hint="eastAsia" w:ascii="仿宋_GB2312" w:hAnsi="仿宋_GB2312" w:eastAsia="仿宋_GB2312" w:cs="仿宋_GB2312"/>
          <w:color w:val="auto"/>
          <w:kern w:val="2"/>
          <w:sz w:val="32"/>
          <w:szCs w:val="32"/>
          <w:u w:val="none"/>
          <w:lang w:val="en-US" w:eastAsia="zh-CN"/>
        </w:rPr>
        <w:t>核查水务工程损失情况，损失数据及时报送区减灾办</w:t>
      </w:r>
      <w:r>
        <w:rPr>
          <w:rFonts w:hint="eastAsia" w:ascii="仿宋_GB2312" w:hAnsi="仿宋_GB2312" w:eastAsia="仿宋_GB2312" w:cs="仿宋_GB2312"/>
          <w:b w:val="0"/>
          <w:bCs w:val="0"/>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14</w:t>
      </w:r>
      <w:r>
        <w:rPr>
          <w:rFonts w:hint="eastAsia" w:ascii="仿宋_GB2312" w:hAnsi="仿宋_GB2312" w:eastAsia="仿宋_GB2312" w:cs="仿宋_GB2312"/>
          <w:b w:val="0"/>
          <w:bCs w:val="0"/>
          <w:color w:val="auto"/>
          <w:kern w:val="2"/>
          <w:sz w:val="32"/>
          <w:szCs w:val="32"/>
          <w:lang w:val="en-US" w:eastAsia="zh-CN" w:bidi="ar-SA"/>
        </w:rPr>
        <w:t>）区农业农村局：负责农作物病虫害、疫情和农作物自然灾害预报和防治工作，及时发布农作物病虫害信息；组织开展农业、渔业的防灾减灾救灾工作；组织、指导灾后农业恢复生产；组织、指导、监督灾后农作物病虫害防治工作和动物防疫检疫工作；核定农业因灾损失情况，损失数据及时报送区减灾办。</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15</w:t>
      </w:r>
      <w:r>
        <w:rPr>
          <w:rFonts w:hint="eastAsia" w:ascii="仿宋_GB2312" w:hAnsi="仿宋_GB2312" w:eastAsia="仿宋_GB2312" w:cs="仿宋_GB2312"/>
          <w:b w:val="0"/>
          <w:bCs w:val="0"/>
          <w:color w:val="auto"/>
          <w:kern w:val="2"/>
          <w:sz w:val="32"/>
          <w:szCs w:val="32"/>
          <w:lang w:val="en-US" w:eastAsia="zh-CN" w:bidi="ar-SA"/>
        </w:rPr>
        <w:t>）区文化广电旅游体育局：督促指导辖区内</w:t>
      </w:r>
      <w:r>
        <w:rPr>
          <w:rFonts w:hint="eastAsia" w:ascii="Times New Roman" w:hAnsi="Times New Roman" w:eastAsia="仿宋_GB2312" w:cs="仿宋_GB2312"/>
          <w:b w:val="0"/>
          <w:bCs w:val="0"/>
          <w:color w:val="auto"/>
          <w:kern w:val="2"/>
          <w:sz w:val="32"/>
          <w:szCs w:val="32"/>
          <w:lang w:val="en-US" w:eastAsia="zh-CN" w:bidi="ar-SA"/>
        </w:rPr>
        <w:t>A</w:t>
      </w:r>
      <w:r>
        <w:rPr>
          <w:rFonts w:hint="eastAsia" w:ascii="仿宋_GB2312" w:hAnsi="仿宋_GB2312" w:eastAsia="仿宋_GB2312" w:cs="仿宋_GB2312"/>
          <w:b w:val="0"/>
          <w:bCs w:val="0"/>
          <w:color w:val="auto"/>
          <w:kern w:val="2"/>
          <w:sz w:val="32"/>
          <w:szCs w:val="32"/>
          <w:lang w:val="en-US" w:eastAsia="zh-CN" w:bidi="ar-SA"/>
        </w:rPr>
        <w:t>级景区开展自然灾害应急处置，限制旅游人员进入受灾地区和路段，指导、协调旅游企业做好游客和旅游从业人员的撤离工作，协助开展应急救援；负责提供区属体育场馆设置应急避护场所；救灾工作需要时，开放区属体育场馆设置的应急避护场所，协助做好接收、安置灾民工作；指导做好区属体育场馆防灾减灾基础设施的管理和维护、指导做好灾后基层文化设施建设的工作。</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16</w:t>
      </w:r>
      <w:r>
        <w:rPr>
          <w:rFonts w:hint="eastAsia"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区卫生健康局：负责做好灾区群众的医疗救治和卫生防疫工作，及时统计报告全区卫生健康领域受灾情况及卫生健康基础设施恢复重建工作情况。</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17</w:t>
      </w:r>
      <w:r>
        <w:rPr>
          <w:rFonts w:hint="eastAsia" w:ascii="仿宋_GB2312" w:hAnsi="仿宋_GB2312" w:eastAsia="仿宋_GB2312" w:cs="仿宋_GB2312"/>
          <w:b w:val="0"/>
          <w:bCs w:val="0"/>
          <w:color w:val="auto"/>
          <w:kern w:val="2"/>
          <w:sz w:val="32"/>
          <w:szCs w:val="32"/>
          <w:lang w:val="en-US" w:eastAsia="zh-CN" w:bidi="ar-SA"/>
        </w:rPr>
        <w:t>）区应急管理局：负责组织、协调自然灾害救助工作；收集、汇总并统计自然灾害损失情况；指导自然灾害救助物资储备、受灾群众安置工作；组织发放自然灾害救助款物，保障受灾群众吃、穿、住等基本生活；申请、分配、管理中央、省、市下拨以及区配套的救灾款物；指导做好因灾倒塌民房恢复重建工作；负责开展地震灾害监测及趋势分析；做好防震减灾宣传教育和演练；承担区减灾委办公室相关职责。</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18</w:t>
      </w:r>
      <w:r>
        <w:rPr>
          <w:rFonts w:hint="eastAsia" w:ascii="仿宋_GB2312" w:hAnsi="仿宋_GB2312" w:eastAsia="仿宋_GB2312" w:cs="仿宋_GB2312"/>
          <w:b w:val="0"/>
          <w:bCs w:val="0"/>
          <w:color w:val="auto"/>
          <w:kern w:val="2"/>
          <w:sz w:val="32"/>
          <w:szCs w:val="32"/>
          <w:lang w:val="en-US" w:eastAsia="zh-CN" w:bidi="ar-SA"/>
        </w:rPr>
        <w:t>）区市场监管局：维护灾后市场秩序，加大市场监管力度，确保灾后市场商品质量安全；负责食品药品安全事故应急体系建设，组织和指导食品药品安全事故应急处置和调查处理工作，监督事故查处落实情况。</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19</w:t>
      </w:r>
      <w:r>
        <w:rPr>
          <w:rFonts w:hint="eastAsia" w:ascii="仿宋_GB2312" w:hAnsi="仿宋_GB2312" w:eastAsia="仿宋_GB2312" w:cs="仿宋_GB2312"/>
          <w:b w:val="0"/>
          <w:bCs w:val="0"/>
          <w:color w:val="auto"/>
          <w:kern w:val="2"/>
          <w:sz w:val="32"/>
          <w:szCs w:val="32"/>
          <w:lang w:val="en-US" w:eastAsia="zh-CN" w:bidi="ar-SA"/>
        </w:rPr>
        <w:t>）区统计局：负责提供基础统计数据，为灾后损失评估等工作提供依据。</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20</w:t>
      </w:r>
      <w:r>
        <w:rPr>
          <w:rFonts w:hint="eastAsia" w:ascii="仿宋_GB2312" w:hAnsi="仿宋_GB2312" w:eastAsia="仿宋_GB2312" w:cs="仿宋_GB2312"/>
          <w:b w:val="0"/>
          <w:bCs w:val="0"/>
          <w:color w:val="auto"/>
          <w:kern w:val="2"/>
          <w:sz w:val="32"/>
          <w:szCs w:val="32"/>
          <w:lang w:val="en-US" w:eastAsia="zh-CN" w:bidi="ar-SA"/>
        </w:rPr>
        <w:t>）区城市管理综合执法局：负责指导镇街收集、运输和处理灾后生活废弃物，并对镇街收集、运输和处理灾后生活废弃物实施监督管理。</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21</w:t>
      </w:r>
      <w:r>
        <w:rPr>
          <w:rFonts w:hint="eastAsia" w:ascii="仿宋_GB2312" w:hAnsi="仿宋_GB2312" w:eastAsia="仿宋_GB2312" w:cs="仿宋_GB2312"/>
          <w:b w:val="0"/>
          <w:bCs w:val="0"/>
          <w:color w:val="auto"/>
          <w:kern w:val="2"/>
          <w:sz w:val="32"/>
          <w:szCs w:val="32"/>
          <w:lang w:val="en-US" w:eastAsia="zh-CN" w:bidi="ar-SA"/>
        </w:rPr>
        <w:t>）区林业和园林局：负责森林火灾预防工作；组织开展林业有害生物防治、陆生野生动物疫源疫病的监测防治；督促指导灾后森林修复工作；核定林业因灾损失情况，损失数据及时报送区减灾办。</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22</w:t>
      </w:r>
      <w:r>
        <w:rPr>
          <w:rFonts w:hint="eastAsia" w:ascii="仿宋_GB2312" w:hAnsi="仿宋_GB2312" w:eastAsia="仿宋_GB2312" w:cs="仿宋_GB2312"/>
          <w:b w:val="0"/>
          <w:bCs w:val="0"/>
          <w:color w:val="auto"/>
          <w:kern w:val="2"/>
          <w:sz w:val="32"/>
          <w:szCs w:val="32"/>
          <w:lang w:val="en-US" w:eastAsia="zh-CN" w:bidi="ar-SA"/>
        </w:rPr>
        <w:t>）区消防救援大队：负责消防监督检查、扑救火灾，做好消防科普宣传工作，积极参与抢险救灾。</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23</w:t>
      </w:r>
      <w:r>
        <w:rPr>
          <w:rFonts w:hint="eastAsia" w:ascii="仿宋_GB2312" w:hAnsi="仿宋_GB2312" w:eastAsia="仿宋_GB2312" w:cs="仿宋_GB2312"/>
          <w:b w:val="0"/>
          <w:bCs w:val="0"/>
          <w:color w:val="auto"/>
          <w:kern w:val="2"/>
          <w:sz w:val="32"/>
          <w:szCs w:val="32"/>
          <w:lang w:val="en-US" w:eastAsia="zh-CN" w:bidi="ar-SA"/>
        </w:rPr>
        <w:t xml:space="preserve">）区气象局：负责气象灾害的实时监测、预警和预报工作；负责气象灾害及突发事件预警信息的发布工作；做好救灾气象保障，组织对重大气象灾害的调查、评估、鉴定和宣传工作。核定本系统气象灾害损失情况，损失数据及时报送区减灾办。     </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24</w:t>
      </w:r>
      <w:r>
        <w:rPr>
          <w:rFonts w:hint="eastAsia" w:ascii="仿宋_GB2312" w:hAnsi="仿宋_GB2312" w:eastAsia="仿宋_GB2312" w:cs="仿宋_GB2312"/>
          <w:b w:val="0"/>
          <w:bCs w:val="0"/>
          <w:color w:val="auto"/>
          <w:kern w:val="2"/>
          <w:sz w:val="32"/>
          <w:szCs w:val="32"/>
          <w:lang w:val="en-US" w:eastAsia="zh-CN" w:bidi="ar-SA"/>
        </w:rPr>
        <w:t xml:space="preserve">）区科协：负责协调所属学会防灾减灾救灾科技服务活动；组织所属学会开展防灾减灾救灾科普宣传。  </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25</w:t>
      </w:r>
      <w:r>
        <w:rPr>
          <w:rFonts w:hint="eastAsia" w:ascii="仿宋_GB2312" w:hAnsi="仿宋_GB2312" w:eastAsia="仿宋_GB2312" w:cs="仿宋_GB2312"/>
          <w:b w:val="0"/>
          <w:bCs w:val="0"/>
          <w:color w:val="auto"/>
          <w:kern w:val="2"/>
          <w:sz w:val="32"/>
          <w:szCs w:val="32"/>
          <w:lang w:val="en-US" w:eastAsia="zh-CN" w:bidi="ar-SA"/>
        </w:rPr>
        <w:t>）区人民武装部：协调驻区部队和所属民兵分队协助地方政府开展应急抢险救援、运送救灾物资、转移受灾人员等救灾工作。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26</w:t>
      </w:r>
      <w:r>
        <w:rPr>
          <w:rFonts w:hint="eastAsia" w:ascii="仿宋_GB2312" w:hAnsi="仿宋_GB2312" w:eastAsia="仿宋_GB2312" w:cs="仿宋_GB2312"/>
          <w:b w:val="0"/>
          <w:bCs w:val="0"/>
          <w:color w:val="auto"/>
          <w:kern w:val="2"/>
          <w:sz w:val="32"/>
          <w:szCs w:val="32"/>
          <w:lang w:val="en-US" w:eastAsia="zh-CN" w:bidi="ar-SA"/>
        </w:rPr>
        <w:t>）武警增城中队：负责营救受困人员、疏散群众、排除或控制险情、抢运重要物资、抢修公共基础设施；参加医疗救护、疫情防控、心理疏导、支援灾区恢复重建；协助当地政府和公安机关维护灾区社会稳定。</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27</w:t>
      </w:r>
      <w:r>
        <w:rPr>
          <w:rFonts w:hint="eastAsia" w:ascii="仿宋_GB2312" w:hAnsi="仿宋_GB2312" w:eastAsia="仿宋_GB2312" w:cs="仿宋_GB2312"/>
          <w:b w:val="0"/>
          <w:bCs w:val="0"/>
          <w:color w:val="auto"/>
          <w:kern w:val="2"/>
          <w:sz w:val="32"/>
          <w:szCs w:val="32"/>
          <w:lang w:val="en-US" w:eastAsia="zh-CN" w:bidi="ar-SA"/>
        </w:rPr>
        <w:t>）增城供电局：负责组织所属资产范围内电力设施的抢修工作，协助指导用户开展用电故障设备抢修；必要时提供重要用户及灾民安置点临时电源；配合政府做好相关工作。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28</w:t>
      </w:r>
      <w:r>
        <w:rPr>
          <w:rFonts w:hint="eastAsia" w:ascii="仿宋_GB2312" w:hAnsi="仿宋_GB2312" w:eastAsia="仿宋_GB2312" w:cs="仿宋_GB2312"/>
          <w:b w:val="0"/>
          <w:bCs w:val="0"/>
          <w:color w:val="auto"/>
          <w:kern w:val="2"/>
          <w:sz w:val="32"/>
          <w:szCs w:val="32"/>
          <w:lang w:val="en-US" w:eastAsia="zh-CN" w:bidi="ar-SA"/>
        </w:rPr>
        <w:t>）中国移动增城分公司：负责做好应急通信保障和通信设施的抢修维护等工作。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29</w:t>
      </w:r>
      <w:r>
        <w:rPr>
          <w:rFonts w:hint="eastAsia" w:ascii="仿宋_GB2312" w:hAnsi="仿宋_GB2312" w:eastAsia="仿宋_GB2312" w:cs="仿宋_GB2312"/>
          <w:b w:val="0"/>
          <w:bCs w:val="0"/>
          <w:color w:val="auto"/>
          <w:kern w:val="2"/>
          <w:sz w:val="32"/>
          <w:szCs w:val="32"/>
          <w:lang w:val="en-US" w:eastAsia="zh-CN" w:bidi="ar-SA"/>
        </w:rPr>
        <w:t>）中国电信增城分公司：负责做好应急通信保障和通信设施的抢修维护等工作。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b w:val="0"/>
          <w:bCs w:val="0"/>
          <w:color w:val="auto"/>
          <w:kern w:val="2"/>
          <w:sz w:val="32"/>
          <w:szCs w:val="32"/>
          <w:lang w:val="en-US" w:eastAsia="zh-CN" w:bidi="ar-SA"/>
        </w:rPr>
        <w:t>30</w:t>
      </w:r>
      <w:r>
        <w:rPr>
          <w:rFonts w:hint="eastAsia" w:ascii="仿宋_GB2312" w:hAnsi="仿宋_GB2312" w:eastAsia="仿宋_GB2312" w:cs="仿宋_GB2312"/>
          <w:b w:val="0"/>
          <w:bCs w:val="0"/>
          <w:color w:val="auto"/>
          <w:kern w:val="2"/>
          <w:sz w:val="32"/>
          <w:szCs w:val="32"/>
          <w:lang w:val="en-US" w:eastAsia="zh-CN" w:bidi="ar-SA"/>
        </w:rPr>
        <w:t>）中国联通增城分公司：负责做好应急通信保障和通信设施的抢修维护等工作。</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61" w:name="_Toc25843"/>
      <w:bookmarkStart w:id="62" w:name="_Toc26750"/>
      <w:bookmarkStart w:id="63" w:name="_Toc6048"/>
      <w:bookmarkStart w:id="64" w:name="_Toc12024"/>
      <w:r>
        <w:rPr>
          <w:rFonts w:hint="eastAsia" w:ascii="Times New Roman" w:hAnsi="Times New Roman" w:eastAsia="楷体_GB2312" w:cs="楷体_GB2312"/>
          <w:b w:val="0"/>
          <w:bCs w:val="0"/>
          <w:color w:val="auto"/>
          <w:kern w:val="2"/>
          <w:sz w:val="32"/>
          <w:szCs w:val="32"/>
          <w:lang w:val="en-US" w:eastAsia="zh-CN"/>
        </w:rPr>
        <w:t>3</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2</w:t>
      </w:r>
      <w:r>
        <w:rPr>
          <w:rFonts w:hint="eastAsia" w:ascii="楷体_GB2312" w:hAnsi="楷体_GB2312" w:eastAsia="楷体_GB2312" w:cs="楷体_GB2312"/>
          <w:b w:val="0"/>
          <w:bCs w:val="0"/>
          <w:color w:val="auto"/>
          <w:kern w:val="2"/>
          <w:sz w:val="32"/>
          <w:szCs w:val="32"/>
          <w:lang w:val="en-US" w:eastAsia="zh-CN"/>
        </w:rPr>
        <w:t>区</w:t>
      </w:r>
      <w:bookmarkEnd w:id="61"/>
      <w:r>
        <w:rPr>
          <w:rFonts w:hint="eastAsia" w:ascii="楷体_GB2312" w:hAnsi="楷体_GB2312" w:eastAsia="楷体_GB2312" w:cs="楷体_GB2312"/>
          <w:b w:val="0"/>
          <w:bCs w:val="0"/>
          <w:color w:val="auto"/>
          <w:kern w:val="2"/>
          <w:sz w:val="32"/>
          <w:szCs w:val="32"/>
          <w:lang w:val="en-US" w:eastAsia="zh-CN"/>
        </w:rPr>
        <w:t>减灾委员会办公室</w:t>
      </w:r>
      <w:bookmarkEnd w:id="62"/>
      <w:r>
        <w:rPr>
          <w:rFonts w:hint="eastAsia" w:ascii="楷体_GB2312" w:hAnsi="楷体_GB2312" w:eastAsia="楷体_GB2312" w:cs="楷体_GB2312"/>
          <w:b w:val="0"/>
          <w:bCs w:val="0"/>
          <w:color w:val="auto"/>
          <w:kern w:val="2"/>
          <w:sz w:val="32"/>
          <w:szCs w:val="32"/>
          <w:lang w:val="en-US" w:eastAsia="zh-CN"/>
        </w:rPr>
        <w:t>职责</w:t>
      </w:r>
      <w:bookmarkEnd w:id="63"/>
      <w:bookmarkEnd w:id="64"/>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区减灾委员会办公室设在区应急管理局，办公室主任由区应急管理局分管领导兼任。办公室主要职责：负责拟定防灾减灾救灾工作政策；组织、协调自然灾害救助工作；组织自然灾害救助应急体系建设；指导灾情核查和统一上报、发布；负责救灾款物管理、分配及监督使用；指导发生灾害的镇（街）、村（社区）做好紧急转移安置受灾群众、保障受灾群众基本生活等救助工作；指导救灾物资储备；组织、指导救灾捐赠；会同有关部门拟订防灾减灾规划；提出启动、终止应急响应的建议及方案；承担区减灾委交办的其他工作。</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65" w:name="_Toc30862"/>
      <w:bookmarkStart w:id="66" w:name="_Toc7333"/>
      <w:bookmarkStart w:id="67" w:name="_Toc30772"/>
      <w:bookmarkStart w:id="68" w:name="_Toc2203"/>
      <w:r>
        <w:rPr>
          <w:rFonts w:hint="eastAsia" w:ascii="Times New Roman" w:hAnsi="Times New Roman" w:eastAsia="楷体_GB2312" w:cs="楷体_GB2312"/>
          <w:b w:val="0"/>
          <w:bCs w:val="0"/>
          <w:color w:val="auto"/>
          <w:kern w:val="2"/>
          <w:sz w:val="32"/>
          <w:szCs w:val="32"/>
          <w:lang w:val="en-US" w:eastAsia="zh-CN"/>
        </w:rPr>
        <w:t>3</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val="en-US" w:eastAsia="zh-CN"/>
        </w:rPr>
        <w:t>3</w:t>
      </w:r>
      <w:bookmarkEnd w:id="65"/>
      <w:bookmarkStart w:id="69" w:name="_Toc9542"/>
      <w:r>
        <w:rPr>
          <w:rFonts w:hint="eastAsia" w:ascii="楷体_GB2312" w:hAnsi="楷体_GB2312" w:eastAsia="楷体_GB2312" w:cs="楷体_GB2312"/>
          <w:b w:val="0"/>
          <w:bCs w:val="0"/>
          <w:color w:val="auto"/>
          <w:kern w:val="2"/>
          <w:sz w:val="32"/>
          <w:szCs w:val="32"/>
          <w:lang w:val="en-US" w:eastAsia="zh-CN"/>
        </w:rPr>
        <w:t>镇（街）</w:t>
      </w:r>
      <w:bookmarkEnd w:id="66"/>
      <w:bookmarkEnd w:id="69"/>
      <w:r>
        <w:rPr>
          <w:rFonts w:hint="eastAsia" w:ascii="楷体_GB2312" w:hAnsi="楷体_GB2312" w:eastAsia="楷体_GB2312" w:cs="楷体_GB2312"/>
          <w:b w:val="0"/>
          <w:bCs w:val="0"/>
          <w:color w:val="auto"/>
          <w:kern w:val="2"/>
          <w:sz w:val="32"/>
          <w:szCs w:val="32"/>
          <w:lang w:val="en-US" w:eastAsia="zh-CN"/>
        </w:rPr>
        <w:t>职责</w:t>
      </w:r>
      <w:bookmarkEnd w:id="67"/>
      <w:bookmarkEnd w:id="68"/>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070000"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070000" w:fill="auto"/>
          <w:lang w:val="en-US" w:eastAsia="zh-CN" w:bidi="ar-SA"/>
        </w:rPr>
        <w:t>在区减灾委统筹指导下，牵头落实辖区灾害救助属地责任：统筹组建应急专班，规范开展灾情统计与信息报送；统筹管理应急避护场所，协调物资储备与人员派驻；制定分片转移方案，组织受灾群众转移安置；统筹灾后救助资金物资发放，推进倒损住房恢复重建，联动社会力量参与救助。</w:t>
      </w:r>
      <w:bookmarkStart w:id="70" w:name="_Toc22680"/>
      <w:bookmarkStart w:id="71" w:name="_Toc14901"/>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72" w:name="_Toc5949"/>
      <w:bookmarkStart w:id="73" w:name="_Toc2159"/>
      <w:r>
        <w:rPr>
          <w:rFonts w:hint="eastAsia" w:ascii="Times New Roman" w:hAnsi="Times New Roman" w:eastAsia="楷体_GB2312" w:cs="楷体_GB2312"/>
          <w:b w:val="0"/>
          <w:bCs w:val="0"/>
          <w:color w:val="auto"/>
          <w:kern w:val="2"/>
          <w:sz w:val="32"/>
          <w:szCs w:val="32"/>
          <w:lang w:val="en-US" w:eastAsia="zh-CN"/>
        </w:rPr>
        <w:t>3</w:t>
      </w:r>
      <w:r>
        <w:rPr>
          <w:rFonts w:hint="eastAsia" w:ascii="楷体_GB2312" w:hAnsi="楷体_GB2312" w:eastAsia="楷体_GB2312" w:cs="楷体_GB2312"/>
          <w:b w:val="0"/>
          <w:bCs w:val="0"/>
          <w:color w:val="auto"/>
          <w:kern w:val="2"/>
          <w:sz w:val="32"/>
          <w:szCs w:val="32"/>
          <w:lang w:val="en-US" w:eastAsia="zh-CN"/>
        </w:rPr>
        <w:t>.</w:t>
      </w:r>
      <w:r>
        <w:rPr>
          <w:rFonts w:hint="eastAsia" w:ascii="Times New Roman" w:hAnsi="Times New Roman" w:eastAsia="楷体_GB2312" w:cs="楷体_GB2312"/>
          <w:b w:val="0"/>
          <w:bCs w:val="0"/>
          <w:color w:val="auto"/>
          <w:kern w:val="2"/>
          <w:sz w:val="32"/>
          <w:szCs w:val="32"/>
          <w:lang w:val="en-US" w:eastAsia="zh-CN"/>
        </w:rPr>
        <w:t>4</w:t>
      </w:r>
      <w:r>
        <w:rPr>
          <w:rFonts w:hint="eastAsia" w:ascii="楷体_GB2312" w:hAnsi="楷体_GB2312" w:eastAsia="楷体_GB2312" w:cs="楷体_GB2312"/>
          <w:b w:val="0"/>
          <w:bCs w:val="0"/>
          <w:color w:val="auto"/>
          <w:kern w:val="2"/>
          <w:sz w:val="32"/>
          <w:szCs w:val="32"/>
          <w:lang w:val="en-US" w:eastAsia="zh-CN"/>
        </w:rPr>
        <w:t>村（社区）职责</w:t>
      </w:r>
      <w:bookmarkEnd w:id="72"/>
      <w:bookmarkEnd w:id="73"/>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9"/>
        <w:rPr>
          <w:rFonts w:hint="eastAsia" w:ascii="仿宋_GB2312" w:hAnsi="仿宋_GB2312" w:eastAsia="仿宋_GB2312" w:cs="仿宋_GB2312"/>
          <w:color w:val="auto"/>
          <w:kern w:val="2"/>
          <w:lang w:val="en-US" w:eastAsia="zh-CN"/>
        </w:rPr>
      </w:pPr>
      <w:r>
        <w:rPr>
          <w:rFonts w:hint="eastAsia" w:ascii="仿宋_GB2312" w:hAnsi="仿宋_GB2312" w:eastAsia="仿宋_GB2312" w:cs="仿宋_GB2312"/>
          <w:b w:val="0"/>
          <w:color w:val="auto"/>
          <w:spacing w:val="0"/>
          <w:w w:val="100"/>
          <w:kern w:val="2"/>
          <w:position w:val="0"/>
          <w:sz w:val="32"/>
          <w:szCs w:val="32"/>
          <w:shd w:val="clear" w:color="070000" w:fill="auto"/>
          <w:lang w:val="en-US" w:eastAsia="zh-CN" w:bidi="ar-SA"/>
        </w:rPr>
        <w:t>作为基层实施单元，协助开展灾情初核与前端报送；负责临时避护场所现场值守、物资分发与安全巡查；协助组织群众转移，重点帮扶特殊群体；灾后组织自救互助，宣传落实救助政策，配合开展日常隐患排查与防灾宣传。</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74" w:name="_Toc15852"/>
      <w:bookmarkStart w:id="75" w:name="_Toc10694"/>
      <w:r>
        <w:rPr>
          <w:rFonts w:hint="eastAsia" w:ascii="Times New Roman" w:hAnsi="Times New Roman" w:eastAsia="楷体_GB2312" w:cs="楷体_GB2312"/>
          <w:b w:val="0"/>
          <w:bCs w:val="0"/>
          <w:color w:val="auto"/>
          <w:kern w:val="2"/>
          <w:sz w:val="32"/>
          <w:szCs w:val="32"/>
          <w:lang w:val="en-US" w:eastAsia="zh-CN"/>
        </w:rPr>
        <w:t>3</w:t>
      </w:r>
      <w:r>
        <w:rPr>
          <w:rFonts w:hint="eastAsia" w:ascii="楷体_GB2312" w:hAnsi="楷体_GB2312" w:eastAsia="楷体_GB2312" w:cs="楷体_GB2312"/>
          <w:b w:val="0"/>
          <w:bCs w:val="0"/>
          <w:color w:val="auto"/>
          <w:kern w:val="2"/>
          <w:sz w:val="32"/>
          <w:szCs w:val="32"/>
          <w:lang w:val="en-US" w:eastAsia="zh-CN"/>
        </w:rPr>
        <w:t>.</w:t>
      </w:r>
      <w:r>
        <w:rPr>
          <w:rFonts w:hint="eastAsia" w:ascii="Times New Roman" w:hAnsi="Times New Roman" w:eastAsia="楷体_GB2312" w:cs="楷体_GB2312"/>
          <w:b w:val="0"/>
          <w:bCs w:val="0"/>
          <w:color w:val="auto"/>
          <w:kern w:val="2"/>
          <w:sz w:val="32"/>
          <w:szCs w:val="32"/>
          <w:lang w:val="en-US" w:eastAsia="zh-CN"/>
        </w:rPr>
        <w:t>5</w:t>
      </w:r>
      <w:r>
        <w:rPr>
          <w:rFonts w:hint="eastAsia" w:ascii="楷体_GB2312" w:hAnsi="楷体_GB2312" w:eastAsia="楷体_GB2312" w:cs="楷体_GB2312"/>
          <w:b w:val="0"/>
          <w:bCs w:val="0"/>
          <w:color w:val="auto"/>
          <w:kern w:val="2"/>
          <w:sz w:val="32"/>
          <w:szCs w:val="32"/>
          <w:lang w:eastAsia="zh-CN"/>
        </w:rPr>
        <w:t>专家组</w:t>
      </w:r>
      <w:bookmarkEnd w:id="70"/>
      <w:bookmarkEnd w:id="71"/>
      <w:bookmarkEnd w:id="74"/>
      <w:bookmarkEnd w:id="75"/>
    </w:p>
    <w:p>
      <w:pPr>
        <w:keepNext w:val="0"/>
        <w:keepLines w:val="0"/>
        <w:pageBreakBefore w:val="0"/>
        <w:widowControl w:val="0"/>
        <w:kinsoku/>
        <w:wordWrap/>
        <w:overflowPunct/>
        <w:topLinePunct w:val="0"/>
        <w:autoSpaceDE/>
        <w:autoSpaceDN/>
        <w:bidi w:val="0"/>
        <w:adjustRightInd/>
        <w:snapToGrid/>
        <w:spacing w:line="570" w:lineRule="exact"/>
        <w:ind w:left="0" w:leftChars="0" w:firstLine="634" w:firstLineChars="200"/>
        <w:contextualSpacing/>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建立健全贴合增城区实际的专家咨询制度，</w:t>
      </w:r>
      <w:bookmarkStart w:id="76" w:name="_Toc29973"/>
      <w:r>
        <w:rPr>
          <w:rFonts w:hint="eastAsia" w:ascii="仿宋_GB2312" w:hAnsi="仿宋_GB2312" w:eastAsia="仿宋_GB2312" w:cs="仿宋_GB2312"/>
          <w:b w:val="0"/>
          <w:bCs w:val="0"/>
          <w:color w:val="auto"/>
          <w:kern w:val="2"/>
          <w:sz w:val="32"/>
          <w:szCs w:val="32"/>
          <w:lang w:val="en-US" w:eastAsia="zh-CN" w:bidi="ar-SA"/>
        </w:rPr>
        <w:t>立足本区 “山水城田海” 多元地貌特征及暴雨、台风、地质灾害等高发灾种实际，按需抽调气象、地质、水利、应急管理、建筑工程、民生保障等领域专业人才组建专项专家组。为增城区减灾救灾中长期规划编制、政策体系完善等提供精准决策支撑，针对重大自然灾害灾情核查评估、应急救援方案制定、灾后恢复重建规划等关键环节，出具符合区域实际的专业化咨询意见，以科学决策赋能防灾减灾救灾全过程，提升增城自然灾害救助工作的专业化、精准化水平。</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firstLine="634" w:firstLineChars="200"/>
        <w:contextualSpacing/>
        <w:textAlignment w:val="auto"/>
        <w:rPr>
          <w:rFonts w:hint="eastAsia" w:ascii="黑体" w:hAnsi="黑体" w:eastAsia="黑体" w:cs="黑体"/>
          <w:b w:val="0"/>
          <w:bCs w:val="0"/>
          <w:color w:val="auto"/>
          <w:kern w:val="2"/>
          <w:sz w:val="32"/>
          <w:szCs w:val="32"/>
          <w:lang w:val="en-US" w:eastAsia="zh-CN"/>
        </w:rPr>
      </w:pPr>
      <w:bookmarkStart w:id="77" w:name="_Toc30109"/>
      <w:bookmarkStart w:id="78" w:name="_Toc15925"/>
      <w:bookmarkStart w:id="79" w:name="_Toc11513"/>
      <w:bookmarkStart w:id="80" w:name="_Toc19820"/>
      <w:r>
        <w:rPr>
          <w:rFonts w:hint="eastAsia" w:ascii="Times New Roman" w:hAnsi="Times New Roman" w:eastAsia="楷体_GB2312" w:cs="楷体_GB2312"/>
          <w:b w:val="0"/>
          <w:bCs w:val="0"/>
          <w:color w:val="auto"/>
          <w:kern w:val="2"/>
          <w:sz w:val="32"/>
          <w:szCs w:val="32"/>
          <w:lang w:val="en-US" w:eastAsia="zh-CN" w:bidi="ar-SA"/>
        </w:rPr>
        <w:t>4</w:t>
      </w:r>
      <w:r>
        <w:rPr>
          <w:rFonts w:hint="eastAsia" w:ascii="黑体" w:hAnsi="黑体" w:eastAsia="黑体" w:cs="黑体"/>
          <w:b w:val="0"/>
          <w:bCs w:val="0"/>
          <w:color w:val="auto"/>
          <w:kern w:val="2"/>
          <w:sz w:val="32"/>
          <w:szCs w:val="32"/>
          <w:lang w:val="en-US" w:eastAsia="zh-CN"/>
        </w:rPr>
        <w:t>.</w:t>
      </w:r>
      <w:r>
        <w:rPr>
          <w:rFonts w:hint="eastAsia" w:ascii="黑体" w:hAnsi="黑体" w:eastAsia="黑体" w:cs="黑体"/>
          <w:b w:val="0"/>
          <w:bCs w:val="0"/>
          <w:color w:val="auto"/>
          <w:kern w:val="2"/>
          <w:sz w:val="32"/>
          <w:szCs w:val="32"/>
          <w:lang w:eastAsia="zh-CN"/>
        </w:rPr>
        <w:t>预警</w:t>
      </w:r>
      <w:bookmarkEnd w:id="76"/>
      <w:bookmarkEnd w:id="77"/>
      <w:bookmarkEnd w:id="78"/>
      <w:r>
        <w:rPr>
          <w:rFonts w:hint="eastAsia" w:ascii="黑体" w:hAnsi="黑体" w:eastAsia="黑体" w:cs="黑体"/>
          <w:b w:val="0"/>
          <w:bCs w:val="0"/>
          <w:color w:val="auto"/>
          <w:kern w:val="2"/>
          <w:sz w:val="32"/>
          <w:szCs w:val="32"/>
          <w:lang w:val="en-US" w:eastAsia="zh-CN"/>
        </w:rPr>
        <w:t>与响应</w:t>
      </w:r>
      <w:bookmarkEnd w:id="79"/>
      <w:bookmarkEnd w:id="80"/>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81" w:name="_Toc13981"/>
      <w:bookmarkStart w:id="82" w:name="_Toc4646"/>
      <w:bookmarkStart w:id="83" w:name="_Toc6384"/>
      <w:bookmarkStart w:id="84" w:name="_Toc26098"/>
      <w:r>
        <w:rPr>
          <w:rFonts w:hint="eastAsia" w:ascii="Times New Roman" w:hAnsi="Times New Roman" w:eastAsia="楷体_GB2312" w:cs="楷体_GB2312"/>
          <w:b w:val="0"/>
          <w:bCs w:val="0"/>
          <w:color w:val="auto"/>
          <w:kern w:val="2"/>
          <w:sz w:val="32"/>
          <w:szCs w:val="32"/>
          <w:lang w:val="en-US" w:eastAsia="zh-CN"/>
        </w:rPr>
        <w:t>4</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val="en-US" w:eastAsia="zh-CN"/>
        </w:rPr>
        <w:t>1</w:t>
      </w:r>
      <w:r>
        <w:rPr>
          <w:rFonts w:hint="eastAsia" w:ascii="楷体_GB2312" w:hAnsi="楷体_GB2312" w:eastAsia="楷体_GB2312" w:cs="楷体_GB2312"/>
          <w:b w:val="0"/>
          <w:bCs w:val="0"/>
          <w:color w:val="auto"/>
          <w:kern w:val="2"/>
          <w:sz w:val="32"/>
          <w:szCs w:val="32"/>
          <w:lang w:eastAsia="zh-CN"/>
        </w:rPr>
        <w:t>预警</w:t>
      </w:r>
      <w:bookmarkEnd w:id="81"/>
      <w:r>
        <w:rPr>
          <w:rFonts w:hint="eastAsia" w:ascii="楷体_GB2312" w:hAnsi="楷体_GB2312" w:eastAsia="楷体_GB2312" w:cs="楷体_GB2312"/>
          <w:b w:val="0"/>
          <w:bCs w:val="0"/>
          <w:color w:val="auto"/>
          <w:kern w:val="2"/>
          <w:sz w:val="32"/>
          <w:szCs w:val="32"/>
          <w:lang w:val="en-US" w:eastAsia="zh-CN"/>
        </w:rPr>
        <w:t>预报</w:t>
      </w:r>
      <w:bookmarkEnd w:id="82"/>
      <w:bookmarkEnd w:id="83"/>
      <w:bookmarkEnd w:id="84"/>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区气象局、区应急管理局（地震）、市规划和自然资源局增城区分局、区水务局、区农业农村局、区林业和园林局等部门依照职能及时向社会发布气象灾害、地震监测、地质灾害、汛情和旱情、森林火灾、农作物重大生物灾害等自然灾害预警预报信息，同时将预警预报信息向区减灾委办公室和履行救灾职责的区减灾委成员单位通报。</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85" w:name="_Toc15875"/>
      <w:bookmarkStart w:id="86" w:name="_Toc7740"/>
      <w:bookmarkStart w:id="87" w:name="_Toc12455"/>
      <w:bookmarkStart w:id="88" w:name="_Toc19098"/>
      <w:r>
        <w:rPr>
          <w:rFonts w:hint="eastAsia" w:ascii="Times New Roman" w:hAnsi="Times New Roman" w:eastAsia="楷体_GB2312" w:cs="楷体_GB2312"/>
          <w:b w:val="0"/>
          <w:bCs w:val="0"/>
          <w:color w:val="auto"/>
          <w:kern w:val="2"/>
          <w:sz w:val="32"/>
          <w:szCs w:val="32"/>
          <w:lang w:val="en-US" w:eastAsia="zh-CN"/>
        </w:rPr>
        <w:t>4</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val="en-US" w:eastAsia="zh-CN"/>
        </w:rPr>
        <w:t>2</w:t>
      </w:r>
      <w:bookmarkEnd w:id="85"/>
      <w:r>
        <w:rPr>
          <w:rFonts w:hint="eastAsia" w:ascii="楷体_GB2312" w:hAnsi="楷体_GB2312" w:eastAsia="楷体_GB2312" w:cs="楷体_GB2312"/>
          <w:b w:val="0"/>
          <w:bCs w:val="0"/>
          <w:color w:val="auto"/>
          <w:kern w:val="2"/>
          <w:sz w:val="32"/>
          <w:szCs w:val="32"/>
          <w:lang w:val="en-US" w:eastAsia="zh-CN"/>
        </w:rPr>
        <w:t>预警响应</w:t>
      </w:r>
      <w:bookmarkEnd w:id="86"/>
      <w:bookmarkEnd w:id="87"/>
      <w:bookmarkEnd w:id="88"/>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区减灾办根据相关部门发布的自然灾害预警信息，结合实际情况，对可能出现的灾情进行预评估，及时启动预警响应，提前采取应对措施：</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）向可能受影响的镇（街）、村（社区）通报预警信息，提出开放应急避护场所和灾害救助准备工作要求。</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）加强应急值守，密切跟踪灾害发展趋势，对灾害可能造成的损失进行动态评估，及时调整相关措施。</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en-US" w:eastAsia="zh-CN" w:bidi="ar-SA"/>
        </w:rPr>
        <w:t>）指导各镇街做好群众提前转移避险或转移安置、调运救灾物资和开放应急避护场所等防灾救灾各项准备工作；向转移避险或转移安置的群众发放生活救助物资。</w:t>
      </w:r>
    </w:p>
    <w:p>
      <w:pPr>
        <w:keepNext w:val="0"/>
        <w:keepLines w:val="0"/>
        <w:pageBreakBefore w:val="0"/>
        <w:widowControl w:val="0"/>
        <w:kinsoku/>
        <w:wordWrap/>
        <w:overflowPunct/>
        <w:topLinePunct w:val="0"/>
        <w:autoSpaceDE/>
        <w:autoSpaceDN/>
        <w:bidi w:val="0"/>
        <w:adjustRightInd/>
        <w:snapToGrid/>
        <w:spacing w:line="570" w:lineRule="exact"/>
        <w:ind w:firstLine="640"/>
        <w:jc w:val="left"/>
        <w:textAlignment w:val="auto"/>
        <w:outlineLvl w:val="9"/>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w:t>
      </w:r>
      <w:r>
        <w:rPr>
          <w:rFonts w:hint="eastAsia" w:ascii="Times New Roman" w:hAnsi="Times New Roman" w:eastAsia="仿宋_GB2312" w:cs="仿宋_GB2312"/>
          <w:b w:val="0"/>
          <w:color w:val="auto"/>
          <w:kern w:val="2"/>
          <w:sz w:val="32"/>
          <w:szCs w:val="32"/>
          <w:lang w:val="en-US" w:eastAsia="zh-CN" w:bidi="ar-SA"/>
        </w:rPr>
        <w:t>4</w:t>
      </w:r>
      <w:r>
        <w:rPr>
          <w:rFonts w:hint="eastAsia" w:ascii="仿宋_GB2312" w:hAnsi="仿宋_GB2312" w:eastAsia="仿宋_GB2312" w:cs="仿宋_GB2312"/>
          <w:b w:val="0"/>
          <w:color w:val="auto"/>
          <w:kern w:val="2"/>
          <w:sz w:val="32"/>
          <w:szCs w:val="32"/>
          <w:lang w:val="en-US" w:eastAsia="zh-CN" w:bidi="ar-SA"/>
        </w:rPr>
        <w:t>）及时向区人民政府、区减灾委报告，向区减灾委成员单位通报预警响应启动情况。</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left"/>
        <w:textAlignment w:val="auto"/>
        <w:outlineLvl w:val="9"/>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w:t>
      </w:r>
      <w:r>
        <w:rPr>
          <w:rFonts w:hint="eastAsia" w:ascii="Times New Roman" w:hAnsi="Times New Roman" w:eastAsia="仿宋_GB2312" w:cs="仿宋_GB2312"/>
          <w:b w:val="0"/>
          <w:color w:val="auto"/>
          <w:kern w:val="2"/>
          <w:sz w:val="32"/>
          <w:szCs w:val="32"/>
          <w:lang w:val="en-US" w:eastAsia="zh-CN" w:bidi="ar-SA"/>
        </w:rPr>
        <w:t>5</w:t>
      </w:r>
      <w:r>
        <w:rPr>
          <w:rFonts w:hint="eastAsia" w:ascii="仿宋_GB2312" w:hAnsi="仿宋_GB2312" w:eastAsia="仿宋_GB2312" w:cs="仿宋_GB2312"/>
          <w:b w:val="0"/>
          <w:color w:val="auto"/>
          <w:kern w:val="2"/>
          <w:sz w:val="32"/>
          <w:szCs w:val="32"/>
          <w:lang w:val="en-US" w:eastAsia="zh-CN" w:bidi="ar-SA"/>
        </w:rPr>
        <w:t>）区减灾委各成员单位按自身职责做好相关应急救灾准备工作。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left"/>
        <w:textAlignment w:val="auto"/>
        <w:rPr>
          <w:rFonts w:hint="eastAsia" w:ascii="仿宋_GB2312" w:hAnsi="仿宋_GB2312" w:eastAsia="仿宋_GB2312" w:cs="仿宋_GB2312"/>
          <w:color w:val="auto"/>
          <w:kern w:val="2"/>
          <w:lang w:val="en-US" w:eastAsia="zh-CN"/>
        </w:rPr>
      </w:pPr>
      <w:r>
        <w:rPr>
          <w:rFonts w:hint="eastAsia" w:ascii="仿宋_GB2312" w:hAnsi="仿宋_GB2312" w:eastAsia="仿宋_GB2312" w:cs="仿宋_GB2312"/>
          <w:b w:val="0"/>
          <w:color w:val="auto"/>
          <w:kern w:val="2"/>
          <w:sz w:val="32"/>
          <w:szCs w:val="32"/>
          <w:lang w:val="en-US" w:eastAsia="zh-CN" w:bidi="ar-SA"/>
        </w:rPr>
        <w:t>（</w:t>
      </w:r>
      <w:r>
        <w:rPr>
          <w:rFonts w:hint="eastAsia" w:ascii="Times New Roman" w:hAnsi="Times New Roman" w:eastAsia="仿宋_GB2312" w:cs="仿宋_GB2312"/>
          <w:b w:val="0"/>
          <w:color w:val="auto"/>
          <w:kern w:val="2"/>
          <w:sz w:val="32"/>
          <w:szCs w:val="32"/>
          <w:lang w:val="en-US" w:eastAsia="zh-CN" w:bidi="ar-SA"/>
        </w:rPr>
        <w:t>6</w:t>
      </w:r>
      <w:r>
        <w:rPr>
          <w:rFonts w:hint="eastAsia" w:ascii="仿宋_GB2312" w:hAnsi="仿宋_GB2312" w:eastAsia="仿宋_GB2312" w:cs="仿宋_GB2312"/>
          <w:b w:val="0"/>
          <w:color w:val="auto"/>
          <w:kern w:val="2"/>
          <w:sz w:val="32"/>
          <w:szCs w:val="32"/>
          <w:lang w:val="en-US" w:eastAsia="zh-CN" w:bidi="ar-SA"/>
        </w:rPr>
        <w:t>）灾害风险解除或演变为灾害后，区减灾委办公室终止预警响应。</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firstLine="634" w:firstLineChars="200"/>
        <w:contextualSpacing/>
        <w:textAlignment w:val="auto"/>
        <w:rPr>
          <w:rFonts w:hint="eastAsia" w:ascii="黑体" w:hAnsi="黑体" w:eastAsia="黑体" w:cs="黑体"/>
          <w:b w:val="0"/>
          <w:bCs w:val="0"/>
          <w:color w:val="auto"/>
          <w:kern w:val="2"/>
          <w:sz w:val="32"/>
          <w:szCs w:val="32"/>
          <w:lang w:eastAsia="zh-CN"/>
        </w:rPr>
      </w:pPr>
      <w:bookmarkStart w:id="89" w:name="_Toc25931"/>
      <w:bookmarkStart w:id="90" w:name="_Toc23562"/>
      <w:bookmarkStart w:id="91" w:name="_Toc18463"/>
      <w:bookmarkStart w:id="92" w:name="_Toc32079"/>
      <w:bookmarkStart w:id="93" w:name="_Toc20755"/>
      <w:r>
        <w:rPr>
          <w:rFonts w:hint="eastAsia" w:ascii="Times New Roman" w:hAnsi="Times New Roman" w:eastAsia="黑体" w:cs="黑体"/>
          <w:b w:val="0"/>
          <w:bCs w:val="0"/>
          <w:color w:val="auto"/>
          <w:kern w:val="2"/>
          <w:sz w:val="32"/>
          <w:szCs w:val="32"/>
          <w:lang w:val="en-US" w:eastAsia="zh-CN"/>
        </w:rPr>
        <w:t>5</w:t>
      </w:r>
      <w:r>
        <w:rPr>
          <w:rFonts w:hint="eastAsia" w:ascii="黑体" w:hAnsi="黑体" w:eastAsia="黑体" w:cs="黑体"/>
          <w:b w:val="0"/>
          <w:bCs w:val="0"/>
          <w:color w:val="auto"/>
          <w:kern w:val="2"/>
          <w:sz w:val="32"/>
          <w:szCs w:val="32"/>
          <w:lang w:val="en-US" w:eastAsia="zh-CN"/>
        </w:rPr>
        <w:t>.分级</w:t>
      </w:r>
      <w:r>
        <w:rPr>
          <w:rFonts w:hint="eastAsia" w:ascii="黑体" w:hAnsi="黑体" w:eastAsia="黑体" w:cs="黑体"/>
          <w:b w:val="0"/>
          <w:bCs w:val="0"/>
          <w:color w:val="auto"/>
          <w:kern w:val="2"/>
          <w:sz w:val="32"/>
          <w:szCs w:val="32"/>
          <w:lang w:eastAsia="zh-CN"/>
        </w:rPr>
        <w:t>应急响应</w:t>
      </w:r>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根据增城区范围内发生台风、大风、龙卷风、暴雨、高温、干旱、雷电、大雾、灰霾、寒冷、道路结冰和冰雹等气象灾害，山体崩塌、滑坡、泥石流等地质灾害，风暴潮等海洋灾害，重大生物灾害等自然灾害的影响范围、危害程度等因素，自然灾害救助应急响应由高到低分为Ⅰ级、Ⅱ级、Ⅲ级、Ⅳ级</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个等级，Ⅰ级为最高级。区减灾委成员单位根据自然灾害救助需要，在区减灾委的统一组织和领导下，切实履行好本部门的职责。</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对发生在敏感地区、敏感时间和救助能力特别薄弱的地区，或灾害对受灾地区经济社会造成重大影响时，启动区级自然灾害救助应急响应的标准视情调整。</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市应急管理局针对我区灾害过程启动自然灾害救助应急响应的，按程序启动区级自然灾害救助应急响应，并向市应急管理局报告。</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94" w:name="_Toc7779"/>
      <w:bookmarkStart w:id="95" w:name="_Toc4604"/>
      <w:bookmarkStart w:id="96" w:name="_Toc32391"/>
      <w:bookmarkStart w:id="97" w:name="_Toc1270"/>
      <w:bookmarkStart w:id="98" w:name="_Toc6521"/>
      <w:r>
        <w:rPr>
          <w:rFonts w:hint="eastAsia" w:ascii="Times New Roman" w:hAnsi="Times New Roman" w:eastAsia="楷体_GB2312" w:cs="楷体_GB2312"/>
          <w:b w:val="0"/>
          <w:bCs w:val="0"/>
          <w:color w:val="auto"/>
          <w:kern w:val="2"/>
          <w:sz w:val="32"/>
          <w:szCs w:val="32"/>
          <w:lang w:val="en-US" w:eastAsia="zh-CN"/>
        </w:rPr>
        <w:t>5</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1</w:t>
      </w:r>
      <w:r>
        <w:rPr>
          <w:rFonts w:hint="eastAsia" w:ascii="楷体_GB2312" w:hAnsi="楷体_GB2312" w:eastAsia="楷体_GB2312" w:cs="楷体_GB2312"/>
          <w:b w:val="0"/>
          <w:bCs w:val="0"/>
          <w:color w:val="auto"/>
          <w:kern w:val="2"/>
          <w:sz w:val="32"/>
          <w:szCs w:val="32"/>
          <w:lang w:eastAsia="zh-CN"/>
        </w:rPr>
        <w:t>Ⅳ级响应</w:t>
      </w:r>
      <w:bookmarkEnd w:id="94"/>
      <w:bookmarkEnd w:id="95"/>
      <w:bookmarkEnd w:id="96"/>
      <w:bookmarkEnd w:id="97"/>
    </w:p>
    <w:p>
      <w:pPr>
        <w:pStyle w:val="5"/>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1"/>
        <w:rPr>
          <w:rFonts w:hint="eastAsia" w:ascii="仿宋_GB2312" w:hAnsi="仿宋_GB2312" w:eastAsia="仿宋_GB2312" w:cs="仿宋_GB2312"/>
          <w:b w:val="0"/>
          <w:bCs/>
          <w:color w:val="auto"/>
          <w:kern w:val="2"/>
          <w:sz w:val="32"/>
          <w:szCs w:val="32"/>
          <w:lang w:eastAsia="zh-CN"/>
        </w:rPr>
      </w:pPr>
      <w:bookmarkStart w:id="99" w:name="_Toc31258"/>
      <w:bookmarkStart w:id="100" w:name="_Toc13904"/>
      <w:bookmarkStart w:id="101" w:name="_Toc6749"/>
      <w:bookmarkStart w:id="102" w:name="_Toc15937"/>
      <w:r>
        <w:rPr>
          <w:rFonts w:hint="eastAsia" w:ascii="Times New Roman" w:hAnsi="Times New Roman" w:eastAsia="仿宋_GB2312" w:cs="仿宋_GB2312"/>
          <w:b w:val="0"/>
          <w:bCs/>
          <w:color w:val="auto"/>
          <w:kern w:val="2"/>
          <w:sz w:val="32"/>
          <w:szCs w:val="32"/>
          <w:lang w:val="en-US" w:eastAsia="zh-CN"/>
        </w:rPr>
        <w:t>5</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1</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1</w:t>
      </w:r>
      <w:r>
        <w:rPr>
          <w:rFonts w:hint="eastAsia" w:ascii="仿宋_GB2312" w:hAnsi="仿宋_GB2312" w:eastAsia="仿宋_GB2312" w:cs="仿宋_GB2312"/>
          <w:b w:val="0"/>
          <w:bCs/>
          <w:color w:val="auto"/>
          <w:kern w:val="2"/>
          <w:sz w:val="32"/>
          <w:szCs w:val="32"/>
          <w:lang w:eastAsia="zh-CN"/>
        </w:rPr>
        <w:t>启动条件</w:t>
      </w:r>
      <w:bookmarkEnd w:id="99"/>
      <w:bookmarkEnd w:id="100"/>
      <w:bookmarkEnd w:id="101"/>
      <w:bookmarkEnd w:id="102"/>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lang w:val="en-US" w:eastAsia="zh-CN" w:bidi="ar-SA"/>
        </w:rPr>
        <w:t>一次灾害过程出现下列</w:t>
      </w:r>
      <w:r>
        <w:rPr>
          <w:rFonts w:hint="eastAsia" w:ascii="仿宋_GB2312" w:hAnsi="仿宋_GB2312" w:eastAsia="仿宋_GB2312" w:cs="仿宋_GB2312"/>
          <w:color w:val="auto"/>
          <w:kern w:val="2"/>
          <w:sz w:val="32"/>
          <w:szCs w:val="32"/>
          <w:highlight w:val="none"/>
          <w:lang w:val="en-US" w:eastAsia="zh-CN" w:bidi="ar-SA"/>
        </w:rPr>
        <w:t>情况之一的启动Ⅳ级响应：</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1</w:t>
      </w:r>
      <w:r>
        <w:rPr>
          <w:rFonts w:hint="eastAsia" w:ascii="仿宋_GB2312" w:hAnsi="仿宋_GB2312" w:eastAsia="仿宋_GB2312" w:cs="仿宋_GB2312"/>
          <w:color w:val="auto"/>
          <w:kern w:val="2"/>
          <w:sz w:val="32"/>
          <w:szCs w:val="32"/>
          <w:highlight w:val="none"/>
          <w:lang w:eastAsia="zh-CN"/>
        </w:rPr>
        <w:t>）因灾死亡（含失踪）</w:t>
      </w:r>
      <w:r>
        <w:rPr>
          <w:rFonts w:hint="eastAsia" w:ascii="Times New Roman" w:hAnsi="Times New Roman" w:eastAsia="仿宋_GB2312" w:cs="仿宋_GB2312"/>
          <w:color w:val="auto"/>
          <w:kern w:val="2"/>
          <w:sz w:val="32"/>
          <w:szCs w:val="32"/>
          <w:highlight w:val="none"/>
          <w:lang w:val="en-US" w:eastAsia="zh-CN"/>
        </w:rPr>
        <w:t>1</w:t>
      </w:r>
      <w:r>
        <w:rPr>
          <w:rFonts w:hint="eastAsia" w:ascii="仿宋_GB2312" w:hAnsi="仿宋_GB2312" w:eastAsia="仿宋_GB2312" w:cs="仿宋_GB2312"/>
          <w:color w:val="auto"/>
          <w:kern w:val="2"/>
          <w:sz w:val="32"/>
          <w:szCs w:val="32"/>
          <w:highlight w:val="none"/>
          <w:lang w:eastAsia="zh-CN"/>
        </w:rPr>
        <w:t>人以上、</w:t>
      </w:r>
      <w:r>
        <w:rPr>
          <w:rFonts w:hint="eastAsia" w:ascii="Times New Roman" w:hAnsi="Times New Roman" w:eastAsia="仿宋_GB2312" w:cs="仿宋_GB2312"/>
          <w:color w:val="auto"/>
          <w:kern w:val="2"/>
          <w:sz w:val="32"/>
          <w:szCs w:val="32"/>
          <w:highlight w:val="none"/>
          <w:lang w:val="en-US" w:eastAsia="zh-CN"/>
        </w:rPr>
        <w:t>3</w:t>
      </w:r>
      <w:r>
        <w:rPr>
          <w:rFonts w:hint="eastAsia" w:ascii="仿宋_GB2312" w:hAnsi="仿宋_GB2312" w:eastAsia="仿宋_GB2312" w:cs="仿宋_GB2312"/>
          <w:color w:val="auto"/>
          <w:kern w:val="2"/>
          <w:sz w:val="32"/>
          <w:szCs w:val="32"/>
          <w:highlight w:val="none"/>
          <w:lang w:eastAsia="zh-CN"/>
        </w:rPr>
        <w:t>人以下；</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2</w:t>
      </w:r>
      <w:r>
        <w:rPr>
          <w:rFonts w:hint="eastAsia" w:ascii="仿宋_GB2312" w:hAnsi="仿宋_GB2312" w:eastAsia="仿宋_GB2312" w:cs="仿宋_GB2312"/>
          <w:color w:val="auto"/>
          <w:kern w:val="2"/>
          <w:sz w:val="32"/>
          <w:szCs w:val="32"/>
          <w:highlight w:val="none"/>
          <w:lang w:eastAsia="zh-CN"/>
        </w:rPr>
        <w:t>）紧急转移安置和需要紧急生活救助</w:t>
      </w:r>
      <w:r>
        <w:rPr>
          <w:rFonts w:hint="eastAsia" w:ascii="Times New Roman" w:hAnsi="Times New Roman" w:eastAsia="仿宋_GB2312" w:cs="仿宋_GB2312"/>
          <w:color w:val="auto"/>
          <w:kern w:val="2"/>
          <w:sz w:val="32"/>
          <w:szCs w:val="32"/>
          <w:highlight w:val="none"/>
          <w:lang w:val="en-US" w:eastAsia="zh-CN"/>
        </w:rPr>
        <w:t>1000</w:t>
      </w:r>
      <w:r>
        <w:rPr>
          <w:rFonts w:hint="eastAsia" w:ascii="仿宋_GB2312" w:hAnsi="仿宋_GB2312" w:eastAsia="仿宋_GB2312" w:cs="仿宋_GB2312"/>
          <w:color w:val="auto"/>
          <w:kern w:val="2"/>
          <w:sz w:val="32"/>
          <w:szCs w:val="32"/>
          <w:highlight w:val="none"/>
          <w:lang w:eastAsia="zh-CN"/>
        </w:rPr>
        <w:t>人以上、</w:t>
      </w:r>
      <w:r>
        <w:rPr>
          <w:rFonts w:hint="eastAsia" w:ascii="Times New Roman" w:hAnsi="Times New Roman" w:eastAsia="仿宋_GB2312" w:cs="仿宋_GB2312"/>
          <w:color w:val="auto"/>
          <w:kern w:val="2"/>
          <w:sz w:val="32"/>
          <w:szCs w:val="32"/>
          <w:highlight w:val="none"/>
          <w:lang w:val="en-US" w:eastAsia="zh-CN"/>
        </w:rPr>
        <w:t>3000</w:t>
      </w:r>
      <w:r>
        <w:rPr>
          <w:rFonts w:hint="eastAsia" w:ascii="仿宋_GB2312" w:hAnsi="仿宋_GB2312" w:eastAsia="仿宋_GB2312" w:cs="仿宋_GB2312"/>
          <w:color w:val="auto"/>
          <w:kern w:val="2"/>
          <w:sz w:val="32"/>
          <w:szCs w:val="32"/>
          <w:lang w:eastAsia="zh-CN"/>
        </w:rPr>
        <w:t>人以下；</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lang w:eastAsia="zh-CN"/>
        </w:rPr>
        <w:t>（</w:t>
      </w:r>
      <w:r>
        <w:rPr>
          <w:rFonts w:hint="eastAsia" w:ascii="Times New Roman" w:hAnsi="Times New Roman" w:eastAsia="仿宋_GB2312" w:cs="仿宋_GB2312"/>
          <w:color w:val="auto"/>
          <w:kern w:val="2"/>
          <w:sz w:val="32"/>
          <w:szCs w:val="32"/>
          <w:lang w:eastAsia="zh-CN"/>
        </w:rPr>
        <w:t>3</w:t>
      </w:r>
      <w:r>
        <w:rPr>
          <w:rFonts w:hint="eastAsia" w:ascii="仿宋_GB2312" w:hAnsi="仿宋_GB2312" w:eastAsia="仿宋_GB2312" w:cs="仿宋_GB2312"/>
          <w:color w:val="auto"/>
          <w:kern w:val="2"/>
          <w:sz w:val="32"/>
          <w:szCs w:val="32"/>
          <w:lang w:eastAsia="zh-CN"/>
        </w:rPr>
        <w:t>）倒塌</w:t>
      </w:r>
      <w:r>
        <w:rPr>
          <w:rFonts w:hint="eastAsia" w:ascii="仿宋_GB2312" w:hAnsi="仿宋_GB2312" w:eastAsia="仿宋_GB2312" w:cs="仿宋_GB2312"/>
          <w:color w:val="auto"/>
          <w:kern w:val="2"/>
          <w:sz w:val="32"/>
          <w:szCs w:val="32"/>
          <w:highlight w:val="none"/>
          <w:lang w:eastAsia="zh-CN"/>
        </w:rPr>
        <w:t>和严重损坏房屋</w:t>
      </w:r>
      <w:r>
        <w:rPr>
          <w:rFonts w:hint="eastAsia" w:ascii="Times New Roman" w:hAnsi="Times New Roman" w:eastAsia="仿宋_GB2312" w:cs="仿宋_GB2312"/>
          <w:color w:val="auto"/>
          <w:kern w:val="2"/>
          <w:sz w:val="32"/>
          <w:szCs w:val="32"/>
          <w:highlight w:val="none"/>
          <w:lang w:val="en-US" w:eastAsia="zh-CN"/>
        </w:rPr>
        <w:t>300</w:t>
      </w:r>
      <w:r>
        <w:rPr>
          <w:rFonts w:hint="eastAsia" w:ascii="仿宋_GB2312" w:hAnsi="仿宋_GB2312" w:eastAsia="仿宋_GB2312" w:cs="仿宋_GB2312"/>
          <w:color w:val="auto"/>
          <w:kern w:val="2"/>
          <w:sz w:val="32"/>
          <w:szCs w:val="32"/>
          <w:highlight w:val="none"/>
          <w:lang w:eastAsia="zh-CN"/>
        </w:rPr>
        <w:t>间以上、</w:t>
      </w:r>
      <w:r>
        <w:rPr>
          <w:rFonts w:hint="eastAsia" w:ascii="Times New Roman" w:hAnsi="Times New Roman" w:eastAsia="仿宋_GB2312" w:cs="仿宋_GB2312"/>
          <w:color w:val="auto"/>
          <w:kern w:val="2"/>
          <w:sz w:val="32"/>
          <w:szCs w:val="32"/>
          <w:highlight w:val="none"/>
          <w:lang w:val="en-US" w:eastAsia="zh-CN"/>
        </w:rPr>
        <w:t>500</w:t>
      </w:r>
      <w:r>
        <w:rPr>
          <w:rFonts w:hint="eastAsia" w:ascii="仿宋_GB2312" w:hAnsi="仿宋_GB2312" w:eastAsia="仿宋_GB2312" w:cs="仿宋_GB2312"/>
          <w:color w:val="auto"/>
          <w:kern w:val="2"/>
          <w:sz w:val="32"/>
          <w:szCs w:val="32"/>
          <w:highlight w:val="none"/>
          <w:lang w:eastAsia="zh-CN"/>
        </w:rPr>
        <w:t>间以下或</w:t>
      </w:r>
      <w:r>
        <w:rPr>
          <w:rFonts w:hint="eastAsia" w:ascii="Times New Roman" w:hAnsi="Times New Roman" w:eastAsia="仿宋_GB2312" w:cs="仿宋_GB2312"/>
          <w:color w:val="auto"/>
          <w:kern w:val="2"/>
          <w:sz w:val="32"/>
          <w:szCs w:val="32"/>
          <w:highlight w:val="none"/>
          <w:lang w:val="en-US" w:eastAsia="zh-CN"/>
        </w:rPr>
        <w:t>200</w:t>
      </w:r>
      <w:r>
        <w:rPr>
          <w:rFonts w:hint="eastAsia" w:ascii="仿宋_GB2312" w:hAnsi="仿宋_GB2312" w:eastAsia="仿宋_GB2312" w:cs="仿宋_GB2312"/>
          <w:color w:val="auto"/>
          <w:kern w:val="2"/>
          <w:sz w:val="32"/>
          <w:szCs w:val="32"/>
          <w:highlight w:val="none"/>
          <w:lang w:eastAsia="zh-CN"/>
        </w:rPr>
        <w:t>户以上、</w:t>
      </w:r>
      <w:r>
        <w:rPr>
          <w:rFonts w:hint="eastAsia" w:ascii="Times New Roman" w:hAnsi="Times New Roman" w:eastAsia="仿宋_GB2312" w:cs="仿宋_GB2312"/>
          <w:color w:val="auto"/>
          <w:kern w:val="2"/>
          <w:sz w:val="32"/>
          <w:szCs w:val="32"/>
          <w:highlight w:val="none"/>
          <w:lang w:val="en-US" w:eastAsia="zh-CN"/>
        </w:rPr>
        <w:t>300</w:t>
      </w:r>
      <w:r>
        <w:rPr>
          <w:rFonts w:hint="eastAsia" w:ascii="仿宋_GB2312" w:hAnsi="仿宋_GB2312" w:eastAsia="仿宋_GB2312" w:cs="仿宋_GB2312"/>
          <w:color w:val="auto"/>
          <w:kern w:val="2"/>
          <w:sz w:val="32"/>
          <w:szCs w:val="32"/>
          <w:highlight w:val="none"/>
          <w:lang w:eastAsia="zh-CN"/>
        </w:rPr>
        <w:t>户以下；</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4</w:t>
      </w:r>
      <w:r>
        <w:rPr>
          <w:rFonts w:hint="eastAsia" w:ascii="仿宋_GB2312" w:hAnsi="仿宋_GB2312" w:eastAsia="仿宋_GB2312" w:cs="仿宋_GB2312"/>
          <w:color w:val="auto"/>
          <w:kern w:val="2"/>
          <w:sz w:val="32"/>
          <w:szCs w:val="32"/>
          <w:highlight w:val="none"/>
          <w:lang w:eastAsia="zh-CN"/>
        </w:rPr>
        <w:t>）自然灾害造成缺粮或缺水等生活困难，需政府救助人数</w:t>
      </w:r>
      <w:r>
        <w:rPr>
          <w:rFonts w:hint="eastAsia" w:ascii="Times New Roman" w:hAnsi="Times New Roman" w:eastAsia="仿宋_GB2312" w:cs="仿宋_GB2312"/>
          <w:color w:val="auto"/>
          <w:kern w:val="2"/>
          <w:sz w:val="32"/>
          <w:szCs w:val="32"/>
          <w:highlight w:val="none"/>
          <w:lang w:val="en-US" w:eastAsia="zh-CN"/>
        </w:rPr>
        <w:t>1</w:t>
      </w:r>
      <w:r>
        <w:rPr>
          <w:rFonts w:hint="eastAsia" w:ascii="仿宋_GB2312" w:hAnsi="仿宋_GB2312" w:eastAsia="仿宋_GB2312" w:cs="仿宋_GB2312"/>
          <w:color w:val="auto"/>
          <w:kern w:val="2"/>
          <w:sz w:val="32"/>
          <w:szCs w:val="32"/>
          <w:highlight w:val="none"/>
          <w:lang w:eastAsia="zh-CN"/>
        </w:rPr>
        <w:t>万人以上、</w:t>
      </w:r>
      <w:r>
        <w:rPr>
          <w:rFonts w:hint="eastAsia" w:ascii="Times New Roman" w:hAnsi="Times New Roman" w:eastAsia="仿宋_GB2312" w:cs="仿宋_GB2312"/>
          <w:color w:val="auto"/>
          <w:kern w:val="2"/>
          <w:sz w:val="32"/>
          <w:szCs w:val="32"/>
          <w:highlight w:val="none"/>
          <w:lang w:val="en-US" w:eastAsia="zh-CN"/>
        </w:rPr>
        <w:t>2</w:t>
      </w:r>
      <w:r>
        <w:rPr>
          <w:rFonts w:hint="eastAsia" w:ascii="仿宋_GB2312" w:hAnsi="仿宋_GB2312" w:eastAsia="仿宋_GB2312" w:cs="仿宋_GB2312"/>
          <w:color w:val="auto"/>
          <w:kern w:val="2"/>
          <w:sz w:val="32"/>
          <w:szCs w:val="32"/>
          <w:highlight w:val="none"/>
          <w:lang w:eastAsia="zh-CN"/>
        </w:rPr>
        <w:t>万人以下；</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5</w:t>
      </w:r>
      <w:r>
        <w:rPr>
          <w:rFonts w:hint="eastAsia" w:ascii="仿宋_GB2312" w:hAnsi="仿宋_GB2312" w:eastAsia="仿宋_GB2312" w:cs="仿宋_GB2312"/>
          <w:color w:val="auto"/>
          <w:kern w:val="2"/>
          <w:sz w:val="32"/>
          <w:szCs w:val="32"/>
          <w:highlight w:val="none"/>
          <w:lang w:eastAsia="zh-CN"/>
        </w:rPr>
        <w:t>）符合其他自然灾害预案Ⅳ级响应启动条件的情形。</w:t>
      </w:r>
    </w:p>
    <w:p>
      <w:pPr>
        <w:pStyle w:val="5"/>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1"/>
        <w:rPr>
          <w:rFonts w:hint="eastAsia" w:ascii="仿宋_GB2312" w:hAnsi="仿宋_GB2312" w:eastAsia="仿宋_GB2312" w:cs="仿宋_GB2312"/>
          <w:b w:val="0"/>
          <w:bCs/>
          <w:color w:val="auto"/>
          <w:kern w:val="2"/>
          <w:sz w:val="32"/>
          <w:szCs w:val="32"/>
          <w:highlight w:val="none"/>
          <w:lang w:eastAsia="zh-CN"/>
        </w:rPr>
      </w:pPr>
      <w:bookmarkStart w:id="103" w:name="_Toc26609"/>
      <w:bookmarkStart w:id="104" w:name="_Toc17440"/>
      <w:bookmarkStart w:id="105" w:name="_Toc2779"/>
      <w:bookmarkStart w:id="106" w:name="_Toc19612"/>
      <w:r>
        <w:rPr>
          <w:rFonts w:hint="eastAsia" w:ascii="Times New Roman" w:hAnsi="Times New Roman" w:eastAsia="仿宋_GB2312" w:cs="仿宋_GB2312"/>
          <w:b w:val="0"/>
          <w:bCs/>
          <w:color w:val="auto"/>
          <w:kern w:val="2"/>
          <w:sz w:val="32"/>
          <w:szCs w:val="32"/>
          <w:highlight w:val="none"/>
          <w:lang w:val="en-US" w:eastAsia="zh-CN"/>
        </w:rPr>
        <w:t>5</w:t>
      </w:r>
      <w:r>
        <w:rPr>
          <w:rFonts w:hint="eastAsia" w:ascii="仿宋_GB2312" w:hAnsi="仿宋_GB2312" w:eastAsia="仿宋_GB2312" w:cs="仿宋_GB2312"/>
          <w:b w:val="0"/>
          <w:bCs/>
          <w:color w:val="auto"/>
          <w:kern w:val="2"/>
          <w:sz w:val="32"/>
          <w:szCs w:val="32"/>
          <w:highlight w:val="none"/>
          <w:lang w:eastAsia="zh-CN"/>
        </w:rPr>
        <w:t>.</w:t>
      </w:r>
      <w:r>
        <w:rPr>
          <w:rFonts w:hint="eastAsia" w:ascii="Times New Roman" w:hAnsi="Times New Roman" w:eastAsia="仿宋_GB2312" w:cs="仿宋_GB2312"/>
          <w:b w:val="0"/>
          <w:bCs/>
          <w:color w:val="auto"/>
          <w:kern w:val="2"/>
          <w:sz w:val="32"/>
          <w:szCs w:val="32"/>
          <w:highlight w:val="none"/>
          <w:lang w:eastAsia="zh-CN"/>
        </w:rPr>
        <w:t>1</w:t>
      </w:r>
      <w:r>
        <w:rPr>
          <w:rFonts w:hint="eastAsia" w:ascii="仿宋_GB2312" w:hAnsi="仿宋_GB2312" w:eastAsia="仿宋_GB2312" w:cs="仿宋_GB2312"/>
          <w:b w:val="0"/>
          <w:bCs/>
          <w:color w:val="auto"/>
          <w:kern w:val="2"/>
          <w:sz w:val="32"/>
          <w:szCs w:val="32"/>
          <w:highlight w:val="none"/>
          <w:lang w:eastAsia="zh-CN"/>
        </w:rPr>
        <w:t>.</w:t>
      </w:r>
      <w:r>
        <w:rPr>
          <w:rFonts w:hint="eastAsia" w:ascii="Times New Roman" w:hAnsi="Times New Roman" w:eastAsia="仿宋_GB2312" w:cs="仿宋_GB2312"/>
          <w:b w:val="0"/>
          <w:bCs/>
          <w:color w:val="auto"/>
          <w:kern w:val="2"/>
          <w:sz w:val="32"/>
          <w:szCs w:val="32"/>
          <w:highlight w:val="none"/>
          <w:lang w:eastAsia="zh-CN"/>
        </w:rPr>
        <w:t>2</w:t>
      </w:r>
      <w:r>
        <w:rPr>
          <w:rFonts w:hint="eastAsia" w:ascii="仿宋_GB2312" w:hAnsi="仿宋_GB2312" w:eastAsia="仿宋_GB2312" w:cs="仿宋_GB2312"/>
          <w:b w:val="0"/>
          <w:bCs/>
          <w:color w:val="auto"/>
          <w:kern w:val="2"/>
          <w:sz w:val="32"/>
          <w:szCs w:val="32"/>
          <w:highlight w:val="none"/>
          <w:lang w:eastAsia="zh-CN"/>
        </w:rPr>
        <w:t>启动程序</w:t>
      </w:r>
      <w:bookmarkEnd w:id="103"/>
      <w:bookmarkEnd w:id="104"/>
      <w:bookmarkEnd w:id="105"/>
      <w:bookmarkEnd w:id="106"/>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highlight w:val="none"/>
          <w:lang w:val="en-US" w:eastAsia="zh-CN" w:bidi="ar-SA"/>
        </w:rPr>
        <w:t>灾害发生后，区减灾办对灾害影响</w:t>
      </w:r>
      <w:r>
        <w:rPr>
          <w:rFonts w:hint="eastAsia" w:ascii="仿宋_GB2312" w:hAnsi="仿宋_GB2312" w:eastAsia="仿宋_GB2312" w:cs="仿宋_GB2312"/>
          <w:color w:val="auto"/>
          <w:kern w:val="2"/>
          <w:sz w:val="32"/>
          <w:szCs w:val="32"/>
          <w:lang w:val="en-US" w:eastAsia="zh-CN" w:bidi="ar-SA"/>
        </w:rPr>
        <w:t>及其发展趋势进行综合评估，认定灾情达到启动标准，由区减灾办提出启动Ⅳ级响应的建议，报请区减灾办主任决定启动Ⅳ级应急响应。启动Ⅳ级应急响应时以区减灾办名义发布，并报告区减灾委主任、副主任。</w:t>
      </w:r>
    </w:p>
    <w:p>
      <w:pPr>
        <w:pStyle w:val="5"/>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1"/>
        <w:rPr>
          <w:rFonts w:hint="eastAsia" w:ascii="仿宋_GB2312" w:hAnsi="仿宋_GB2312" w:eastAsia="仿宋_GB2312" w:cs="仿宋_GB2312"/>
          <w:b w:val="0"/>
          <w:bCs/>
          <w:color w:val="auto"/>
          <w:kern w:val="2"/>
          <w:sz w:val="32"/>
          <w:szCs w:val="32"/>
          <w:lang w:eastAsia="zh-CN"/>
        </w:rPr>
      </w:pPr>
      <w:bookmarkStart w:id="107" w:name="_Toc12187"/>
      <w:bookmarkStart w:id="108" w:name="_Toc1513"/>
      <w:bookmarkStart w:id="109" w:name="_Toc9368"/>
      <w:bookmarkStart w:id="110" w:name="_Toc29536"/>
      <w:r>
        <w:rPr>
          <w:rFonts w:hint="eastAsia" w:ascii="Times New Roman" w:hAnsi="Times New Roman" w:eastAsia="仿宋_GB2312" w:cs="仿宋_GB2312"/>
          <w:b w:val="0"/>
          <w:bCs/>
          <w:color w:val="auto"/>
          <w:kern w:val="2"/>
          <w:sz w:val="32"/>
          <w:szCs w:val="32"/>
          <w:lang w:val="en-US" w:eastAsia="zh-CN"/>
        </w:rPr>
        <w:t>5</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1</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3</w:t>
      </w:r>
      <w:r>
        <w:rPr>
          <w:rFonts w:hint="eastAsia" w:ascii="仿宋_GB2312" w:hAnsi="仿宋_GB2312" w:eastAsia="仿宋_GB2312" w:cs="仿宋_GB2312"/>
          <w:b w:val="0"/>
          <w:bCs/>
          <w:color w:val="auto"/>
          <w:kern w:val="2"/>
          <w:sz w:val="32"/>
          <w:szCs w:val="32"/>
          <w:lang w:eastAsia="zh-CN"/>
        </w:rPr>
        <w:t>响应措施</w:t>
      </w:r>
      <w:bookmarkEnd w:id="107"/>
      <w:bookmarkEnd w:id="108"/>
      <w:bookmarkEnd w:id="109"/>
      <w:bookmarkEnd w:id="110"/>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区减灾办组织、协调自然灾害救助工作，指导、支持受灾镇（街）、村（社区）的自然灾害救助工作。其成员单位视情况采取以下措施：</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）区减灾办视情况组织有关部门（单位）及受灾镇（街）、村（社区）和专家召开会商会，分析灾区形势，研究落实对灾区的救灾支持措施。</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）区减灾办派出工作人员赴灾区慰问受灾群众，核查灾情，协助指导受灾镇（街）、村（社区）开展救灾工作。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en-US" w:eastAsia="zh-CN" w:bidi="ar-SA"/>
        </w:rPr>
        <w:t>）区应急管理局及时掌握并按照有关规定统一发布灾情和救灾工作动态信息。</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）区应急管理局会同区财政局根据对灾情的核定情况，及时下拨自然灾害救助资金。</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2"/>
          <w:sz w:val="32"/>
          <w:szCs w:val="32"/>
          <w:lang w:val="en-US" w:eastAsia="zh-CN" w:bidi="ar-SA"/>
        </w:rPr>
        <w:t>）区应急管理局会同区发展改革局紧急调拨生活类救助物资，指导、监督灾区救灾应急措施落实和救灾款物发放。</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2"/>
          <w:sz w:val="32"/>
          <w:szCs w:val="32"/>
          <w:lang w:val="en-US" w:eastAsia="zh-CN" w:bidi="ar-SA"/>
        </w:rPr>
        <w:t>）区卫生健康局、区民政局等部门和单位指导受灾地区做好医疗救治、卫生防疫和心理援助工作。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2"/>
          <w:sz w:val="32"/>
          <w:szCs w:val="32"/>
          <w:lang w:val="en-US" w:eastAsia="zh-CN" w:bidi="ar-SA"/>
        </w:rPr>
        <w:t>）其他成员单位按照职责分工，做好有关工作。</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111" w:name="_Toc5275"/>
      <w:bookmarkStart w:id="112" w:name="_Toc24759"/>
      <w:bookmarkStart w:id="113" w:name="_Toc6648"/>
      <w:bookmarkStart w:id="114" w:name="_Toc15737"/>
      <w:r>
        <w:rPr>
          <w:rFonts w:hint="eastAsia" w:ascii="Times New Roman" w:hAnsi="Times New Roman" w:eastAsia="楷体_GB2312" w:cs="楷体_GB2312"/>
          <w:b w:val="0"/>
          <w:bCs w:val="0"/>
          <w:color w:val="auto"/>
          <w:kern w:val="2"/>
          <w:sz w:val="32"/>
          <w:szCs w:val="32"/>
          <w:lang w:val="en-US" w:eastAsia="zh-CN"/>
        </w:rPr>
        <w:t>5</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2</w:t>
      </w:r>
      <w:r>
        <w:rPr>
          <w:rFonts w:hint="eastAsia" w:ascii="楷体_GB2312" w:hAnsi="楷体_GB2312" w:eastAsia="楷体_GB2312" w:cs="楷体_GB2312"/>
          <w:b w:val="0"/>
          <w:bCs w:val="0"/>
          <w:color w:val="auto"/>
          <w:kern w:val="2"/>
          <w:sz w:val="32"/>
          <w:szCs w:val="32"/>
          <w:lang w:eastAsia="zh-CN"/>
        </w:rPr>
        <w:t>Ⅲ级响应</w:t>
      </w:r>
      <w:bookmarkEnd w:id="111"/>
      <w:bookmarkEnd w:id="112"/>
      <w:bookmarkEnd w:id="113"/>
      <w:bookmarkEnd w:id="114"/>
    </w:p>
    <w:p>
      <w:pPr>
        <w:pStyle w:val="5"/>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1"/>
        <w:rPr>
          <w:rFonts w:hint="eastAsia" w:ascii="仿宋_GB2312" w:hAnsi="仿宋_GB2312" w:eastAsia="仿宋_GB2312" w:cs="仿宋_GB2312"/>
          <w:b w:val="0"/>
          <w:bCs/>
          <w:color w:val="auto"/>
          <w:kern w:val="2"/>
          <w:sz w:val="32"/>
          <w:szCs w:val="32"/>
          <w:lang w:eastAsia="zh-CN"/>
        </w:rPr>
      </w:pPr>
      <w:bookmarkStart w:id="115" w:name="_Toc26267"/>
      <w:bookmarkStart w:id="116" w:name="_Toc21263"/>
      <w:bookmarkStart w:id="117" w:name="_Toc25950"/>
      <w:bookmarkStart w:id="118" w:name="_Toc31742"/>
      <w:r>
        <w:rPr>
          <w:rFonts w:hint="eastAsia" w:ascii="Times New Roman" w:hAnsi="Times New Roman" w:eastAsia="仿宋_GB2312" w:cs="仿宋_GB2312"/>
          <w:b w:val="0"/>
          <w:bCs/>
          <w:color w:val="auto"/>
          <w:kern w:val="2"/>
          <w:sz w:val="32"/>
          <w:szCs w:val="32"/>
          <w:lang w:val="en-US" w:eastAsia="zh-CN"/>
        </w:rPr>
        <w:t>5</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2</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1</w:t>
      </w:r>
      <w:r>
        <w:rPr>
          <w:rFonts w:hint="eastAsia" w:ascii="仿宋_GB2312" w:hAnsi="仿宋_GB2312" w:eastAsia="仿宋_GB2312" w:cs="仿宋_GB2312"/>
          <w:b w:val="0"/>
          <w:bCs/>
          <w:color w:val="auto"/>
          <w:kern w:val="2"/>
          <w:sz w:val="32"/>
          <w:szCs w:val="32"/>
          <w:lang w:eastAsia="zh-CN"/>
        </w:rPr>
        <w:t>启动条件</w:t>
      </w:r>
      <w:bookmarkEnd w:id="115"/>
      <w:bookmarkEnd w:id="116"/>
      <w:bookmarkEnd w:id="117"/>
      <w:bookmarkEnd w:id="118"/>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一次灾害过程出现下列情况之一的启动Ⅲ级响应：</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eastAsia="zh-CN"/>
        </w:rPr>
        <w:t>（</w:t>
      </w:r>
      <w:r>
        <w:rPr>
          <w:rFonts w:hint="eastAsia" w:ascii="Times New Roman" w:hAnsi="Times New Roman" w:eastAsia="仿宋_GB2312" w:cs="仿宋_GB2312"/>
          <w:color w:val="auto"/>
          <w:kern w:val="2"/>
          <w:sz w:val="32"/>
          <w:szCs w:val="32"/>
          <w:lang w:eastAsia="zh-CN"/>
        </w:rPr>
        <w:t>1</w:t>
      </w:r>
      <w:r>
        <w:rPr>
          <w:rFonts w:hint="eastAsia" w:ascii="仿宋_GB2312" w:hAnsi="仿宋_GB2312" w:eastAsia="仿宋_GB2312" w:cs="仿宋_GB2312"/>
          <w:color w:val="auto"/>
          <w:kern w:val="2"/>
          <w:sz w:val="32"/>
          <w:szCs w:val="32"/>
          <w:lang w:eastAsia="zh-CN"/>
        </w:rPr>
        <w:t>）因灾死亡（含失踪）</w:t>
      </w:r>
      <w:r>
        <w:rPr>
          <w:rFonts w:hint="eastAsia" w:ascii="Times New Roman" w:hAnsi="Times New Roman" w:eastAsia="仿宋_GB2312" w:cs="仿宋_GB2312"/>
          <w:color w:val="auto"/>
          <w:kern w:val="2"/>
          <w:sz w:val="32"/>
          <w:szCs w:val="32"/>
          <w:lang w:val="en-US" w:eastAsia="zh-CN"/>
        </w:rPr>
        <w:t>3</w:t>
      </w:r>
      <w:r>
        <w:rPr>
          <w:rFonts w:hint="eastAsia" w:ascii="仿宋_GB2312" w:hAnsi="仿宋_GB2312" w:eastAsia="仿宋_GB2312" w:cs="仿宋_GB2312"/>
          <w:color w:val="auto"/>
          <w:kern w:val="2"/>
          <w:sz w:val="32"/>
          <w:szCs w:val="32"/>
          <w:lang w:eastAsia="zh-CN"/>
        </w:rPr>
        <w:t>人以上，</w:t>
      </w:r>
      <w:r>
        <w:rPr>
          <w:rFonts w:hint="eastAsia" w:ascii="Times New Roman" w:hAnsi="Times New Roman" w:eastAsia="仿宋_GB2312" w:cs="仿宋_GB2312"/>
          <w:color w:val="auto"/>
          <w:kern w:val="2"/>
          <w:sz w:val="32"/>
          <w:szCs w:val="32"/>
          <w:lang w:val="en-US" w:eastAsia="zh-CN"/>
        </w:rPr>
        <w:t>5</w:t>
      </w:r>
      <w:r>
        <w:rPr>
          <w:rFonts w:hint="eastAsia" w:ascii="仿宋_GB2312" w:hAnsi="仿宋_GB2312" w:eastAsia="仿宋_GB2312" w:cs="仿宋_GB2312"/>
          <w:color w:val="auto"/>
          <w:kern w:val="2"/>
          <w:sz w:val="32"/>
          <w:szCs w:val="32"/>
          <w:lang w:eastAsia="zh-CN"/>
        </w:rPr>
        <w:t>人以下；</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lang w:eastAsia="zh-CN"/>
        </w:rPr>
        <w:t>（</w:t>
      </w:r>
      <w:r>
        <w:rPr>
          <w:rFonts w:hint="eastAsia" w:ascii="Times New Roman" w:hAnsi="Times New Roman" w:eastAsia="仿宋_GB2312" w:cs="仿宋_GB2312"/>
          <w:color w:val="auto"/>
          <w:kern w:val="2"/>
          <w:sz w:val="32"/>
          <w:szCs w:val="32"/>
          <w:lang w:eastAsia="zh-CN"/>
        </w:rPr>
        <w:t>2</w:t>
      </w:r>
      <w:r>
        <w:rPr>
          <w:rFonts w:hint="eastAsia" w:ascii="仿宋_GB2312" w:hAnsi="仿宋_GB2312" w:eastAsia="仿宋_GB2312" w:cs="仿宋_GB2312"/>
          <w:color w:val="auto"/>
          <w:kern w:val="2"/>
          <w:sz w:val="32"/>
          <w:szCs w:val="32"/>
          <w:lang w:eastAsia="zh-CN"/>
        </w:rPr>
        <w:t>）紧急转移安置和需要紧</w:t>
      </w:r>
      <w:r>
        <w:rPr>
          <w:rFonts w:hint="eastAsia" w:ascii="仿宋_GB2312" w:hAnsi="仿宋_GB2312" w:eastAsia="仿宋_GB2312" w:cs="仿宋_GB2312"/>
          <w:color w:val="auto"/>
          <w:kern w:val="2"/>
          <w:sz w:val="32"/>
          <w:szCs w:val="32"/>
          <w:highlight w:val="none"/>
          <w:lang w:eastAsia="zh-CN"/>
        </w:rPr>
        <w:t>急生活救助</w:t>
      </w:r>
      <w:r>
        <w:rPr>
          <w:rFonts w:hint="eastAsia" w:ascii="Times New Roman" w:hAnsi="Times New Roman" w:eastAsia="仿宋_GB2312" w:cs="仿宋_GB2312"/>
          <w:color w:val="auto"/>
          <w:kern w:val="2"/>
          <w:sz w:val="32"/>
          <w:szCs w:val="32"/>
          <w:highlight w:val="none"/>
          <w:lang w:val="en-US" w:eastAsia="zh-CN"/>
        </w:rPr>
        <w:t>3000</w:t>
      </w:r>
      <w:r>
        <w:rPr>
          <w:rFonts w:hint="eastAsia" w:ascii="仿宋_GB2312" w:hAnsi="仿宋_GB2312" w:eastAsia="仿宋_GB2312" w:cs="仿宋_GB2312"/>
          <w:color w:val="auto"/>
          <w:kern w:val="2"/>
          <w:sz w:val="32"/>
          <w:szCs w:val="32"/>
          <w:highlight w:val="none"/>
          <w:lang w:eastAsia="zh-CN"/>
        </w:rPr>
        <w:t>人以上、</w:t>
      </w:r>
      <w:r>
        <w:rPr>
          <w:rFonts w:hint="eastAsia" w:ascii="Times New Roman" w:hAnsi="Times New Roman" w:eastAsia="仿宋_GB2312" w:cs="仿宋_GB2312"/>
          <w:color w:val="auto"/>
          <w:kern w:val="2"/>
          <w:sz w:val="32"/>
          <w:szCs w:val="32"/>
          <w:highlight w:val="none"/>
          <w:lang w:val="en-US" w:eastAsia="zh-CN"/>
        </w:rPr>
        <w:t>5000</w:t>
      </w:r>
      <w:r>
        <w:rPr>
          <w:rFonts w:hint="eastAsia" w:ascii="仿宋_GB2312" w:hAnsi="仿宋_GB2312" w:eastAsia="仿宋_GB2312" w:cs="仿宋_GB2312"/>
          <w:color w:val="auto"/>
          <w:kern w:val="2"/>
          <w:sz w:val="32"/>
          <w:szCs w:val="32"/>
          <w:highlight w:val="none"/>
          <w:lang w:eastAsia="zh-CN"/>
        </w:rPr>
        <w:t>人以下；</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3</w:t>
      </w:r>
      <w:r>
        <w:rPr>
          <w:rFonts w:hint="eastAsia" w:ascii="仿宋_GB2312" w:hAnsi="仿宋_GB2312" w:eastAsia="仿宋_GB2312" w:cs="仿宋_GB2312"/>
          <w:color w:val="auto"/>
          <w:kern w:val="2"/>
          <w:sz w:val="32"/>
          <w:szCs w:val="32"/>
          <w:highlight w:val="none"/>
          <w:lang w:eastAsia="zh-CN"/>
        </w:rPr>
        <w:t>）倒塌和严重损坏房屋</w:t>
      </w:r>
      <w:r>
        <w:rPr>
          <w:rFonts w:hint="eastAsia" w:ascii="Times New Roman" w:hAnsi="Times New Roman" w:eastAsia="仿宋_GB2312" w:cs="仿宋_GB2312"/>
          <w:color w:val="auto"/>
          <w:kern w:val="2"/>
          <w:sz w:val="32"/>
          <w:szCs w:val="32"/>
          <w:highlight w:val="none"/>
          <w:lang w:val="en-US" w:eastAsia="zh-CN"/>
        </w:rPr>
        <w:t>500</w:t>
      </w:r>
      <w:r>
        <w:rPr>
          <w:rFonts w:hint="eastAsia" w:ascii="仿宋_GB2312" w:hAnsi="仿宋_GB2312" w:eastAsia="仿宋_GB2312" w:cs="仿宋_GB2312"/>
          <w:color w:val="auto"/>
          <w:kern w:val="2"/>
          <w:sz w:val="32"/>
          <w:szCs w:val="32"/>
          <w:highlight w:val="none"/>
          <w:lang w:eastAsia="zh-CN"/>
        </w:rPr>
        <w:t>间以上、</w:t>
      </w:r>
      <w:r>
        <w:rPr>
          <w:rFonts w:hint="eastAsia" w:ascii="Times New Roman" w:hAnsi="Times New Roman" w:eastAsia="仿宋_GB2312" w:cs="仿宋_GB2312"/>
          <w:color w:val="auto"/>
          <w:kern w:val="2"/>
          <w:sz w:val="32"/>
          <w:szCs w:val="32"/>
          <w:highlight w:val="none"/>
          <w:lang w:val="en-US" w:eastAsia="zh-CN"/>
        </w:rPr>
        <w:t>700</w:t>
      </w:r>
      <w:r>
        <w:rPr>
          <w:rFonts w:hint="eastAsia" w:ascii="仿宋_GB2312" w:hAnsi="仿宋_GB2312" w:eastAsia="仿宋_GB2312" w:cs="仿宋_GB2312"/>
          <w:color w:val="auto"/>
          <w:kern w:val="2"/>
          <w:sz w:val="32"/>
          <w:szCs w:val="32"/>
          <w:highlight w:val="none"/>
          <w:lang w:eastAsia="zh-CN"/>
        </w:rPr>
        <w:t>间以下或</w:t>
      </w:r>
      <w:r>
        <w:rPr>
          <w:rFonts w:hint="eastAsia" w:ascii="Times New Roman" w:hAnsi="Times New Roman" w:eastAsia="仿宋_GB2312" w:cs="仿宋_GB2312"/>
          <w:color w:val="auto"/>
          <w:kern w:val="2"/>
          <w:sz w:val="32"/>
          <w:szCs w:val="32"/>
          <w:highlight w:val="none"/>
          <w:lang w:val="en-US" w:eastAsia="zh-CN"/>
        </w:rPr>
        <w:t>300</w:t>
      </w:r>
      <w:r>
        <w:rPr>
          <w:rFonts w:hint="eastAsia" w:ascii="仿宋_GB2312" w:hAnsi="仿宋_GB2312" w:eastAsia="仿宋_GB2312" w:cs="仿宋_GB2312"/>
          <w:color w:val="auto"/>
          <w:kern w:val="2"/>
          <w:sz w:val="32"/>
          <w:szCs w:val="32"/>
          <w:highlight w:val="none"/>
          <w:lang w:eastAsia="zh-CN"/>
        </w:rPr>
        <w:t>户以上、</w:t>
      </w:r>
      <w:r>
        <w:rPr>
          <w:rFonts w:hint="eastAsia" w:ascii="Times New Roman" w:hAnsi="Times New Roman" w:eastAsia="仿宋_GB2312" w:cs="仿宋_GB2312"/>
          <w:color w:val="auto"/>
          <w:kern w:val="2"/>
          <w:sz w:val="32"/>
          <w:szCs w:val="32"/>
          <w:highlight w:val="none"/>
          <w:lang w:val="en-US" w:eastAsia="zh-CN"/>
        </w:rPr>
        <w:t>500</w:t>
      </w:r>
      <w:r>
        <w:rPr>
          <w:rFonts w:hint="eastAsia" w:ascii="仿宋_GB2312" w:hAnsi="仿宋_GB2312" w:eastAsia="仿宋_GB2312" w:cs="仿宋_GB2312"/>
          <w:color w:val="auto"/>
          <w:kern w:val="2"/>
          <w:sz w:val="32"/>
          <w:szCs w:val="32"/>
          <w:highlight w:val="none"/>
          <w:lang w:eastAsia="zh-CN"/>
        </w:rPr>
        <w:t>户以下；</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4</w:t>
      </w:r>
      <w:r>
        <w:rPr>
          <w:rFonts w:hint="eastAsia" w:ascii="仿宋_GB2312" w:hAnsi="仿宋_GB2312" w:eastAsia="仿宋_GB2312" w:cs="仿宋_GB2312"/>
          <w:color w:val="auto"/>
          <w:kern w:val="2"/>
          <w:sz w:val="32"/>
          <w:szCs w:val="32"/>
          <w:highlight w:val="none"/>
          <w:lang w:eastAsia="zh-CN"/>
        </w:rPr>
        <w:t>）自然灾害造成缺粮或缺水等生活困难，需政府救助人数</w:t>
      </w:r>
      <w:r>
        <w:rPr>
          <w:rFonts w:hint="eastAsia" w:ascii="Times New Roman" w:hAnsi="Times New Roman" w:eastAsia="仿宋_GB2312" w:cs="仿宋_GB2312"/>
          <w:color w:val="auto"/>
          <w:kern w:val="2"/>
          <w:sz w:val="32"/>
          <w:szCs w:val="32"/>
          <w:highlight w:val="none"/>
          <w:lang w:val="en-US" w:eastAsia="zh-CN"/>
        </w:rPr>
        <w:t>2</w:t>
      </w:r>
      <w:r>
        <w:rPr>
          <w:rFonts w:hint="eastAsia" w:ascii="仿宋_GB2312" w:hAnsi="仿宋_GB2312" w:eastAsia="仿宋_GB2312" w:cs="仿宋_GB2312"/>
          <w:color w:val="auto"/>
          <w:kern w:val="2"/>
          <w:sz w:val="32"/>
          <w:szCs w:val="32"/>
          <w:highlight w:val="none"/>
          <w:lang w:eastAsia="zh-CN"/>
        </w:rPr>
        <w:t>万人以上、</w:t>
      </w:r>
      <w:r>
        <w:rPr>
          <w:rFonts w:hint="eastAsia" w:ascii="Times New Roman" w:hAnsi="Times New Roman" w:eastAsia="仿宋_GB2312" w:cs="仿宋_GB2312"/>
          <w:color w:val="auto"/>
          <w:kern w:val="2"/>
          <w:sz w:val="32"/>
          <w:szCs w:val="32"/>
          <w:highlight w:val="none"/>
          <w:lang w:val="en-US" w:eastAsia="zh-CN"/>
        </w:rPr>
        <w:t>3</w:t>
      </w:r>
      <w:r>
        <w:rPr>
          <w:rFonts w:hint="eastAsia" w:ascii="仿宋_GB2312" w:hAnsi="仿宋_GB2312" w:eastAsia="仿宋_GB2312" w:cs="仿宋_GB2312"/>
          <w:color w:val="auto"/>
          <w:kern w:val="2"/>
          <w:sz w:val="32"/>
          <w:szCs w:val="32"/>
          <w:highlight w:val="none"/>
          <w:lang w:eastAsia="zh-CN"/>
        </w:rPr>
        <w:t>万人以下；</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5</w:t>
      </w:r>
      <w:r>
        <w:rPr>
          <w:rFonts w:hint="eastAsia" w:ascii="仿宋_GB2312" w:hAnsi="仿宋_GB2312" w:eastAsia="仿宋_GB2312" w:cs="仿宋_GB2312"/>
          <w:color w:val="auto"/>
          <w:kern w:val="2"/>
          <w:sz w:val="32"/>
          <w:szCs w:val="32"/>
          <w:highlight w:val="none"/>
          <w:lang w:eastAsia="zh-CN"/>
        </w:rPr>
        <w:t>）符合其他自然灾害预案Ⅲ级响</w:t>
      </w:r>
      <w:r>
        <w:rPr>
          <w:rFonts w:hint="eastAsia" w:ascii="仿宋_GB2312" w:hAnsi="仿宋_GB2312" w:eastAsia="仿宋_GB2312" w:cs="仿宋_GB2312"/>
          <w:color w:val="auto"/>
          <w:kern w:val="2"/>
          <w:sz w:val="32"/>
          <w:szCs w:val="32"/>
          <w:lang w:eastAsia="zh-CN"/>
        </w:rPr>
        <w:t>应启动条件的情形。</w:t>
      </w:r>
    </w:p>
    <w:p>
      <w:pPr>
        <w:pStyle w:val="5"/>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1"/>
        <w:rPr>
          <w:rFonts w:hint="eastAsia" w:ascii="仿宋_GB2312" w:hAnsi="仿宋_GB2312" w:eastAsia="仿宋_GB2312" w:cs="仿宋_GB2312"/>
          <w:b w:val="0"/>
          <w:bCs/>
          <w:color w:val="auto"/>
          <w:kern w:val="2"/>
          <w:sz w:val="32"/>
          <w:szCs w:val="32"/>
          <w:lang w:eastAsia="zh-CN"/>
        </w:rPr>
      </w:pPr>
      <w:bookmarkStart w:id="119" w:name="_Toc18699"/>
      <w:bookmarkStart w:id="120" w:name="_Toc12968"/>
      <w:bookmarkStart w:id="121" w:name="_Toc30612"/>
      <w:bookmarkStart w:id="122" w:name="_Toc11821"/>
      <w:r>
        <w:rPr>
          <w:rFonts w:hint="eastAsia" w:ascii="Times New Roman" w:hAnsi="Times New Roman" w:eastAsia="仿宋_GB2312" w:cs="仿宋_GB2312"/>
          <w:b w:val="0"/>
          <w:bCs/>
          <w:color w:val="auto"/>
          <w:kern w:val="2"/>
          <w:sz w:val="32"/>
          <w:szCs w:val="32"/>
          <w:lang w:val="en-US" w:eastAsia="zh-CN"/>
        </w:rPr>
        <w:t>5</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2</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2</w:t>
      </w:r>
      <w:r>
        <w:rPr>
          <w:rFonts w:hint="eastAsia" w:ascii="仿宋_GB2312" w:hAnsi="仿宋_GB2312" w:eastAsia="仿宋_GB2312" w:cs="仿宋_GB2312"/>
          <w:b w:val="0"/>
          <w:bCs/>
          <w:color w:val="auto"/>
          <w:kern w:val="2"/>
          <w:sz w:val="32"/>
          <w:szCs w:val="32"/>
          <w:lang w:eastAsia="zh-CN"/>
        </w:rPr>
        <w:t>启动程序</w:t>
      </w:r>
      <w:bookmarkEnd w:id="119"/>
      <w:bookmarkEnd w:id="120"/>
      <w:bookmarkEnd w:id="121"/>
      <w:bookmarkEnd w:id="122"/>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灾害发生后，区减灾办对灾害影响及其发展趋势进行综合评估，认定灾情达到启动标准，由区减灾办提出启动Ⅲ级响应的建议，报请区减灾委副主任（区应急管理局局长）决定启动Ⅲ级应急响应。启动Ⅲ级应急响应时以区减灾委名义发布，并报告区减灾委主任。</w:t>
      </w:r>
    </w:p>
    <w:p>
      <w:pPr>
        <w:pStyle w:val="5"/>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1"/>
        <w:rPr>
          <w:rFonts w:hint="eastAsia" w:ascii="仿宋_GB2312" w:hAnsi="仿宋_GB2312" w:eastAsia="仿宋_GB2312" w:cs="仿宋_GB2312"/>
          <w:b w:val="0"/>
          <w:bCs/>
          <w:color w:val="auto"/>
          <w:kern w:val="2"/>
          <w:sz w:val="32"/>
          <w:szCs w:val="32"/>
          <w:lang w:eastAsia="zh-CN"/>
        </w:rPr>
      </w:pPr>
      <w:bookmarkStart w:id="123" w:name="_Toc14132"/>
      <w:bookmarkStart w:id="124" w:name="_Toc20206"/>
      <w:bookmarkStart w:id="125" w:name="_Toc3549"/>
      <w:bookmarkStart w:id="126" w:name="_Toc9728"/>
      <w:r>
        <w:rPr>
          <w:rFonts w:hint="eastAsia" w:ascii="Times New Roman" w:hAnsi="Times New Roman" w:eastAsia="仿宋_GB2312" w:cs="仿宋_GB2312"/>
          <w:b w:val="0"/>
          <w:bCs/>
          <w:color w:val="auto"/>
          <w:kern w:val="2"/>
          <w:sz w:val="32"/>
          <w:szCs w:val="32"/>
          <w:lang w:val="en-US" w:eastAsia="zh-CN"/>
        </w:rPr>
        <w:t>5</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2</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3</w:t>
      </w:r>
      <w:r>
        <w:rPr>
          <w:rFonts w:hint="eastAsia" w:ascii="仿宋_GB2312" w:hAnsi="仿宋_GB2312" w:eastAsia="仿宋_GB2312" w:cs="仿宋_GB2312"/>
          <w:b w:val="0"/>
          <w:bCs/>
          <w:color w:val="auto"/>
          <w:kern w:val="2"/>
          <w:sz w:val="32"/>
          <w:szCs w:val="32"/>
          <w:lang w:eastAsia="zh-CN"/>
        </w:rPr>
        <w:t>响应措施</w:t>
      </w:r>
      <w:bookmarkEnd w:id="123"/>
      <w:bookmarkEnd w:id="124"/>
      <w:bookmarkEnd w:id="125"/>
      <w:bookmarkEnd w:id="126"/>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区减灾委副主任（区应急管理局局长）组织、协调自然灾害救助工作，指导、支持镇（街）、村（社区）的自然灾害救助工作。其成员单位视情况采取以下措施：</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）区减灾办及时组织有关部门及受灾镇（街）、村（社区）召开会商会，分析灾区形势，研究落实对灾区的救灾支持措施。</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）派出由应急管理部门领导带队、会同有关部门参加的工作组赴灾区慰问受灾群众，核查灾情，指导、协助地方开展救灾工作。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en-US" w:eastAsia="zh-CN" w:bidi="ar-SA"/>
        </w:rPr>
        <w:t>）区应急管理局及时掌握并按照有关规定统一发布灾情和救灾工作动态信息。</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）区应急管理局会同区财政局根据对灾情的核定情况，及时下拨自然灾害救助资金。</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2"/>
          <w:sz w:val="32"/>
          <w:szCs w:val="32"/>
          <w:lang w:val="en-US" w:eastAsia="zh-CN" w:bidi="ar-SA"/>
        </w:rPr>
        <w:t>）区应急管理局会同区发展改革局紧急调拨生活类救助物资，指导、监督灾区救灾应急措施落实和救灾款物发放。区交通运输局等部门和单位指导、协调开展救灾物资、人员运输工作。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区卫生健康局指导受灾地区做好医疗救治、卫生防疫和心理援助工作。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2"/>
          <w:sz w:val="32"/>
          <w:szCs w:val="32"/>
          <w:lang w:val="en-US" w:eastAsia="zh-CN" w:bidi="ar-SA"/>
        </w:rPr>
        <w:t>）区民政局指导社会组织、志愿者等社会力量参与灾害救助工作。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2"/>
          <w:sz w:val="32"/>
          <w:szCs w:val="32"/>
          <w:lang w:val="en-US" w:eastAsia="zh-CN" w:bidi="ar-SA"/>
        </w:rPr>
        <w:t>）灾情稳定后，区应急管理局指导受灾镇（街）、村（社区）的自然灾害评估、核定自然灾害损失情况。</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2"/>
          <w:sz w:val="32"/>
          <w:szCs w:val="32"/>
          <w:lang w:val="en-US" w:eastAsia="zh-CN" w:bidi="ar-SA"/>
        </w:rPr>
        <w:t>）其他成员单位按照职责分工，做好有关工作。</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127" w:name="_Toc13437"/>
      <w:bookmarkStart w:id="128" w:name="_Toc7157"/>
      <w:bookmarkStart w:id="129" w:name="_Toc1116"/>
      <w:bookmarkStart w:id="130" w:name="_Toc6552"/>
      <w:r>
        <w:rPr>
          <w:rFonts w:hint="eastAsia" w:ascii="Times New Roman" w:hAnsi="Times New Roman" w:eastAsia="楷体_GB2312" w:cs="楷体_GB2312"/>
          <w:b w:val="0"/>
          <w:bCs w:val="0"/>
          <w:color w:val="auto"/>
          <w:kern w:val="2"/>
          <w:sz w:val="32"/>
          <w:szCs w:val="32"/>
          <w:lang w:val="en-US" w:eastAsia="zh-CN"/>
        </w:rPr>
        <w:t>5</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3</w:t>
      </w:r>
      <w:r>
        <w:rPr>
          <w:rFonts w:hint="eastAsia" w:ascii="楷体_GB2312" w:hAnsi="楷体_GB2312" w:eastAsia="楷体_GB2312" w:cs="楷体_GB2312"/>
          <w:b w:val="0"/>
          <w:bCs w:val="0"/>
          <w:color w:val="auto"/>
          <w:kern w:val="2"/>
          <w:sz w:val="32"/>
          <w:szCs w:val="32"/>
          <w:lang w:eastAsia="zh-CN"/>
        </w:rPr>
        <w:t>Ⅱ级响应</w:t>
      </w:r>
      <w:bookmarkEnd w:id="127"/>
      <w:bookmarkEnd w:id="128"/>
      <w:bookmarkEnd w:id="129"/>
      <w:bookmarkEnd w:id="130"/>
    </w:p>
    <w:p>
      <w:pPr>
        <w:pStyle w:val="5"/>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1"/>
        <w:rPr>
          <w:rFonts w:hint="eastAsia" w:ascii="仿宋_GB2312" w:hAnsi="仿宋_GB2312" w:eastAsia="仿宋_GB2312" w:cs="仿宋_GB2312"/>
          <w:b w:val="0"/>
          <w:bCs/>
          <w:color w:val="auto"/>
          <w:kern w:val="2"/>
          <w:sz w:val="32"/>
          <w:szCs w:val="32"/>
          <w:lang w:eastAsia="zh-CN"/>
        </w:rPr>
      </w:pPr>
      <w:bookmarkStart w:id="131" w:name="_Toc6086"/>
      <w:bookmarkStart w:id="132" w:name="_Toc2519"/>
      <w:bookmarkStart w:id="133" w:name="_Toc8990"/>
      <w:bookmarkStart w:id="134" w:name="_Toc3546"/>
      <w:r>
        <w:rPr>
          <w:rFonts w:hint="eastAsia" w:ascii="Times New Roman" w:hAnsi="Times New Roman" w:eastAsia="仿宋_GB2312" w:cs="仿宋_GB2312"/>
          <w:b w:val="0"/>
          <w:bCs/>
          <w:color w:val="auto"/>
          <w:kern w:val="2"/>
          <w:sz w:val="32"/>
          <w:szCs w:val="32"/>
          <w:lang w:val="en-US" w:eastAsia="zh-CN"/>
        </w:rPr>
        <w:t>5</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3</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1</w:t>
      </w:r>
      <w:r>
        <w:rPr>
          <w:rFonts w:hint="eastAsia" w:ascii="仿宋_GB2312" w:hAnsi="仿宋_GB2312" w:eastAsia="仿宋_GB2312" w:cs="仿宋_GB2312"/>
          <w:b w:val="0"/>
          <w:bCs/>
          <w:color w:val="auto"/>
          <w:kern w:val="2"/>
          <w:sz w:val="32"/>
          <w:szCs w:val="32"/>
          <w:lang w:eastAsia="zh-CN"/>
        </w:rPr>
        <w:t>启动条件</w:t>
      </w:r>
      <w:bookmarkEnd w:id="131"/>
      <w:bookmarkEnd w:id="132"/>
      <w:bookmarkEnd w:id="133"/>
      <w:bookmarkEnd w:id="134"/>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lang w:val="en-US" w:eastAsia="zh-CN" w:bidi="ar-SA"/>
        </w:rPr>
        <w:t>一次</w:t>
      </w:r>
      <w:r>
        <w:rPr>
          <w:rFonts w:hint="eastAsia" w:ascii="仿宋_GB2312" w:hAnsi="仿宋_GB2312" w:eastAsia="仿宋_GB2312" w:cs="仿宋_GB2312"/>
          <w:color w:val="auto"/>
          <w:kern w:val="2"/>
          <w:sz w:val="32"/>
          <w:szCs w:val="32"/>
          <w:highlight w:val="none"/>
          <w:lang w:val="en-US" w:eastAsia="zh-CN" w:bidi="ar-SA"/>
        </w:rPr>
        <w:t>灾害过程出现下列情况之一的启动Ⅱ级响应：</w:t>
      </w:r>
    </w:p>
    <w:p>
      <w:pPr>
        <w:keepNext w:val="0"/>
        <w:keepLines w:val="0"/>
        <w:pageBreakBefore w:val="0"/>
        <w:widowControl w:val="0"/>
        <w:kinsoku/>
        <w:wordWrap/>
        <w:overflowPunct/>
        <w:topLinePunct w:val="0"/>
        <w:autoSpaceDE/>
        <w:autoSpaceDN/>
        <w:bidi w:val="0"/>
        <w:adjustRightInd/>
        <w:snapToGrid/>
        <w:spacing w:line="570" w:lineRule="exact"/>
        <w:ind w:firstLine="631" w:firstLineChars="199"/>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1</w:t>
      </w:r>
      <w:r>
        <w:rPr>
          <w:rFonts w:hint="eastAsia" w:ascii="仿宋_GB2312" w:hAnsi="仿宋_GB2312" w:eastAsia="仿宋_GB2312" w:cs="仿宋_GB2312"/>
          <w:color w:val="auto"/>
          <w:kern w:val="2"/>
          <w:sz w:val="32"/>
          <w:szCs w:val="32"/>
          <w:highlight w:val="none"/>
          <w:lang w:eastAsia="zh-CN"/>
        </w:rPr>
        <w:t>）因灾死亡（含失踪）</w:t>
      </w:r>
      <w:r>
        <w:rPr>
          <w:rFonts w:hint="eastAsia" w:ascii="Times New Roman" w:hAnsi="Times New Roman" w:eastAsia="仿宋_GB2312" w:cs="仿宋_GB2312"/>
          <w:color w:val="auto"/>
          <w:kern w:val="2"/>
          <w:sz w:val="32"/>
          <w:szCs w:val="32"/>
          <w:highlight w:val="none"/>
          <w:lang w:val="en-US" w:eastAsia="zh-CN"/>
        </w:rPr>
        <w:t>5</w:t>
      </w:r>
      <w:r>
        <w:rPr>
          <w:rFonts w:hint="eastAsia" w:ascii="仿宋_GB2312" w:hAnsi="仿宋_GB2312" w:eastAsia="仿宋_GB2312" w:cs="仿宋_GB2312"/>
          <w:color w:val="auto"/>
          <w:kern w:val="2"/>
          <w:sz w:val="32"/>
          <w:szCs w:val="32"/>
          <w:highlight w:val="none"/>
          <w:lang w:eastAsia="zh-CN"/>
        </w:rPr>
        <w:t>人以上，</w:t>
      </w:r>
      <w:r>
        <w:rPr>
          <w:rFonts w:hint="eastAsia" w:ascii="Times New Roman" w:hAnsi="Times New Roman" w:eastAsia="仿宋_GB2312" w:cs="仿宋_GB2312"/>
          <w:color w:val="auto"/>
          <w:kern w:val="2"/>
          <w:sz w:val="32"/>
          <w:szCs w:val="32"/>
          <w:highlight w:val="none"/>
          <w:lang w:val="en-US" w:eastAsia="zh-CN"/>
        </w:rPr>
        <w:t>8</w:t>
      </w:r>
      <w:r>
        <w:rPr>
          <w:rFonts w:hint="eastAsia" w:ascii="仿宋_GB2312" w:hAnsi="仿宋_GB2312" w:eastAsia="仿宋_GB2312" w:cs="仿宋_GB2312"/>
          <w:color w:val="auto"/>
          <w:kern w:val="2"/>
          <w:sz w:val="32"/>
          <w:szCs w:val="32"/>
          <w:highlight w:val="none"/>
          <w:lang w:eastAsia="zh-CN"/>
        </w:rPr>
        <w:t>人以下；</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2</w:t>
      </w:r>
      <w:r>
        <w:rPr>
          <w:rFonts w:hint="eastAsia" w:ascii="仿宋_GB2312" w:hAnsi="仿宋_GB2312" w:eastAsia="仿宋_GB2312" w:cs="仿宋_GB2312"/>
          <w:color w:val="auto"/>
          <w:kern w:val="2"/>
          <w:sz w:val="32"/>
          <w:szCs w:val="32"/>
          <w:highlight w:val="none"/>
          <w:lang w:eastAsia="zh-CN"/>
        </w:rPr>
        <w:t>）紧急转移安置和需要紧急生活救助</w:t>
      </w:r>
      <w:r>
        <w:rPr>
          <w:rFonts w:hint="eastAsia" w:ascii="Times New Roman" w:hAnsi="Times New Roman" w:eastAsia="仿宋_GB2312" w:cs="仿宋_GB2312"/>
          <w:color w:val="auto"/>
          <w:kern w:val="2"/>
          <w:sz w:val="32"/>
          <w:szCs w:val="32"/>
          <w:highlight w:val="none"/>
          <w:lang w:val="en-US" w:eastAsia="zh-CN"/>
        </w:rPr>
        <w:t>5000</w:t>
      </w:r>
      <w:r>
        <w:rPr>
          <w:rFonts w:hint="eastAsia" w:ascii="仿宋_GB2312" w:hAnsi="仿宋_GB2312" w:eastAsia="仿宋_GB2312" w:cs="仿宋_GB2312"/>
          <w:color w:val="auto"/>
          <w:kern w:val="2"/>
          <w:sz w:val="32"/>
          <w:szCs w:val="32"/>
          <w:highlight w:val="none"/>
          <w:lang w:eastAsia="zh-CN"/>
        </w:rPr>
        <w:t>人以上、</w:t>
      </w:r>
      <w:r>
        <w:rPr>
          <w:rFonts w:hint="eastAsia" w:ascii="Times New Roman" w:hAnsi="Times New Roman" w:eastAsia="仿宋_GB2312" w:cs="仿宋_GB2312"/>
          <w:color w:val="auto"/>
          <w:kern w:val="2"/>
          <w:sz w:val="32"/>
          <w:szCs w:val="32"/>
          <w:highlight w:val="none"/>
          <w:lang w:val="en-US" w:eastAsia="zh-CN"/>
        </w:rPr>
        <w:t>8000</w:t>
      </w:r>
      <w:r>
        <w:rPr>
          <w:rFonts w:hint="eastAsia" w:ascii="仿宋_GB2312" w:hAnsi="仿宋_GB2312" w:eastAsia="仿宋_GB2312" w:cs="仿宋_GB2312"/>
          <w:color w:val="auto"/>
          <w:kern w:val="2"/>
          <w:sz w:val="32"/>
          <w:szCs w:val="32"/>
          <w:highlight w:val="none"/>
          <w:lang w:eastAsia="zh-CN"/>
        </w:rPr>
        <w:t>人以下；</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3</w:t>
      </w:r>
      <w:r>
        <w:rPr>
          <w:rFonts w:hint="eastAsia" w:ascii="仿宋_GB2312" w:hAnsi="仿宋_GB2312" w:eastAsia="仿宋_GB2312" w:cs="仿宋_GB2312"/>
          <w:color w:val="auto"/>
          <w:kern w:val="2"/>
          <w:sz w:val="32"/>
          <w:szCs w:val="32"/>
          <w:highlight w:val="none"/>
          <w:lang w:eastAsia="zh-CN"/>
        </w:rPr>
        <w:t>）倒塌和严重损坏房屋</w:t>
      </w:r>
      <w:r>
        <w:rPr>
          <w:rFonts w:hint="eastAsia" w:ascii="Times New Roman" w:hAnsi="Times New Roman" w:eastAsia="仿宋_GB2312" w:cs="仿宋_GB2312"/>
          <w:color w:val="auto"/>
          <w:kern w:val="2"/>
          <w:sz w:val="32"/>
          <w:szCs w:val="32"/>
          <w:highlight w:val="none"/>
          <w:lang w:val="en-US" w:eastAsia="zh-CN"/>
        </w:rPr>
        <w:t>700</w:t>
      </w:r>
      <w:r>
        <w:rPr>
          <w:rFonts w:hint="eastAsia" w:ascii="仿宋_GB2312" w:hAnsi="仿宋_GB2312" w:eastAsia="仿宋_GB2312" w:cs="仿宋_GB2312"/>
          <w:color w:val="auto"/>
          <w:kern w:val="2"/>
          <w:sz w:val="32"/>
          <w:szCs w:val="32"/>
          <w:highlight w:val="none"/>
          <w:lang w:eastAsia="zh-CN"/>
        </w:rPr>
        <w:t>间以上、</w:t>
      </w:r>
      <w:r>
        <w:rPr>
          <w:rFonts w:hint="eastAsia" w:ascii="Times New Roman" w:hAnsi="Times New Roman" w:eastAsia="仿宋_GB2312" w:cs="仿宋_GB2312"/>
          <w:color w:val="auto"/>
          <w:kern w:val="2"/>
          <w:sz w:val="32"/>
          <w:szCs w:val="32"/>
          <w:highlight w:val="none"/>
          <w:lang w:val="en-US" w:eastAsia="zh-CN"/>
        </w:rPr>
        <w:t>1000</w:t>
      </w:r>
      <w:r>
        <w:rPr>
          <w:rFonts w:hint="eastAsia" w:ascii="仿宋_GB2312" w:hAnsi="仿宋_GB2312" w:eastAsia="仿宋_GB2312" w:cs="仿宋_GB2312"/>
          <w:color w:val="auto"/>
          <w:kern w:val="2"/>
          <w:sz w:val="32"/>
          <w:szCs w:val="32"/>
          <w:highlight w:val="none"/>
          <w:lang w:eastAsia="zh-CN"/>
        </w:rPr>
        <w:t>间以下或</w:t>
      </w:r>
      <w:r>
        <w:rPr>
          <w:rFonts w:hint="eastAsia" w:ascii="Times New Roman" w:hAnsi="Times New Roman" w:eastAsia="仿宋_GB2312" w:cs="仿宋_GB2312"/>
          <w:color w:val="auto"/>
          <w:kern w:val="2"/>
          <w:sz w:val="32"/>
          <w:szCs w:val="32"/>
          <w:highlight w:val="none"/>
          <w:lang w:val="en-US" w:eastAsia="zh-CN"/>
        </w:rPr>
        <w:t>500</w:t>
      </w:r>
      <w:r>
        <w:rPr>
          <w:rFonts w:hint="eastAsia" w:ascii="仿宋_GB2312" w:hAnsi="仿宋_GB2312" w:eastAsia="仿宋_GB2312" w:cs="仿宋_GB2312"/>
          <w:color w:val="auto"/>
          <w:kern w:val="2"/>
          <w:sz w:val="32"/>
          <w:szCs w:val="32"/>
          <w:highlight w:val="none"/>
          <w:lang w:eastAsia="zh-CN"/>
        </w:rPr>
        <w:t>户以上、</w:t>
      </w:r>
      <w:r>
        <w:rPr>
          <w:rFonts w:hint="eastAsia" w:ascii="Times New Roman" w:hAnsi="Times New Roman" w:eastAsia="仿宋_GB2312" w:cs="仿宋_GB2312"/>
          <w:color w:val="auto"/>
          <w:kern w:val="2"/>
          <w:sz w:val="32"/>
          <w:szCs w:val="32"/>
          <w:highlight w:val="none"/>
          <w:lang w:val="en-US" w:eastAsia="zh-CN"/>
        </w:rPr>
        <w:t>700</w:t>
      </w:r>
      <w:r>
        <w:rPr>
          <w:rFonts w:hint="eastAsia" w:ascii="仿宋_GB2312" w:hAnsi="仿宋_GB2312" w:eastAsia="仿宋_GB2312" w:cs="仿宋_GB2312"/>
          <w:color w:val="auto"/>
          <w:kern w:val="2"/>
          <w:sz w:val="32"/>
          <w:szCs w:val="32"/>
          <w:highlight w:val="none"/>
          <w:lang w:eastAsia="zh-CN"/>
        </w:rPr>
        <w:t>户以下；</w:t>
      </w:r>
    </w:p>
    <w:p>
      <w:pPr>
        <w:keepNext w:val="0"/>
        <w:keepLines w:val="0"/>
        <w:pageBreakBefore w:val="0"/>
        <w:widowControl w:val="0"/>
        <w:kinsoku/>
        <w:wordWrap/>
        <w:overflowPunct/>
        <w:topLinePunct w:val="0"/>
        <w:autoSpaceDE/>
        <w:autoSpaceDN/>
        <w:bidi w:val="0"/>
        <w:adjustRightInd/>
        <w:snapToGrid/>
        <w:spacing w:line="570" w:lineRule="exact"/>
        <w:ind w:firstLine="631" w:firstLineChars="199"/>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4</w:t>
      </w:r>
      <w:r>
        <w:rPr>
          <w:rFonts w:hint="eastAsia" w:ascii="仿宋_GB2312" w:hAnsi="仿宋_GB2312" w:eastAsia="仿宋_GB2312" w:cs="仿宋_GB2312"/>
          <w:color w:val="auto"/>
          <w:kern w:val="2"/>
          <w:sz w:val="32"/>
          <w:szCs w:val="32"/>
          <w:highlight w:val="none"/>
          <w:lang w:eastAsia="zh-CN"/>
        </w:rPr>
        <w:t>）自然灾害造成缺粮或缺水等生活困难，需政府救助人数</w:t>
      </w:r>
      <w:r>
        <w:rPr>
          <w:rFonts w:hint="eastAsia" w:ascii="Times New Roman" w:hAnsi="Times New Roman" w:eastAsia="仿宋_GB2312" w:cs="仿宋_GB2312"/>
          <w:color w:val="auto"/>
          <w:kern w:val="2"/>
          <w:sz w:val="32"/>
          <w:szCs w:val="32"/>
          <w:highlight w:val="none"/>
          <w:lang w:val="en-US" w:eastAsia="zh-CN"/>
        </w:rPr>
        <w:t>3</w:t>
      </w:r>
      <w:r>
        <w:rPr>
          <w:rFonts w:hint="eastAsia" w:ascii="仿宋_GB2312" w:hAnsi="仿宋_GB2312" w:eastAsia="仿宋_GB2312" w:cs="仿宋_GB2312"/>
          <w:color w:val="auto"/>
          <w:kern w:val="2"/>
          <w:sz w:val="32"/>
          <w:szCs w:val="32"/>
          <w:highlight w:val="none"/>
          <w:lang w:eastAsia="zh-CN"/>
        </w:rPr>
        <w:t>万人以上、</w:t>
      </w:r>
      <w:r>
        <w:rPr>
          <w:rFonts w:hint="eastAsia" w:ascii="Times New Roman" w:hAnsi="Times New Roman" w:eastAsia="仿宋_GB2312" w:cs="仿宋_GB2312"/>
          <w:color w:val="auto"/>
          <w:kern w:val="2"/>
          <w:sz w:val="32"/>
          <w:szCs w:val="32"/>
          <w:highlight w:val="none"/>
          <w:lang w:val="en-US" w:eastAsia="zh-CN"/>
        </w:rPr>
        <w:t>4</w:t>
      </w:r>
      <w:r>
        <w:rPr>
          <w:rFonts w:hint="eastAsia" w:ascii="仿宋_GB2312" w:hAnsi="仿宋_GB2312" w:eastAsia="仿宋_GB2312" w:cs="仿宋_GB2312"/>
          <w:color w:val="auto"/>
          <w:kern w:val="2"/>
          <w:sz w:val="32"/>
          <w:szCs w:val="32"/>
          <w:highlight w:val="none"/>
          <w:lang w:eastAsia="zh-CN"/>
        </w:rPr>
        <w:t>万人以下；</w:t>
      </w:r>
    </w:p>
    <w:p>
      <w:pPr>
        <w:keepNext w:val="0"/>
        <w:keepLines w:val="0"/>
        <w:pageBreakBefore w:val="0"/>
        <w:widowControl w:val="0"/>
        <w:kinsoku/>
        <w:wordWrap/>
        <w:overflowPunct/>
        <w:topLinePunct w:val="0"/>
        <w:autoSpaceDE/>
        <w:autoSpaceDN/>
        <w:bidi w:val="0"/>
        <w:adjustRightInd/>
        <w:snapToGrid/>
        <w:spacing w:line="570" w:lineRule="exact"/>
        <w:ind w:firstLine="631" w:firstLineChars="199"/>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5</w:t>
      </w:r>
      <w:r>
        <w:rPr>
          <w:rFonts w:hint="eastAsia" w:ascii="仿宋_GB2312" w:hAnsi="仿宋_GB2312" w:eastAsia="仿宋_GB2312" w:cs="仿宋_GB2312"/>
          <w:color w:val="auto"/>
          <w:kern w:val="2"/>
          <w:sz w:val="32"/>
          <w:szCs w:val="32"/>
          <w:highlight w:val="none"/>
          <w:lang w:eastAsia="zh-CN"/>
        </w:rPr>
        <w:t>）符合其他自然灾害预案Ⅱ级响应启动条件的情形。</w:t>
      </w:r>
    </w:p>
    <w:p>
      <w:pPr>
        <w:pStyle w:val="5"/>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1"/>
        <w:rPr>
          <w:rFonts w:hint="eastAsia" w:ascii="仿宋_GB2312" w:hAnsi="仿宋_GB2312" w:eastAsia="仿宋_GB2312" w:cs="仿宋_GB2312"/>
          <w:b w:val="0"/>
          <w:bCs/>
          <w:color w:val="auto"/>
          <w:kern w:val="2"/>
          <w:sz w:val="32"/>
          <w:szCs w:val="32"/>
          <w:highlight w:val="none"/>
          <w:lang w:eastAsia="zh-CN"/>
        </w:rPr>
      </w:pPr>
      <w:bookmarkStart w:id="135" w:name="_Toc22705"/>
      <w:bookmarkStart w:id="136" w:name="_Toc24948"/>
      <w:bookmarkStart w:id="137" w:name="_Toc10033"/>
      <w:bookmarkStart w:id="138" w:name="_Toc19970"/>
      <w:r>
        <w:rPr>
          <w:rFonts w:hint="eastAsia" w:ascii="Times New Roman" w:hAnsi="Times New Roman" w:eastAsia="仿宋_GB2312" w:cs="仿宋_GB2312"/>
          <w:b w:val="0"/>
          <w:bCs/>
          <w:color w:val="auto"/>
          <w:kern w:val="2"/>
          <w:sz w:val="32"/>
          <w:szCs w:val="32"/>
          <w:highlight w:val="none"/>
          <w:lang w:val="en-US" w:eastAsia="zh-CN"/>
        </w:rPr>
        <w:t>5</w:t>
      </w:r>
      <w:r>
        <w:rPr>
          <w:rFonts w:hint="eastAsia" w:ascii="仿宋_GB2312" w:hAnsi="仿宋_GB2312" w:eastAsia="仿宋_GB2312" w:cs="仿宋_GB2312"/>
          <w:b w:val="0"/>
          <w:bCs/>
          <w:color w:val="auto"/>
          <w:kern w:val="2"/>
          <w:sz w:val="32"/>
          <w:szCs w:val="32"/>
          <w:highlight w:val="none"/>
          <w:lang w:eastAsia="zh-CN"/>
        </w:rPr>
        <w:t>.</w:t>
      </w:r>
      <w:r>
        <w:rPr>
          <w:rFonts w:hint="eastAsia" w:ascii="Times New Roman" w:hAnsi="Times New Roman" w:eastAsia="仿宋_GB2312" w:cs="仿宋_GB2312"/>
          <w:b w:val="0"/>
          <w:bCs/>
          <w:color w:val="auto"/>
          <w:kern w:val="2"/>
          <w:sz w:val="32"/>
          <w:szCs w:val="32"/>
          <w:highlight w:val="none"/>
          <w:lang w:eastAsia="zh-CN"/>
        </w:rPr>
        <w:t>3</w:t>
      </w:r>
      <w:r>
        <w:rPr>
          <w:rFonts w:hint="eastAsia" w:ascii="仿宋_GB2312" w:hAnsi="仿宋_GB2312" w:eastAsia="仿宋_GB2312" w:cs="仿宋_GB2312"/>
          <w:b w:val="0"/>
          <w:bCs/>
          <w:color w:val="auto"/>
          <w:kern w:val="2"/>
          <w:sz w:val="32"/>
          <w:szCs w:val="32"/>
          <w:highlight w:val="none"/>
          <w:lang w:eastAsia="zh-CN"/>
        </w:rPr>
        <w:t>.</w:t>
      </w:r>
      <w:r>
        <w:rPr>
          <w:rFonts w:hint="eastAsia" w:ascii="Times New Roman" w:hAnsi="Times New Roman" w:eastAsia="仿宋_GB2312" w:cs="仿宋_GB2312"/>
          <w:b w:val="0"/>
          <w:bCs/>
          <w:color w:val="auto"/>
          <w:kern w:val="2"/>
          <w:sz w:val="32"/>
          <w:szCs w:val="32"/>
          <w:highlight w:val="none"/>
          <w:lang w:eastAsia="zh-CN"/>
        </w:rPr>
        <w:t>2</w:t>
      </w:r>
      <w:r>
        <w:rPr>
          <w:rFonts w:hint="eastAsia" w:ascii="仿宋_GB2312" w:hAnsi="仿宋_GB2312" w:eastAsia="仿宋_GB2312" w:cs="仿宋_GB2312"/>
          <w:b w:val="0"/>
          <w:bCs/>
          <w:color w:val="auto"/>
          <w:kern w:val="2"/>
          <w:sz w:val="32"/>
          <w:szCs w:val="32"/>
          <w:highlight w:val="none"/>
          <w:lang w:eastAsia="zh-CN"/>
        </w:rPr>
        <w:t>启动程序</w:t>
      </w:r>
      <w:bookmarkEnd w:id="135"/>
      <w:bookmarkEnd w:id="136"/>
      <w:bookmarkEnd w:id="137"/>
      <w:bookmarkEnd w:id="138"/>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highlight w:val="none"/>
          <w:lang w:val="en-US" w:eastAsia="zh-CN" w:bidi="ar-SA"/>
        </w:rPr>
        <w:t>灾害发生后，区减灾办组织相关部门和专家进行会商，对灾害影响及其发展趋势进行综合评估，认定灾情达到启动标准，由区减灾办提出启动Ⅱ级响应的建议，报请区减灾委主</w:t>
      </w:r>
      <w:r>
        <w:rPr>
          <w:rFonts w:hint="eastAsia" w:ascii="仿宋_GB2312" w:hAnsi="仿宋_GB2312" w:eastAsia="仿宋_GB2312" w:cs="仿宋_GB2312"/>
          <w:color w:val="auto"/>
          <w:kern w:val="2"/>
          <w:sz w:val="32"/>
          <w:szCs w:val="32"/>
          <w:lang w:val="en-US" w:eastAsia="zh-CN" w:bidi="ar-SA"/>
        </w:rPr>
        <w:t>任决定启动Ⅱ级应急响应。启动Ⅱ级应急响应时以区减灾委名义发布。</w:t>
      </w:r>
    </w:p>
    <w:p>
      <w:pPr>
        <w:pStyle w:val="5"/>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1"/>
        <w:rPr>
          <w:rFonts w:hint="eastAsia" w:ascii="仿宋_GB2312" w:hAnsi="仿宋_GB2312" w:eastAsia="仿宋_GB2312" w:cs="仿宋_GB2312"/>
          <w:b w:val="0"/>
          <w:bCs/>
          <w:color w:val="auto"/>
          <w:kern w:val="2"/>
          <w:sz w:val="32"/>
          <w:szCs w:val="32"/>
          <w:lang w:eastAsia="zh-CN"/>
        </w:rPr>
      </w:pPr>
      <w:bookmarkStart w:id="139" w:name="_Toc3481"/>
      <w:bookmarkStart w:id="140" w:name="_Toc20682"/>
      <w:bookmarkStart w:id="141" w:name="_Toc19280"/>
      <w:bookmarkStart w:id="142" w:name="_Toc10990"/>
      <w:r>
        <w:rPr>
          <w:rFonts w:hint="eastAsia" w:ascii="Times New Roman" w:hAnsi="Times New Roman" w:eastAsia="仿宋_GB2312" w:cs="仿宋_GB2312"/>
          <w:b w:val="0"/>
          <w:bCs/>
          <w:color w:val="auto"/>
          <w:kern w:val="2"/>
          <w:sz w:val="32"/>
          <w:szCs w:val="32"/>
          <w:lang w:val="en-US" w:eastAsia="zh-CN"/>
        </w:rPr>
        <w:t>5</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3</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3</w:t>
      </w:r>
      <w:r>
        <w:rPr>
          <w:rFonts w:hint="eastAsia" w:ascii="仿宋_GB2312" w:hAnsi="仿宋_GB2312" w:eastAsia="仿宋_GB2312" w:cs="仿宋_GB2312"/>
          <w:b w:val="0"/>
          <w:bCs/>
          <w:color w:val="auto"/>
          <w:kern w:val="2"/>
          <w:sz w:val="32"/>
          <w:szCs w:val="32"/>
          <w:lang w:eastAsia="zh-CN"/>
        </w:rPr>
        <w:t>响应措施</w:t>
      </w:r>
      <w:bookmarkEnd w:id="139"/>
      <w:bookmarkEnd w:id="140"/>
      <w:bookmarkEnd w:id="141"/>
      <w:bookmarkEnd w:id="142"/>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区减灾委主任组织、协调自然灾害救助工作，指导、支持受灾镇（街）、村（社区）自然灾害救助工作。其成员单位视情况采取以下措施：</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）区减灾委主任（或副主任）主持召开会商会，成员单位、相关专家及有关受灾镇（街）、村（社区）负责人参加，分析灾区形势，研究落实对灾区的救灾支持措施。</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）根据灾情发展，由区减灾委副主任或区应急管理部门领导带队，率相关部门负责人赴灾区慰问受灾群众，核查灾情，指导地方开展救灾工作。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en-US" w:eastAsia="zh-CN" w:bidi="ar-SA"/>
        </w:rPr>
        <w:t>）区应急管理局及时掌握灾情和救灾工作动态信息，组织灾情会商，按照有关规定统一发布灾情，及时发布灾区需求。成员单位做好灾情、灾区需求及救灾工作动态等信息共享，每日向区应急管理局通报有关情况。必要时，区减灾委组织专家进行实时灾情、灾情发展趋势以及灾区需求评估。</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）区应急管理局会同区财政局根据对灾情的核定情况，及时下拨本级自然灾害救助资金，根据需要向市财政局、市应急管理局申请市级自然灾害救助资金。</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2"/>
          <w:sz w:val="32"/>
          <w:szCs w:val="32"/>
          <w:lang w:val="en-US" w:eastAsia="zh-CN" w:bidi="ar-SA"/>
        </w:rPr>
        <w:t>）区应急管理局会同区发展改革局紧急调拨生活类救助物资，指导、监督灾区救灾应急措施落实和救灾款物发放。区交通运输局等部门和单位指导、协调开展救灾物资、人员运输工作。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2"/>
          <w:sz w:val="32"/>
          <w:szCs w:val="32"/>
          <w:lang w:val="en-US" w:eastAsia="zh-CN" w:bidi="ar-SA"/>
        </w:rPr>
        <w:t>）区卫生健康局、区民政局等部门和单位根据需要，及时派出医疗卫生队伍赴灾区协助开展医疗救治、卫生防疫和心理援助等工作。市规划和自然资源局增城区分局准备灾区地理信息数据，组织灾区现场影像获取等应急测绘，开展灾情监测和空间分析，提供应急测绘保障服务。</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2"/>
          <w:sz w:val="32"/>
          <w:szCs w:val="32"/>
          <w:lang w:val="en-US" w:eastAsia="zh-CN" w:bidi="ar-SA"/>
        </w:rPr>
        <w:t>）区委宣传部指导做好新闻宣传和舆论引导等工作。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2"/>
          <w:sz w:val="32"/>
          <w:szCs w:val="32"/>
          <w:lang w:val="en-US" w:eastAsia="zh-CN" w:bidi="ar-SA"/>
        </w:rPr>
        <w:t>）区民政局指导社会组织、志愿者等社会力量参与灾害救助工作。依法开展救灾募捐活动，援助救灾工作。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2"/>
          <w:sz w:val="32"/>
          <w:szCs w:val="32"/>
          <w:lang w:val="en-US" w:eastAsia="zh-CN" w:bidi="ar-SA"/>
        </w:rPr>
        <w:t>）灾情稳定后，区应急管理局组织开展灾害损失综合评估工作，及时将评估结果上报区减灾委。区应急管理局组织核定并按有关规定统一发布自然灾害损失情况。</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2"/>
          <w:sz w:val="32"/>
          <w:szCs w:val="32"/>
          <w:lang w:val="en-US" w:eastAsia="zh-CN" w:bidi="ar-SA"/>
        </w:rPr>
        <w:t>）其他成员单位按照职责分工，做好有关工作。</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143" w:name="_Toc23582"/>
      <w:bookmarkStart w:id="144" w:name="_Toc28349"/>
      <w:bookmarkStart w:id="145" w:name="_Toc27431"/>
      <w:bookmarkStart w:id="146" w:name="_Toc30095"/>
      <w:r>
        <w:rPr>
          <w:rFonts w:hint="eastAsia" w:ascii="Times New Roman" w:hAnsi="Times New Roman" w:eastAsia="楷体_GB2312" w:cs="楷体_GB2312"/>
          <w:b w:val="0"/>
          <w:bCs w:val="0"/>
          <w:color w:val="auto"/>
          <w:kern w:val="2"/>
          <w:sz w:val="32"/>
          <w:szCs w:val="32"/>
          <w:lang w:val="en-US" w:eastAsia="zh-CN"/>
        </w:rPr>
        <w:t>5</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4</w:t>
      </w:r>
      <w:r>
        <w:rPr>
          <w:rFonts w:hint="eastAsia" w:ascii="楷体_GB2312" w:hAnsi="楷体_GB2312" w:eastAsia="楷体_GB2312" w:cs="楷体_GB2312"/>
          <w:b w:val="0"/>
          <w:bCs w:val="0"/>
          <w:color w:val="auto"/>
          <w:kern w:val="2"/>
          <w:sz w:val="32"/>
          <w:szCs w:val="32"/>
          <w:lang w:eastAsia="zh-CN"/>
        </w:rPr>
        <w:t>Ⅰ级响应</w:t>
      </w:r>
      <w:bookmarkEnd w:id="143"/>
      <w:bookmarkEnd w:id="144"/>
      <w:bookmarkEnd w:id="145"/>
      <w:bookmarkEnd w:id="146"/>
    </w:p>
    <w:p>
      <w:pPr>
        <w:pStyle w:val="5"/>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1"/>
        <w:rPr>
          <w:rFonts w:hint="eastAsia" w:ascii="仿宋_GB2312" w:hAnsi="仿宋_GB2312" w:eastAsia="仿宋_GB2312" w:cs="仿宋_GB2312"/>
          <w:b w:val="0"/>
          <w:bCs/>
          <w:color w:val="auto"/>
          <w:kern w:val="2"/>
          <w:sz w:val="32"/>
          <w:szCs w:val="32"/>
          <w:lang w:eastAsia="zh-CN"/>
        </w:rPr>
      </w:pPr>
      <w:bookmarkStart w:id="147" w:name="_Toc17134"/>
      <w:bookmarkStart w:id="148" w:name="_Toc14981"/>
      <w:bookmarkStart w:id="149" w:name="_Toc19269"/>
      <w:bookmarkStart w:id="150" w:name="_Toc7455"/>
      <w:r>
        <w:rPr>
          <w:rFonts w:hint="eastAsia" w:ascii="Times New Roman" w:hAnsi="Times New Roman" w:eastAsia="仿宋_GB2312" w:cs="仿宋_GB2312"/>
          <w:b w:val="0"/>
          <w:bCs/>
          <w:color w:val="auto"/>
          <w:kern w:val="2"/>
          <w:sz w:val="32"/>
          <w:szCs w:val="32"/>
          <w:lang w:val="en-US" w:eastAsia="zh-CN"/>
        </w:rPr>
        <w:t>5</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4</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1</w:t>
      </w:r>
      <w:r>
        <w:rPr>
          <w:rFonts w:hint="eastAsia" w:ascii="仿宋_GB2312" w:hAnsi="仿宋_GB2312" w:eastAsia="仿宋_GB2312" w:cs="仿宋_GB2312"/>
          <w:b w:val="0"/>
          <w:bCs/>
          <w:color w:val="auto"/>
          <w:kern w:val="2"/>
          <w:sz w:val="32"/>
          <w:szCs w:val="32"/>
          <w:lang w:eastAsia="zh-CN"/>
        </w:rPr>
        <w:t>启动条件</w:t>
      </w:r>
      <w:bookmarkEnd w:id="147"/>
      <w:bookmarkEnd w:id="148"/>
      <w:bookmarkEnd w:id="149"/>
      <w:bookmarkEnd w:id="150"/>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lang w:val="en-US" w:eastAsia="zh-CN" w:bidi="ar-SA"/>
        </w:rPr>
        <w:t>一次灾害过程出现</w:t>
      </w:r>
      <w:r>
        <w:rPr>
          <w:rFonts w:hint="eastAsia" w:ascii="仿宋_GB2312" w:hAnsi="仿宋_GB2312" w:eastAsia="仿宋_GB2312" w:cs="仿宋_GB2312"/>
          <w:color w:val="auto"/>
          <w:kern w:val="2"/>
          <w:sz w:val="32"/>
          <w:szCs w:val="32"/>
          <w:highlight w:val="none"/>
          <w:lang w:val="en-US" w:eastAsia="zh-CN" w:bidi="ar-SA"/>
        </w:rPr>
        <w:t>下列情况之一的启动</w:t>
      </w:r>
      <w:r>
        <w:rPr>
          <w:rFonts w:hint="eastAsia" w:ascii="Times New Roman" w:hAnsi="Times New Roman" w:eastAsia="仿宋_GB2312" w:cs="仿宋_GB2312"/>
          <w:color w:val="auto"/>
          <w:kern w:val="2"/>
          <w:sz w:val="32"/>
          <w:szCs w:val="32"/>
          <w:highlight w:val="none"/>
          <w:lang w:val="en-US" w:eastAsia="zh-CN" w:bidi="ar-SA"/>
        </w:rPr>
        <w:t>I</w:t>
      </w:r>
      <w:r>
        <w:rPr>
          <w:rFonts w:hint="eastAsia" w:ascii="仿宋_GB2312" w:hAnsi="仿宋_GB2312" w:eastAsia="仿宋_GB2312" w:cs="仿宋_GB2312"/>
          <w:color w:val="auto"/>
          <w:kern w:val="2"/>
          <w:sz w:val="32"/>
          <w:szCs w:val="32"/>
          <w:highlight w:val="none"/>
          <w:lang w:val="en-US" w:eastAsia="zh-CN" w:bidi="ar-SA"/>
        </w:rPr>
        <w:t>级响应：</w:t>
      </w:r>
    </w:p>
    <w:p>
      <w:pPr>
        <w:keepNext w:val="0"/>
        <w:keepLines w:val="0"/>
        <w:pageBreakBefore w:val="0"/>
        <w:widowControl w:val="0"/>
        <w:kinsoku/>
        <w:wordWrap/>
        <w:overflowPunct/>
        <w:topLinePunct w:val="0"/>
        <w:autoSpaceDE/>
        <w:autoSpaceDN/>
        <w:bidi w:val="0"/>
        <w:adjustRightInd/>
        <w:snapToGrid/>
        <w:spacing w:line="570" w:lineRule="exact"/>
        <w:ind w:firstLine="631" w:firstLineChars="199"/>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1</w:t>
      </w:r>
      <w:r>
        <w:rPr>
          <w:rFonts w:hint="eastAsia" w:ascii="仿宋_GB2312" w:hAnsi="仿宋_GB2312" w:eastAsia="仿宋_GB2312" w:cs="仿宋_GB2312"/>
          <w:color w:val="auto"/>
          <w:kern w:val="2"/>
          <w:sz w:val="32"/>
          <w:szCs w:val="32"/>
          <w:highlight w:val="none"/>
          <w:lang w:eastAsia="zh-CN"/>
        </w:rPr>
        <w:t>）因灾造成死亡（含失踪）</w:t>
      </w:r>
      <w:r>
        <w:rPr>
          <w:rFonts w:hint="eastAsia" w:ascii="Times New Roman" w:hAnsi="Times New Roman" w:eastAsia="仿宋_GB2312" w:cs="仿宋_GB2312"/>
          <w:color w:val="auto"/>
          <w:kern w:val="2"/>
          <w:sz w:val="32"/>
          <w:szCs w:val="32"/>
          <w:highlight w:val="none"/>
          <w:lang w:val="en-US" w:eastAsia="zh-CN"/>
        </w:rPr>
        <w:t>8</w:t>
      </w:r>
      <w:r>
        <w:rPr>
          <w:rFonts w:hint="eastAsia" w:ascii="仿宋_GB2312" w:hAnsi="仿宋_GB2312" w:eastAsia="仿宋_GB2312" w:cs="仿宋_GB2312"/>
          <w:color w:val="auto"/>
          <w:kern w:val="2"/>
          <w:sz w:val="32"/>
          <w:szCs w:val="32"/>
          <w:highlight w:val="none"/>
          <w:lang w:eastAsia="zh-CN"/>
        </w:rPr>
        <w:t>人以上；</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2</w:t>
      </w:r>
      <w:r>
        <w:rPr>
          <w:rFonts w:hint="eastAsia" w:ascii="仿宋_GB2312" w:hAnsi="仿宋_GB2312" w:eastAsia="仿宋_GB2312" w:cs="仿宋_GB2312"/>
          <w:color w:val="auto"/>
          <w:kern w:val="2"/>
          <w:sz w:val="32"/>
          <w:szCs w:val="32"/>
          <w:highlight w:val="none"/>
          <w:lang w:eastAsia="zh-CN"/>
        </w:rPr>
        <w:t>）紧急转移安置和需要紧急生活救助</w:t>
      </w:r>
      <w:r>
        <w:rPr>
          <w:rFonts w:hint="eastAsia" w:ascii="Times New Roman" w:hAnsi="Times New Roman" w:eastAsia="仿宋_GB2312" w:cs="仿宋_GB2312"/>
          <w:color w:val="auto"/>
          <w:kern w:val="2"/>
          <w:sz w:val="32"/>
          <w:szCs w:val="32"/>
          <w:highlight w:val="none"/>
          <w:lang w:val="en-US" w:eastAsia="zh-CN"/>
        </w:rPr>
        <w:t>8000</w:t>
      </w:r>
      <w:r>
        <w:rPr>
          <w:rFonts w:hint="eastAsia" w:ascii="仿宋_GB2312" w:hAnsi="仿宋_GB2312" w:eastAsia="仿宋_GB2312" w:cs="仿宋_GB2312"/>
          <w:color w:val="auto"/>
          <w:kern w:val="2"/>
          <w:sz w:val="32"/>
          <w:szCs w:val="32"/>
          <w:highlight w:val="none"/>
          <w:lang w:eastAsia="zh-CN"/>
        </w:rPr>
        <w:t>人以上；</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3</w:t>
      </w:r>
      <w:r>
        <w:rPr>
          <w:rFonts w:hint="eastAsia" w:ascii="仿宋_GB2312" w:hAnsi="仿宋_GB2312" w:eastAsia="仿宋_GB2312" w:cs="仿宋_GB2312"/>
          <w:color w:val="auto"/>
          <w:kern w:val="2"/>
          <w:sz w:val="32"/>
          <w:szCs w:val="32"/>
          <w:highlight w:val="none"/>
          <w:lang w:eastAsia="zh-CN"/>
        </w:rPr>
        <w:t>）倒塌和严重损坏房屋</w:t>
      </w:r>
      <w:r>
        <w:rPr>
          <w:rFonts w:hint="eastAsia" w:ascii="Times New Roman" w:hAnsi="Times New Roman" w:eastAsia="仿宋_GB2312" w:cs="仿宋_GB2312"/>
          <w:color w:val="auto"/>
          <w:kern w:val="2"/>
          <w:sz w:val="32"/>
          <w:szCs w:val="32"/>
          <w:highlight w:val="none"/>
          <w:lang w:val="en-US" w:eastAsia="zh-CN"/>
        </w:rPr>
        <w:t>1000</w:t>
      </w:r>
      <w:r>
        <w:rPr>
          <w:rFonts w:hint="eastAsia" w:ascii="仿宋_GB2312" w:hAnsi="仿宋_GB2312" w:eastAsia="仿宋_GB2312" w:cs="仿宋_GB2312"/>
          <w:color w:val="auto"/>
          <w:kern w:val="2"/>
          <w:sz w:val="32"/>
          <w:szCs w:val="32"/>
          <w:highlight w:val="none"/>
          <w:lang w:eastAsia="zh-CN"/>
        </w:rPr>
        <w:t>间以上或</w:t>
      </w:r>
      <w:r>
        <w:rPr>
          <w:rFonts w:hint="eastAsia" w:ascii="Times New Roman" w:hAnsi="Times New Roman" w:eastAsia="仿宋_GB2312" w:cs="仿宋_GB2312"/>
          <w:color w:val="auto"/>
          <w:kern w:val="2"/>
          <w:sz w:val="32"/>
          <w:szCs w:val="32"/>
          <w:highlight w:val="none"/>
          <w:lang w:val="en-US" w:eastAsia="zh-CN"/>
        </w:rPr>
        <w:t>700</w:t>
      </w:r>
      <w:r>
        <w:rPr>
          <w:rFonts w:hint="eastAsia" w:ascii="仿宋_GB2312" w:hAnsi="仿宋_GB2312" w:eastAsia="仿宋_GB2312" w:cs="仿宋_GB2312"/>
          <w:color w:val="auto"/>
          <w:kern w:val="2"/>
          <w:sz w:val="32"/>
          <w:szCs w:val="32"/>
          <w:highlight w:val="none"/>
          <w:lang w:eastAsia="zh-CN"/>
        </w:rPr>
        <w:t>户以上；</w:t>
      </w:r>
    </w:p>
    <w:p>
      <w:pPr>
        <w:keepNext w:val="0"/>
        <w:keepLines w:val="0"/>
        <w:pageBreakBefore w:val="0"/>
        <w:widowControl w:val="0"/>
        <w:kinsoku/>
        <w:wordWrap/>
        <w:overflowPunct/>
        <w:topLinePunct w:val="0"/>
        <w:autoSpaceDE/>
        <w:autoSpaceDN/>
        <w:bidi w:val="0"/>
        <w:adjustRightInd/>
        <w:snapToGrid/>
        <w:spacing w:line="570" w:lineRule="exact"/>
        <w:ind w:firstLine="631" w:firstLineChars="199"/>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4</w:t>
      </w:r>
      <w:r>
        <w:rPr>
          <w:rFonts w:hint="eastAsia" w:ascii="仿宋_GB2312" w:hAnsi="仿宋_GB2312" w:eastAsia="仿宋_GB2312" w:cs="仿宋_GB2312"/>
          <w:color w:val="auto"/>
          <w:kern w:val="2"/>
          <w:sz w:val="32"/>
          <w:szCs w:val="32"/>
          <w:highlight w:val="none"/>
          <w:lang w:eastAsia="zh-CN"/>
        </w:rPr>
        <w:t>）自然灾害造成缺粮或缺水等生活困难，需政府救助人数</w:t>
      </w:r>
      <w:r>
        <w:rPr>
          <w:rFonts w:hint="eastAsia" w:ascii="Times New Roman" w:hAnsi="Times New Roman" w:eastAsia="仿宋_GB2312" w:cs="仿宋_GB2312"/>
          <w:color w:val="auto"/>
          <w:kern w:val="2"/>
          <w:sz w:val="32"/>
          <w:szCs w:val="32"/>
          <w:highlight w:val="none"/>
          <w:lang w:val="en-US" w:eastAsia="zh-CN"/>
        </w:rPr>
        <w:t>4</w:t>
      </w:r>
      <w:r>
        <w:rPr>
          <w:rFonts w:hint="eastAsia" w:ascii="仿宋_GB2312" w:hAnsi="仿宋_GB2312" w:eastAsia="仿宋_GB2312" w:cs="仿宋_GB2312"/>
          <w:color w:val="auto"/>
          <w:kern w:val="2"/>
          <w:sz w:val="32"/>
          <w:szCs w:val="32"/>
          <w:highlight w:val="none"/>
          <w:lang w:eastAsia="zh-CN"/>
        </w:rPr>
        <w:t>万人以上；</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2"/>
          <w:sz w:val="32"/>
          <w:szCs w:val="32"/>
          <w:highlight w:val="none"/>
          <w:lang w:eastAsia="zh-CN"/>
        </w:rPr>
        <w:t>（</w:t>
      </w:r>
      <w:r>
        <w:rPr>
          <w:rFonts w:hint="eastAsia" w:ascii="Times New Roman" w:hAnsi="Times New Roman" w:eastAsia="仿宋_GB2312" w:cs="仿宋_GB2312"/>
          <w:color w:val="auto"/>
          <w:kern w:val="2"/>
          <w:sz w:val="32"/>
          <w:szCs w:val="32"/>
          <w:highlight w:val="none"/>
          <w:lang w:eastAsia="zh-CN"/>
        </w:rPr>
        <w:t>5</w:t>
      </w:r>
      <w:r>
        <w:rPr>
          <w:rFonts w:hint="eastAsia" w:ascii="仿宋_GB2312" w:hAnsi="仿宋_GB2312" w:eastAsia="仿宋_GB2312" w:cs="仿宋_GB2312"/>
          <w:color w:val="auto"/>
          <w:kern w:val="2"/>
          <w:sz w:val="32"/>
          <w:szCs w:val="32"/>
          <w:highlight w:val="none"/>
          <w:lang w:eastAsia="zh-CN"/>
        </w:rPr>
        <w:t>）符合其他自然灾害预案</w:t>
      </w:r>
      <w:r>
        <w:rPr>
          <w:rFonts w:hint="eastAsia" w:ascii="Times New Roman" w:hAnsi="Times New Roman" w:eastAsia="仿宋_GB2312" w:cs="仿宋_GB2312"/>
          <w:color w:val="auto"/>
          <w:kern w:val="2"/>
          <w:sz w:val="32"/>
          <w:szCs w:val="32"/>
          <w:highlight w:val="none"/>
          <w:lang w:eastAsia="zh-CN"/>
        </w:rPr>
        <w:t>I</w:t>
      </w:r>
      <w:r>
        <w:rPr>
          <w:rFonts w:hint="eastAsia" w:ascii="仿宋_GB2312" w:hAnsi="仿宋_GB2312" w:eastAsia="仿宋_GB2312" w:cs="仿宋_GB2312"/>
          <w:color w:val="auto"/>
          <w:kern w:val="2"/>
          <w:sz w:val="32"/>
          <w:szCs w:val="32"/>
          <w:highlight w:val="none"/>
          <w:lang w:eastAsia="zh-CN"/>
        </w:rPr>
        <w:t>级响应启动条件的情形。</w:t>
      </w:r>
    </w:p>
    <w:p>
      <w:pPr>
        <w:pStyle w:val="5"/>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1"/>
        <w:rPr>
          <w:rFonts w:hint="eastAsia" w:ascii="仿宋_GB2312" w:hAnsi="仿宋_GB2312" w:eastAsia="仿宋_GB2312" w:cs="仿宋_GB2312"/>
          <w:b w:val="0"/>
          <w:bCs/>
          <w:color w:val="auto"/>
          <w:kern w:val="2"/>
          <w:sz w:val="32"/>
          <w:szCs w:val="32"/>
          <w:highlight w:val="none"/>
          <w:lang w:eastAsia="zh-CN"/>
        </w:rPr>
      </w:pPr>
      <w:bookmarkStart w:id="151" w:name="_Toc1333"/>
      <w:bookmarkStart w:id="152" w:name="_Toc14221"/>
      <w:bookmarkStart w:id="153" w:name="_Toc25540"/>
      <w:bookmarkStart w:id="154" w:name="_Toc7875"/>
      <w:r>
        <w:rPr>
          <w:rFonts w:hint="eastAsia" w:ascii="Times New Roman" w:hAnsi="Times New Roman" w:eastAsia="仿宋_GB2312" w:cs="仿宋_GB2312"/>
          <w:b w:val="0"/>
          <w:bCs/>
          <w:color w:val="auto"/>
          <w:kern w:val="2"/>
          <w:sz w:val="32"/>
          <w:szCs w:val="32"/>
          <w:highlight w:val="none"/>
          <w:lang w:val="en-US" w:eastAsia="zh-CN"/>
        </w:rPr>
        <w:t>5</w:t>
      </w:r>
      <w:r>
        <w:rPr>
          <w:rFonts w:hint="eastAsia" w:ascii="仿宋_GB2312" w:hAnsi="仿宋_GB2312" w:eastAsia="仿宋_GB2312" w:cs="仿宋_GB2312"/>
          <w:b w:val="0"/>
          <w:bCs/>
          <w:color w:val="auto"/>
          <w:kern w:val="2"/>
          <w:sz w:val="32"/>
          <w:szCs w:val="32"/>
          <w:highlight w:val="none"/>
          <w:lang w:eastAsia="zh-CN"/>
        </w:rPr>
        <w:t>.</w:t>
      </w:r>
      <w:r>
        <w:rPr>
          <w:rFonts w:hint="eastAsia" w:ascii="Times New Roman" w:hAnsi="Times New Roman" w:eastAsia="仿宋_GB2312" w:cs="仿宋_GB2312"/>
          <w:b w:val="0"/>
          <w:bCs/>
          <w:color w:val="auto"/>
          <w:kern w:val="2"/>
          <w:sz w:val="32"/>
          <w:szCs w:val="32"/>
          <w:highlight w:val="none"/>
          <w:lang w:eastAsia="zh-CN"/>
        </w:rPr>
        <w:t>4</w:t>
      </w:r>
      <w:r>
        <w:rPr>
          <w:rFonts w:hint="eastAsia" w:ascii="仿宋_GB2312" w:hAnsi="仿宋_GB2312" w:eastAsia="仿宋_GB2312" w:cs="仿宋_GB2312"/>
          <w:b w:val="0"/>
          <w:bCs/>
          <w:color w:val="auto"/>
          <w:kern w:val="2"/>
          <w:sz w:val="32"/>
          <w:szCs w:val="32"/>
          <w:highlight w:val="none"/>
          <w:lang w:eastAsia="zh-CN"/>
        </w:rPr>
        <w:t>.</w:t>
      </w:r>
      <w:r>
        <w:rPr>
          <w:rFonts w:hint="eastAsia" w:ascii="Times New Roman" w:hAnsi="Times New Roman" w:eastAsia="仿宋_GB2312" w:cs="仿宋_GB2312"/>
          <w:b w:val="0"/>
          <w:bCs/>
          <w:color w:val="auto"/>
          <w:kern w:val="2"/>
          <w:sz w:val="32"/>
          <w:szCs w:val="32"/>
          <w:highlight w:val="none"/>
          <w:lang w:eastAsia="zh-CN"/>
        </w:rPr>
        <w:t>2</w:t>
      </w:r>
      <w:r>
        <w:rPr>
          <w:rFonts w:hint="eastAsia" w:ascii="仿宋_GB2312" w:hAnsi="仿宋_GB2312" w:eastAsia="仿宋_GB2312" w:cs="仿宋_GB2312"/>
          <w:b w:val="0"/>
          <w:bCs/>
          <w:color w:val="auto"/>
          <w:kern w:val="2"/>
          <w:sz w:val="32"/>
          <w:szCs w:val="32"/>
          <w:highlight w:val="none"/>
          <w:lang w:eastAsia="zh-CN"/>
        </w:rPr>
        <w:t>启动程序</w:t>
      </w:r>
      <w:bookmarkEnd w:id="151"/>
      <w:bookmarkEnd w:id="152"/>
      <w:bookmarkEnd w:id="153"/>
      <w:bookmarkEnd w:id="154"/>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highlight w:val="none"/>
          <w:lang w:val="en-US" w:eastAsia="zh-CN" w:bidi="ar-SA"/>
        </w:rPr>
        <w:t>灾害发生后，区减灾办组织相关部门和专家</w:t>
      </w:r>
      <w:r>
        <w:rPr>
          <w:rFonts w:hint="eastAsia" w:ascii="仿宋_GB2312" w:hAnsi="仿宋_GB2312" w:eastAsia="仿宋_GB2312" w:cs="仿宋_GB2312"/>
          <w:color w:val="auto"/>
          <w:kern w:val="2"/>
          <w:sz w:val="32"/>
          <w:szCs w:val="32"/>
          <w:lang w:val="en-US" w:eastAsia="zh-CN" w:bidi="ar-SA"/>
        </w:rPr>
        <w:t>进行会商，对灾害影响及其发展趋势进行综合评估，认定灾情达到启动标准，由减灾委提出启动</w:t>
      </w:r>
      <w:r>
        <w:rPr>
          <w:rFonts w:hint="eastAsia" w:ascii="Times New Roman" w:hAnsi="Times New Roman" w:eastAsia="仿宋_GB2312" w:cs="仿宋_GB2312"/>
          <w:color w:val="auto"/>
          <w:kern w:val="2"/>
          <w:sz w:val="32"/>
          <w:szCs w:val="32"/>
          <w:lang w:val="en-US" w:eastAsia="zh-CN" w:bidi="ar-SA"/>
        </w:rPr>
        <w:t>I</w:t>
      </w:r>
      <w:r>
        <w:rPr>
          <w:rFonts w:hint="eastAsia" w:ascii="仿宋_GB2312" w:hAnsi="仿宋_GB2312" w:eastAsia="仿宋_GB2312" w:cs="仿宋_GB2312"/>
          <w:color w:val="auto"/>
          <w:kern w:val="2"/>
          <w:sz w:val="32"/>
          <w:szCs w:val="32"/>
          <w:lang w:val="en-US" w:eastAsia="zh-CN" w:bidi="ar-SA"/>
        </w:rPr>
        <w:t>级响应建议，报请区人民政府决定启动</w:t>
      </w:r>
      <w:r>
        <w:rPr>
          <w:rFonts w:hint="eastAsia" w:ascii="Times New Roman" w:hAnsi="Times New Roman" w:eastAsia="仿宋_GB2312" w:cs="仿宋_GB2312"/>
          <w:color w:val="auto"/>
          <w:kern w:val="2"/>
          <w:sz w:val="32"/>
          <w:szCs w:val="32"/>
          <w:lang w:val="en-US" w:eastAsia="zh-CN" w:bidi="ar-SA"/>
        </w:rPr>
        <w:t>I</w:t>
      </w:r>
      <w:r>
        <w:rPr>
          <w:rFonts w:hint="eastAsia" w:ascii="仿宋_GB2312" w:hAnsi="仿宋_GB2312" w:eastAsia="仿宋_GB2312" w:cs="仿宋_GB2312"/>
          <w:color w:val="auto"/>
          <w:kern w:val="2"/>
          <w:sz w:val="32"/>
          <w:szCs w:val="32"/>
          <w:lang w:val="en-US" w:eastAsia="zh-CN" w:bidi="ar-SA"/>
        </w:rPr>
        <w:t>级应急响应。启动</w:t>
      </w:r>
      <w:r>
        <w:rPr>
          <w:rFonts w:hint="eastAsia" w:ascii="Times New Roman" w:hAnsi="Times New Roman" w:eastAsia="仿宋_GB2312" w:cs="仿宋_GB2312"/>
          <w:color w:val="auto"/>
          <w:kern w:val="2"/>
          <w:sz w:val="32"/>
          <w:szCs w:val="32"/>
          <w:lang w:val="en-US" w:eastAsia="zh-CN" w:bidi="ar-SA"/>
        </w:rPr>
        <w:t>I</w:t>
      </w:r>
      <w:r>
        <w:rPr>
          <w:rFonts w:hint="eastAsia" w:ascii="仿宋_GB2312" w:hAnsi="仿宋_GB2312" w:eastAsia="仿宋_GB2312" w:cs="仿宋_GB2312"/>
          <w:color w:val="auto"/>
          <w:kern w:val="2"/>
          <w:sz w:val="32"/>
          <w:szCs w:val="32"/>
          <w:lang w:val="en-US" w:eastAsia="zh-CN" w:bidi="ar-SA"/>
        </w:rPr>
        <w:t>级应急响应时以区人民政府名义发布。</w:t>
      </w:r>
    </w:p>
    <w:p>
      <w:pPr>
        <w:pStyle w:val="5"/>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1"/>
        <w:rPr>
          <w:rFonts w:hint="eastAsia" w:ascii="仿宋_GB2312" w:hAnsi="仿宋_GB2312" w:eastAsia="仿宋_GB2312" w:cs="仿宋_GB2312"/>
          <w:b w:val="0"/>
          <w:bCs/>
          <w:color w:val="auto"/>
          <w:kern w:val="2"/>
          <w:sz w:val="32"/>
          <w:szCs w:val="32"/>
          <w:lang w:eastAsia="zh-CN"/>
        </w:rPr>
      </w:pPr>
      <w:bookmarkStart w:id="155" w:name="_Toc26848"/>
      <w:bookmarkStart w:id="156" w:name="_Toc32311"/>
      <w:bookmarkStart w:id="157" w:name="_Toc17967"/>
      <w:bookmarkStart w:id="158" w:name="_Toc7259"/>
      <w:r>
        <w:rPr>
          <w:rFonts w:hint="eastAsia" w:ascii="Times New Roman" w:hAnsi="Times New Roman" w:eastAsia="仿宋_GB2312" w:cs="仿宋_GB2312"/>
          <w:b w:val="0"/>
          <w:bCs/>
          <w:color w:val="auto"/>
          <w:kern w:val="2"/>
          <w:sz w:val="32"/>
          <w:szCs w:val="32"/>
          <w:lang w:val="en-US" w:eastAsia="zh-CN"/>
        </w:rPr>
        <w:t>5</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4</w:t>
      </w:r>
      <w:r>
        <w:rPr>
          <w:rFonts w:hint="eastAsia" w:ascii="仿宋_GB2312" w:hAnsi="仿宋_GB2312" w:eastAsia="仿宋_GB2312" w:cs="仿宋_GB2312"/>
          <w:b w:val="0"/>
          <w:bCs/>
          <w:color w:val="auto"/>
          <w:kern w:val="2"/>
          <w:sz w:val="32"/>
          <w:szCs w:val="32"/>
          <w:lang w:eastAsia="zh-CN"/>
        </w:rPr>
        <w:t>.</w:t>
      </w:r>
      <w:r>
        <w:rPr>
          <w:rFonts w:hint="eastAsia" w:ascii="Times New Roman" w:hAnsi="Times New Roman" w:eastAsia="仿宋_GB2312" w:cs="仿宋_GB2312"/>
          <w:b w:val="0"/>
          <w:bCs/>
          <w:color w:val="auto"/>
          <w:kern w:val="2"/>
          <w:sz w:val="32"/>
          <w:szCs w:val="32"/>
          <w:lang w:eastAsia="zh-CN"/>
        </w:rPr>
        <w:t>3</w:t>
      </w:r>
      <w:r>
        <w:rPr>
          <w:rFonts w:hint="eastAsia" w:ascii="仿宋_GB2312" w:hAnsi="仿宋_GB2312" w:eastAsia="仿宋_GB2312" w:cs="仿宋_GB2312"/>
          <w:b w:val="0"/>
          <w:bCs/>
          <w:color w:val="auto"/>
          <w:kern w:val="2"/>
          <w:sz w:val="32"/>
          <w:szCs w:val="32"/>
          <w:lang w:eastAsia="zh-CN"/>
        </w:rPr>
        <w:t>响应措施</w:t>
      </w:r>
      <w:bookmarkEnd w:id="155"/>
      <w:bookmarkEnd w:id="156"/>
      <w:bookmarkEnd w:id="157"/>
      <w:bookmarkEnd w:id="158"/>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区减灾委主任统一组织、领导、协调自然灾害救助工作，指导、协调、支持受灾镇（街）、村（社区）自然灾害救助工作。其成员单位视情况采取以下措施：</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）组织召开会商会，各成员单位、相关专家及有关受灾镇（街）、村（社区）相关负责人参加，对指导、支持灾区减灾救灾重大事项作出决定，分析灾情形势，研究落实对灾区的救灾支持措施。</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）区减灾委主任（或副主任）带队，率有关部门负责人赴灾区慰问受灾群众，核查灾情，指导受灾地开展自然灾害救助工作。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en-US" w:eastAsia="zh-CN" w:bidi="ar-SA"/>
        </w:rPr>
        <w:t>）区应急管理局及时掌握灾情和救灾工作动态信息，组织灾情会商，按照有关规定统一发布灾情，及时发布灾区需求。有关成员单位按照职责做好灾情、灾区需求及救灾工作动态等信息共享，每日向区应急管理局通报有关情况。必要时，组织专家进行实时灾情、灾情发展趋势以及灾区需求评估。</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）区应急管理局会同区财政局根据对灾情的核定情况，及时下拨本级自然灾害救助资金，根据需要向市财政局、市应急管理局申请市级自然灾害救助资金。</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2"/>
          <w:sz w:val="32"/>
          <w:szCs w:val="32"/>
          <w:lang w:val="en-US" w:eastAsia="zh-CN" w:bidi="ar-SA"/>
        </w:rPr>
        <w:t>）区应急管理局会同区发展改革局紧急调拨生活类救助物资，指导、监督灾区救灾应急措施落实和救灾款物发放。区交通运输局等部门和单位指导、协调开展救灾物资、人员运输工作。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2"/>
          <w:sz w:val="32"/>
          <w:szCs w:val="32"/>
          <w:lang w:val="en-US" w:eastAsia="zh-CN" w:bidi="ar-SA"/>
        </w:rPr>
        <w:t>）市公安局增城分局加强对灾区的社会治安和道路交通应急管理，协助组织灾区群众紧急转移。区人民武装部组织、协调民兵等队伍协助运送、发放救灾物资和维持灾区治安秩序。</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2"/>
          <w:sz w:val="32"/>
          <w:szCs w:val="32"/>
          <w:lang w:val="en-US" w:eastAsia="zh-CN" w:bidi="ar-SA"/>
        </w:rPr>
        <w:t>）市规划和自然资源局增城区分局准备灾区地理信息数据，组织灾区现场影像获取应急测绘，开展灾情监测和空间分析，提供应急测绘保障服务。</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2"/>
          <w:sz w:val="32"/>
          <w:szCs w:val="32"/>
          <w:lang w:val="en-US" w:eastAsia="zh-CN" w:bidi="ar-SA"/>
        </w:rPr>
        <w:t>）区委宣传部组织做好新闻宣传和舆论引导等工作。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2"/>
          <w:sz w:val="32"/>
          <w:szCs w:val="32"/>
          <w:lang w:val="en-US" w:eastAsia="zh-CN" w:bidi="ar-SA"/>
        </w:rPr>
        <w:t>）区民政局视情况组织开展救灾捐赠活动，统一接收、管理、分配捐赠款物；指导社会组织、志愿者等社会力量参与灾害救助工作；依法开展救灾募捐活动，参与救灾工作。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2"/>
          <w:sz w:val="32"/>
          <w:szCs w:val="32"/>
          <w:lang w:val="en-US" w:eastAsia="zh-CN" w:bidi="ar-SA"/>
        </w:rPr>
        <w:t>）区住房城乡建设局指导灾后房屋建筑和市政基础设施工程的安全评估等工作。区水务局指导水务工程修复、供水和应急供水工作。</w:t>
      </w:r>
      <w:r>
        <w:rPr>
          <w:rFonts w:hint="eastAsia" w:ascii="仿宋_GB2312" w:hAnsi="仿宋_GB2312" w:eastAsia="仿宋_GB2312" w:cs="仿宋_GB2312"/>
          <w:b w:val="0"/>
          <w:bCs w:val="0"/>
          <w:color w:val="auto"/>
          <w:kern w:val="2"/>
          <w:sz w:val="32"/>
          <w:szCs w:val="32"/>
          <w:highlight w:val="none"/>
          <w:lang w:val="en-US" w:eastAsia="zh-CN" w:bidi="ar-SA"/>
        </w:rPr>
        <w:t>区卫生健康局及时组织医疗卫生队伍赴灾区协助开展医疗救治、卫生防疫、心理援助等工作</w:t>
      </w:r>
      <w:r>
        <w:rPr>
          <w:rFonts w:hint="eastAsia" w:ascii="仿宋_GB2312" w:hAnsi="仿宋_GB2312" w:eastAsia="仿宋_GB2312" w:cs="仿宋_GB2312"/>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kern w:val="2"/>
          <w:sz w:val="32"/>
          <w:szCs w:val="32"/>
          <w:lang w:val="en-US" w:eastAsia="zh-CN" w:bidi="ar-SA"/>
        </w:rPr>
        <w:t>）区发展改革局开展市场商品供应和价格监测、分析工作，保障市场商品供应和价格稳定；组织、协调救灾装备、防护和消杀用品等生产供应工作。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kern w:val="2"/>
          <w:sz w:val="32"/>
          <w:szCs w:val="32"/>
          <w:lang w:val="en-US" w:eastAsia="zh-CN" w:bidi="ar-SA"/>
        </w:rPr>
        <w:t>）灾情稳定后，区应急管理局组织开展灾害损失综合评估工作；区应急管理局按有关规定统一发布自然灾害损失情况。</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kern w:val="2"/>
          <w:sz w:val="32"/>
          <w:szCs w:val="32"/>
          <w:lang w:val="en-US" w:eastAsia="zh-CN" w:bidi="ar-SA"/>
        </w:rPr>
        <w:t>）其他成员单位按照职责分工，做好有关工作。</w:t>
      </w:r>
    </w:p>
    <w:bookmarkEnd w:id="98"/>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159" w:name="_Toc14501"/>
      <w:bookmarkStart w:id="160" w:name="_Toc1244"/>
      <w:bookmarkStart w:id="161" w:name="_Toc15788"/>
      <w:bookmarkStart w:id="162" w:name="_Toc18500"/>
      <w:r>
        <w:rPr>
          <w:rFonts w:hint="eastAsia" w:ascii="Times New Roman" w:hAnsi="Times New Roman" w:eastAsia="楷体_GB2312" w:cs="楷体_GB2312"/>
          <w:b w:val="0"/>
          <w:bCs w:val="0"/>
          <w:color w:val="auto"/>
          <w:kern w:val="2"/>
          <w:sz w:val="32"/>
          <w:szCs w:val="32"/>
          <w:lang w:val="en-US" w:eastAsia="zh-CN"/>
        </w:rPr>
        <w:t>5</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val="en-US" w:eastAsia="zh-CN"/>
        </w:rPr>
        <w:t>5</w:t>
      </w:r>
      <w:r>
        <w:rPr>
          <w:rFonts w:hint="eastAsia" w:ascii="楷体_GB2312" w:hAnsi="楷体_GB2312" w:eastAsia="楷体_GB2312" w:cs="楷体_GB2312"/>
          <w:b w:val="0"/>
          <w:bCs w:val="0"/>
          <w:color w:val="auto"/>
          <w:kern w:val="2"/>
          <w:sz w:val="32"/>
          <w:szCs w:val="32"/>
          <w:lang w:eastAsia="zh-CN"/>
        </w:rPr>
        <w:t>响应终止</w:t>
      </w:r>
      <w:bookmarkEnd w:id="159"/>
      <w:bookmarkEnd w:id="160"/>
      <w:bookmarkEnd w:id="161"/>
      <w:bookmarkEnd w:id="162"/>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灾情基本稳定、救助应急工作结束，经综合研判，由区应急管理局提出建议，Ⅳ级应急响应由区减灾办主任宣布响应终止；Ⅲ级应急响应由减灾委副主任宣布响应终止；Ⅱ级应急响应由减灾委主任宣布响应终止；Ⅰ级应急响应报请区人民政府同意后由减灾委宣布响应终止。</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firstLine="634" w:firstLineChars="200"/>
        <w:contextualSpacing/>
        <w:textAlignment w:val="auto"/>
        <w:rPr>
          <w:rFonts w:hint="eastAsia" w:ascii="黑体" w:hAnsi="黑体" w:eastAsia="黑体" w:cs="黑体"/>
          <w:b w:val="0"/>
          <w:bCs w:val="0"/>
          <w:color w:val="auto"/>
          <w:kern w:val="2"/>
          <w:sz w:val="32"/>
          <w:szCs w:val="32"/>
          <w:lang w:eastAsia="zh-CN"/>
        </w:rPr>
      </w:pPr>
      <w:bookmarkStart w:id="163" w:name="_Toc7885"/>
      <w:bookmarkStart w:id="164" w:name="_Toc25349"/>
      <w:bookmarkStart w:id="165" w:name="_Toc12400"/>
      <w:bookmarkStart w:id="166" w:name="_Toc31697"/>
      <w:bookmarkStart w:id="167" w:name="_Toc3371"/>
      <w:r>
        <w:rPr>
          <w:rFonts w:hint="eastAsia" w:ascii="Times New Roman" w:hAnsi="Times New Roman" w:eastAsia="黑体" w:cs="黑体"/>
          <w:b w:val="0"/>
          <w:bCs w:val="0"/>
          <w:color w:val="auto"/>
          <w:kern w:val="2"/>
          <w:sz w:val="32"/>
          <w:szCs w:val="32"/>
          <w:lang w:val="en-US" w:eastAsia="zh-CN"/>
        </w:rPr>
        <w:t>6</w:t>
      </w:r>
      <w:r>
        <w:rPr>
          <w:rFonts w:hint="eastAsia" w:ascii="黑体" w:hAnsi="黑体" w:eastAsia="黑体" w:cs="黑体"/>
          <w:b w:val="0"/>
          <w:bCs w:val="0"/>
          <w:color w:val="auto"/>
          <w:kern w:val="2"/>
          <w:sz w:val="32"/>
          <w:szCs w:val="32"/>
          <w:lang w:val="en-US" w:eastAsia="zh-CN"/>
        </w:rPr>
        <w:t>.</w:t>
      </w:r>
      <w:r>
        <w:rPr>
          <w:rFonts w:hint="eastAsia" w:ascii="黑体" w:hAnsi="黑体" w:eastAsia="黑体" w:cs="黑体"/>
          <w:b w:val="0"/>
          <w:bCs w:val="0"/>
          <w:color w:val="auto"/>
          <w:kern w:val="2"/>
          <w:sz w:val="32"/>
          <w:szCs w:val="32"/>
          <w:lang w:eastAsia="zh-CN"/>
        </w:rPr>
        <w:t>灾后救助与恢复重建</w:t>
      </w:r>
      <w:bookmarkEnd w:id="163"/>
      <w:bookmarkEnd w:id="164"/>
      <w:bookmarkEnd w:id="165"/>
      <w:bookmarkEnd w:id="166"/>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168" w:name="_Toc30"/>
      <w:bookmarkStart w:id="169" w:name="_Toc916"/>
      <w:bookmarkStart w:id="170" w:name="_Toc31939"/>
      <w:bookmarkStart w:id="171" w:name="_Toc27541"/>
      <w:r>
        <w:rPr>
          <w:rFonts w:hint="eastAsia" w:ascii="Times New Roman" w:hAnsi="Times New Roman" w:eastAsia="楷体_GB2312" w:cs="楷体_GB2312"/>
          <w:b w:val="0"/>
          <w:bCs w:val="0"/>
          <w:color w:val="auto"/>
          <w:kern w:val="2"/>
          <w:sz w:val="32"/>
          <w:szCs w:val="32"/>
          <w:lang w:val="en-US" w:eastAsia="zh-CN"/>
        </w:rPr>
        <w:t>6</w:t>
      </w:r>
      <w:r>
        <w:rPr>
          <w:rFonts w:hint="eastAsia" w:ascii="楷体_GB2312" w:hAnsi="楷体_GB2312" w:eastAsia="楷体_GB2312" w:cs="楷体_GB2312"/>
          <w:b w:val="0"/>
          <w:bCs w:val="0"/>
          <w:color w:val="auto"/>
          <w:kern w:val="2"/>
          <w:sz w:val="32"/>
          <w:szCs w:val="32"/>
          <w:lang w:val="en-US" w:eastAsia="zh-CN"/>
        </w:rPr>
        <w:t>.</w:t>
      </w:r>
      <w:r>
        <w:rPr>
          <w:rFonts w:hint="eastAsia" w:ascii="Times New Roman" w:hAnsi="Times New Roman" w:eastAsia="楷体_GB2312" w:cs="楷体_GB2312"/>
          <w:b w:val="0"/>
          <w:bCs w:val="0"/>
          <w:color w:val="auto"/>
          <w:kern w:val="2"/>
          <w:sz w:val="32"/>
          <w:szCs w:val="32"/>
          <w:lang w:val="en-US" w:eastAsia="zh-CN"/>
        </w:rPr>
        <w:t>1</w:t>
      </w:r>
      <w:r>
        <w:rPr>
          <w:rFonts w:hint="eastAsia" w:ascii="楷体_GB2312" w:hAnsi="楷体_GB2312" w:eastAsia="楷体_GB2312" w:cs="楷体_GB2312"/>
          <w:b w:val="0"/>
          <w:bCs w:val="0"/>
          <w:color w:val="auto"/>
          <w:kern w:val="2"/>
          <w:sz w:val="32"/>
          <w:szCs w:val="32"/>
          <w:lang w:val="en-US" w:eastAsia="zh-CN"/>
        </w:rPr>
        <w:t>过渡期生活救助</w:t>
      </w:r>
      <w:bookmarkEnd w:id="168"/>
      <w:bookmarkEnd w:id="169"/>
      <w:bookmarkEnd w:id="170"/>
      <w:bookmarkEnd w:id="171"/>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）灾情稳定后,区应急管理局按照</w:t>
      </w:r>
      <w:r>
        <w:rPr>
          <w:rFonts w:hint="eastAsia" w:ascii="仿宋_GB2312" w:hAnsi="仿宋_GB2312" w:eastAsia="仿宋_GB2312" w:cs="仿宋_GB2312"/>
          <w:color w:val="auto"/>
          <w:kern w:val="2"/>
          <w:sz w:val="32"/>
          <w:szCs w:val="32"/>
          <w:lang w:val="zh-CN" w:eastAsia="zh-CN" w:bidi="ar-SA"/>
        </w:rPr>
        <w:t>“无</w:t>
      </w:r>
      <w:r>
        <w:rPr>
          <w:rFonts w:hint="eastAsia" w:ascii="仿宋_GB2312" w:hAnsi="仿宋_GB2312" w:eastAsia="仿宋_GB2312" w:cs="仿宋_GB2312"/>
          <w:color w:val="auto"/>
          <w:kern w:val="2"/>
          <w:sz w:val="32"/>
          <w:szCs w:val="32"/>
          <w:lang w:val="en-US" w:eastAsia="zh-CN" w:bidi="ar-SA"/>
        </w:rPr>
        <w:t>住房、无生活来源、无自救能力”的核定标准确定过渡期需政府救助对象，填写过渡期生活救助人口一览表报市应急管理局备案。</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）区应急管理局会同区财政局及时拨付过渡期生活救助资金。区应急管理局指导受灾镇（街）、村（社区）做好过渡期生活救助的人员核定、资金发放及监管等工作。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en-US" w:eastAsia="zh-CN" w:bidi="ar-SA"/>
        </w:rPr>
        <w:t>）区应急管理局组织有关单位、专家及受灾镇（街）、村（社区）评估灾区过渡期生活救助需求情况。</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）区应急管理局会同有关单位监督检查灾区过渡期生活救助政策和措施落实，定期通报灾区救助工作情况。</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172" w:name="_Toc5537"/>
      <w:bookmarkStart w:id="173" w:name="_Toc25729"/>
      <w:bookmarkStart w:id="174" w:name="_Toc19230"/>
      <w:bookmarkStart w:id="175" w:name="_Toc7327"/>
      <w:r>
        <w:rPr>
          <w:rFonts w:hint="eastAsia" w:ascii="Times New Roman" w:hAnsi="Times New Roman" w:eastAsia="楷体_GB2312" w:cs="楷体_GB2312"/>
          <w:b w:val="0"/>
          <w:bCs w:val="0"/>
          <w:color w:val="auto"/>
          <w:kern w:val="2"/>
          <w:sz w:val="32"/>
          <w:szCs w:val="32"/>
          <w:lang w:val="en-US" w:eastAsia="zh-CN"/>
        </w:rPr>
        <w:t>6</w:t>
      </w:r>
      <w:r>
        <w:rPr>
          <w:rFonts w:hint="eastAsia" w:ascii="楷体_GB2312" w:hAnsi="楷体_GB2312" w:eastAsia="楷体_GB2312" w:cs="楷体_GB2312"/>
          <w:b w:val="0"/>
          <w:bCs w:val="0"/>
          <w:color w:val="auto"/>
          <w:kern w:val="2"/>
          <w:sz w:val="32"/>
          <w:szCs w:val="32"/>
          <w:lang w:val="en-US" w:eastAsia="zh-CN"/>
        </w:rPr>
        <w:t>.</w:t>
      </w:r>
      <w:r>
        <w:rPr>
          <w:rFonts w:hint="eastAsia" w:ascii="Times New Roman" w:hAnsi="Times New Roman" w:eastAsia="楷体_GB2312" w:cs="楷体_GB2312"/>
          <w:b w:val="0"/>
          <w:bCs w:val="0"/>
          <w:color w:val="auto"/>
          <w:kern w:val="2"/>
          <w:sz w:val="32"/>
          <w:szCs w:val="32"/>
          <w:lang w:val="en-US" w:eastAsia="zh-CN"/>
        </w:rPr>
        <w:t>2</w:t>
      </w:r>
      <w:r>
        <w:rPr>
          <w:rFonts w:hint="eastAsia" w:ascii="楷体_GB2312" w:hAnsi="楷体_GB2312" w:eastAsia="楷体_GB2312" w:cs="楷体_GB2312"/>
          <w:b w:val="0"/>
          <w:bCs w:val="0"/>
          <w:color w:val="auto"/>
          <w:kern w:val="2"/>
          <w:sz w:val="32"/>
          <w:szCs w:val="32"/>
          <w:lang w:val="en-US" w:eastAsia="zh-CN"/>
        </w:rPr>
        <w:t>冬春救助</w:t>
      </w:r>
      <w:bookmarkEnd w:id="172"/>
      <w:bookmarkEnd w:id="173"/>
      <w:bookmarkEnd w:id="174"/>
      <w:bookmarkEnd w:id="175"/>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自然灾害发生后的当年冬季、次年春季，为生活困难的受灾人员提供基本生活救助。</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）区应急管理局要在每年</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2"/>
          <w:sz w:val="32"/>
          <w:szCs w:val="32"/>
          <w:lang w:val="en-US" w:eastAsia="zh-CN" w:bidi="ar-SA"/>
        </w:rPr>
        <w:t>月下旬启动冬春受灾群众生活困难情况调查评估，并核实有关情况。</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）区应急管理局要在每年</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2"/>
          <w:sz w:val="32"/>
          <w:szCs w:val="32"/>
          <w:lang w:val="en-US" w:eastAsia="zh-CN" w:bidi="ar-SA"/>
        </w:rPr>
        <w:t>月底前统计、评估受灾人员当年冬季、次年春季基本生活救助需求，核实救助对象，编制工作台账，制定救助工作方案，经批准后组织实施，并报市应急管理局备案。</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en-US" w:eastAsia="zh-CN" w:bidi="ar-SA"/>
        </w:rPr>
        <w:t>）根据需要，由区应急管理局向市应急管理局提出自然灾害救助资金申请，确定资金补助方案，专项用于解决受灾群众冬春期间吃饭、穿衣、取暖等基本生活保障。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区应急管理局、区发展改革局通过开展救灾捐赠、对口支援、政府采购等方式解决受灾群众的过冬衣被等问题，组织有关单位和专家评估冬春期间中期和整个救助工作绩效。区发展改革局等部门组织落实以工代赈、灾欠减免政策；区发展改革局按照规定保证粮油食品的供应。</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2"/>
          <w:sz w:val="32"/>
          <w:szCs w:val="32"/>
          <w:lang w:val="en-US" w:eastAsia="zh-CN" w:bidi="ar-SA"/>
        </w:rPr>
        <w:t>）区民政局负责因灾致贫受灾群众的后续生活救助工作，及时开展临时救助、将符合救助政策规定的受灾群众纳入低保、特困救助对象。</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176" w:name="_Toc6290"/>
      <w:bookmarkStart w:id="177" w:name="_Toc17866"/>
      <w:bookmarkStart w:id="178" w:name="_Toc31713"/>
      <w:bookmarkStart w:id="179" w:name="_Toc6914"/>
      <w:r>
        <w:rPr>
          <w:rFonts w:hint="eastAsia" w:ascii="Times New Roman" w:hAnsi="Times New Roman" w:eastAsia="楷体_GB2312" w:cs="楷体_GB2312"/>
          <w:b w:val="0"/>
          <w:bCs w:val="0"/>
          <w:color w:val="auto"/>
          <w:kern w:val="2"/>
          <w:sz w:val="32"/>
          <w:szCs w:val="32"/>
          <w:lang w:val="en-US" w:eastAsia="zh-CN"/>
        </w:rPr>
        <w:t>6</w:t>
      </w:r>
      <w:r>
        <w:rPr>
          <w:rFonts w:hint="eastAsia" w:ascii="楷体_GB2312" w:hAnsi="楷体_GB2312" w:eastAsia="楷体_GB2312" w:cs="楷体_GB2312"/>
          <w:b w:val="0"/>
          <w:bCs w:val="0"/>
          <w:color w:val="auto"/>
          <w:kern w:val="2"/>
          <w:sz w:val="32"/>
          <w:szCs w:val="32"/>
          <w:lang w:val="en-US" w:eastAsia="zh-CN"/>
        </w:rPr>
        <w:t>.</w:t>
      </w:r>
      <w:r>
        <w:rPr>
          <w:rFonts w:hint="eastAsia" w:ascii="Times New Roman" w:hAnsi="Times New Roman" w:eastAsia="楷体_GB2312" w:cs="楷体_GB2312"/>
          <w:b w:val="0"/>
          <w:bCs w:val="0"/>
          <w:color w:val="auto"/>
          <w:kern w:val="2"/>
          <w:sz w:val="32"/>
          <w:szCs w:val="32"/>
          <w:lang w:val="en-US" w:eastAsia="zh-CN"/>
        </w:rPr>
        <w:t>3</w:t>
      </w:r>
      <w:r>
        <w:rPr>
          <w:rFonts w:hint="eastAsia" w:ascii="楷体_GB2312" w:hAnsi="楷体_GB2312" w:eastAsia="楷体_GB2312" w:cs="楷体_GB2312"/>
          <w:b w:val="0"/>
          <w:bCs w:val="0"/>
          <w:color w:val="auto"/>
          <w:kern w:val="2"/>
          <w:sz w:val="32"/>
          <w:szCs w:val="32"/>
          <w:lang w:val="en-US" w:eastAsia="zh-CN"/>
        </w:rPr>
        <w:t>倒损住房恢复重建</w:t>
      </w:r>
      <w:bookmarkEnd w:id="176"/>
      <w:bookmarkEnd w:id="177"/>
      <w:bookmarkEnd w:id="178"/>
      <w:bookmarkEnd w:id="179"/>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区政府负责组织实施因灾倒损住房恢复重建工作。因灾倒损住房恢复重建要尊重群众意愿，以受灾户自建为主。建房资金等通过政府救助、社会互助、以工代赈、自行筹措、政策优惠等多种途径解决。重建规划和房屋设计要根据灾情因地制宜确定方案，科学安排项目选址，合理布局，避开地质灾害隐患点、地震活动断层、泄洪通道等，提高抗灾设防能力，确保安全。</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）区应急管理局对倒损住房的核定情况，参考其他有关单位评估数据，对因灾倒损住房情况进行综合评估。</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）区应急管理局根据倒损住房情况评估结果，按照补助标准提出资金补助建议，报区财政局审核后下达。根据需要由区应急管理局向市应急管理局提出倒损住房恢复重建补助资金申请。</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en-US" w:eastAsia="zh-CN" w:bidi="ar-SA"/>
        </w:rPr>
        <w:t>）倒损住房恢复重建工作结束后，区应急管理局要采取实地调查等方式，对本地倒损住房恢复重建补助资金管理工作开展绩效评估，并将评估结果报市应急管理局。</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）区住房城乡建设局依职责做好倒损住房恢复重建的设计、施工质量安全监督管理工作。市规划和自然资源局增城区分局负责灾后恢复重建的测绘地理信息保障服务工作。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2"/>
          <w:sz w:val="32"/>
          <w:szCs w:val="32"/>
          <w:lang w:val="en-US" w:eastAsia="zh-CN" w:bidi="ar-SA"/>
        </w:rPr>
        <w:t>）区民政局负责引导社会力量参与灾区恢复重建工作，充分发挥社会力量专业和技术优势，统筹利用社会资源，积极帮助灾区群众做好基础设施、倒损住房修缮和重建等工作。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2"/>
          <w:sz w:val="32"/>
          <w:szCs w:val="32"/>
          <w:lang w:val="en-US" w:eastAsia="zh-CN" w:bidi="ar-SA"/>
        </w:rPr>
        <w:t>）其他相关部门按照各自职责，做好重建规划、选址，制定优惠政策，支持做好住房恢复重建工作。</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firstLine="634" w:firstLineChars="200"/>
        <w:contextualSpacing/>
        <w:textAlignment w:val="auto"/>
        <w:rPr>
          <w:rFonts w:hint="eastAsia" w:ascii="黑体" w:hAnsi="黑体" w:eastAsia="黑体" w:cs="黑体"/>
          <w:b w:val="0"/>
          <w:bCs w:val="0"/>
          <w:color w:val="auto"/>
          <w:kern w:val="2"/>
          <w:sz w:val="32"/>
          <w:szCs w:val="32"/>
          <w:lang w:val="en-US" w:eastAsia="zh-CN"/>
        </w:rPr>
      </w:pPr>
      <w:bookmarkStart w:id="180" w:name="_Toc5747"/>
      <w:bookmarkStart w:id="181" w:name="_Toc19501"/>
      <w:bookmarkStart w:id="182" w:name="_Toc25945"/>
      <w:bookmarkStart w:id="183" w:name="_Toc27302"/>
      <w:r>
        <w:rPr>
          <w:rFonts w:hint="eastAsia" w:ascii="Times New Roman" w:hAnsi="Times New Roman" w:eastAsia="黑体" w:cs="黑体"/>
          <w:b w:val="0"/>
          <w:bCs w:val="0"/>
          <w:color w:val="auto"/>
          <w:kern w:val="2"/>
          <w:sz w:val="32"/>
          <w:szCs w:val="32"/>
          <w:lang w:val="en-US" w:eastAsia="zh-CN"/>
        </w:rPr>
        <w:t>7</w:t>
      </w:r>
      <w:r>
        <w:rPr>
          <w:rFonts w:hint="eastAsia" w:ascii="黑体" w:hAnsi="黑体" w:eastAsia="黑体" w:cs="黑体"/>
          <w:b w:val="0"/>
          <w:bCs w:val="0"/>
          <w:color w:val="auto"/>
          <w:kern w:val="2"/>
          <w:sz w:val="32"/>
          <w:szCs w:val="32"/>
          <w:lang w:val="en-US" w:eastAsia="zh-CN"/>
        </w:rPr>
        <w:t>.信息报告和发布</w:t>
      </w:r>
      <w:bookmarkEnd w:id="180"/>
      <w:bookmarkEnd w:id="181"/>
      <w:bookmarkEnd w:id="182"/>
      <w:bookmarkEnd w:id="183"/>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184" w:name="_Toc3514"/>
      <w:bookmarkStart w:id="185" w:name="_Toc3495"/>
      <w:bookmarkStart w:id="186" w:name="_Toc10616"/>
      <w:bookmarkStart w:id="187" w:name="_Toc15025"/>
      <w:r>
        <w:rPr>
          <w:rFonts w:hint="eastAsia" w:ascii="Times New Roman" w:hAnsi="Times New Roman" w:eastAsia="楷体_GB2312" w:cs="楷体_GB2312"/>
          <w:b w:val="0"/>
          <w:bCs w:val="0"/>
          <w:color w:val="auto"/>
          <w:kern w:val="2"/>
          <w:sz w:val="32"/>
          <w:szCs w:val="32"/>
          <w:lang w:val="en-US" w:eastAsia="zh-CN"/>
        </w:rPr>
        <w:t>7</w:t>
      </w:r>
      <w:r>
        <w:rPr>
          <w:rFonts w:hint="eastAsia" w:ascii="楷体_GB2312" w:hAnsi="楷体_GB2312" w:eastAsia="楷体_GB2312" w:cs="楷体_GB2312"/>
          <w:b w:val="0"/>
          <w:bCs w:val="0"/>
          <w:color w:val="auto"/>
          <w:kern w:val="2"/>
          <w:sz w:val="32"/>
          <w:szCs w:val="32"/>
          <w:lang w:val="en-US" w:eastAsia="zh-CN"/>
        </w:rPr>
        <w:t>.</w:t>
      </w:r>
      <w:r>
        <w:rPr>
          <w:rFonts w:hint="eastAsia" w:ascii="Times New Roman" w:hAnsi="Times New Roman" w:eastAsia="楷体_GB2312" w:cs="楷体_GB2312"/>
          <w:b w:val="0"/>
          <w:bCs w:val="0"/>
          <w:color w:val="auto"/>
          <w:kern w:val="2"/>
          <w:sz w:val="32"/>
          <w:szCs w:val="32"/>
          <w:lang w:val="en-US" w:eastAsia="zh-CN"/>
        </w:rPr>
        <w:t>1</w:t>
      </w:r>
      <w:r>
        <w:rPr>
          <w:rFonts w:hint="eastAsia" w:ascii="楷体_GB2312" w:hAnsi="楷体_GB2312" w:eastAsia="楷体_GB2312" w:cs="楷体_GB2312"/>
          <w:b w:val="0"/>
          <w:bCs w:val="0"/>
          <w:color w:val="auto"/>
          <w:kern w:val="2"/>
          <w:sz w:val="32"/>
          <w:szCs w:val="32"/>
          <w:lang w:val="en-US" w:eastAsia="zh-CN"/>
        </w:rPr>
        <w:t>信息报告</w:t>
      </w:r>
      <w:bookmarkEnd w:id="184"/>
      <w:bookmarkEnd w:id="185"/>
      <w:bookmarkEnd w:id="186"/>
      <w:bookmarkEnd w:id="187"/>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各有关部门和单位按照职责收集和提供灾害发生、发展、损失以及防御等方面信息，及时向区减灾办通报。</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特别重大、重大自然灾害信息应按规定及时报告区人民政府和广州市减灾办。区应急管理局等部门按照《自然灾害情况统计制度》等规定，做好灾情信息收集、汇总、分析、上报及部门之间的共享工作。</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bookmarkStart w:id="188" w:name="_Toc31186"/>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）初报</w:t>
      </w:r>
      <w:bookmarkEnd w:id="188"/>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发生自然灾害后，各镇（街）、各村（社区）应在第一时间内将情况报告给区应急管理局，区应急管理局在灾害发生后</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小时内将灾情和救灾工作情况向区人民政府报告，内容包括灾害种类、发生时间、受灾人口、因灾死亡失踪人口、紧急转移人口、需要紧急生活救助人口。</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对造成</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2"/>
          <w:sz w:val="32"/>
          <w:szCs w:val="32"/>
          <w:lang w:val="en-US" w:eastAsia="zh-CN" w:bidi="ar-SA"/>
        </w:rPr>
        <w:t>人以上死亡（含失踪）或社会高度关注、群众反映强烈、房屋大量倒塌、农田大面积受灾等严重损失的自然灾害，区应急管理局要在灾害发生后立即上报区人民政府和广州市减灾办。</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bookmarkStart w:id="189" w:name="_Toc24632"/>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）续报</w:t>
      </w:r>
      <w:bookmarkEnd w:id="189"/>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在灾情稳定前，各镇（街）、各村（社区）、区应急管理局均须执行</w:t>
      </w:r>
      <w:r>
        <w:rPr>
          <w:rFonts w:hint="eastAsia" w:ascii="Times New Roman" w:hAnsi="Times New Roman" w:eastAsia="仿宋_GB2312" w:cs="仿宋_GB2312"/>
          <w:color w:val="auto"/>
          <w:kern w:val="2"/>
          <w:sz w:val="32"/>
          <w:szCs w:val="32"/>
          <w:lang w:val="en-US" w:eastAsia="zh-CN" w:bidi="ar-SA"/>
        </w:rPr>
        <w:t>24</w:t>
      </w:r>
      <w:r>
        <w:rPr>
          <w:rFonts w:hint="eastAsia" w:ascii="仿宋_GB2312" w:hAnsi="仿宋_GB2312" w:eastAsia="仿宋_GB2312" w:cs="仿宋_GB2312"/>
          <w:color w:val="auto"/>
          <w:kern w:val="2"/>
          <w:sz w:val="32"/>
          <w:szCs w:val="32"/>
          <w:lang w:val="en-US" w:eastAsia="zh-CN" w:bidi="ar-SA"/>
        </w:rPr>
        <w:t>小时零报告制度。各有关部门每日</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2"/>
          <w:sz w:val="32"/>
          <w:szCs w:val="32"/>
          <w:lang w:val="en-US" w:eastAsia="zh-CN" w:bidi="ar-SA"/>
        </w:rPr>
        <w:t>时之前将相关灾情和救灾工作动态信息报区应急管理局，区应急管理局每天</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2"/>
          <w:sz w:val="32"/>
          <w:szCs w:val="32"/>
          <w:lang w:val="en-US" w:eastAsia="zh-CN" w:bidi="ar-SA"/>
        </w:rPr>
        <w:t>时之前将最新灾情和救灾工作情况上报至区人民政府和市应急管理局。较大以上灾情根据需要随时报告。</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bookmarkStart w:id="190" w:name="_Toc2967"/>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en-US" w:eastAsia="zh-CN" w:bidi="ar-SA"/>
        </w:rPr>
        <w:t>）核报</w:t>
      </w:r>
      <w:bookmarkEnd w:id="190"/>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在灾情稳定后，各镇（街）、各村（社区）应及时将经核定的灾情和救援救灾工作数据向区应急管理局报告；区应急管理局在</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2"/>
          <w:sz w:val="32"/>
          <w:szCs w:val="32"/>
          <w:lang w:val="en-US" w:eastAsia="zh-CN" w:bidi="ar-SA"/>
        </w:rPr>
        <w:t>日内将经核定的灾情和救援救灾工作数据向区人民政府和市减灾办报告。</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bookmarkStart w:id="191" w:name="_Toc32499"/>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）干旱灾害信息报告</w:t>
      </w:r>
      <w:bookmarkEnd w:id="191"/>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反映干旱灾害灾情的发生、发展的信息。在旱情初期，且群众生活受到一定影响时，区应急管理局应及时与区农业农村局等部门会商，确定灾害发生情况，向区人民政府进行初报。</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在灾害发展过程中，区应急管理局至少每</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2"/>
          <w:sz w:val="32"/>
          <w:szCs w:val="32"/>
          <w:lang w:val="en-US" w:eastAsia="zh-CN" w:bidi="ar-SA"/>
        </w:rPr>
        <w:t>日续报一次，灾害过程结束后及时核报。</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192" w:name="_Toc7869"/>
      <w:bookmarkStart w:id="193" w:name="_Toc13896"/>
      <w:bookmarkStart w:id="194" w:name="_Toc20711"/>
      <w:bookmarkStart w:id="195" w:name="_Toc6788"/>
      <w:r>
        <w:rPr>
          <w:rFonts w:hint="eastAsia" w:ascii="Times New Roman" w:hAnsi="Times New Roman" w:eastAsia="楷体_GB2312" w:cs="楷体_GB2312"/>
          <w:b w:val="0"/>
          <w:bCs w:val="0"/>
          <w:color w:val="auto"/>
          <w:kern w:val="2"/>
          <w:sz w:val="32"/>
          <w:szCs w:val="32"/>
          <w:lang w:val="en-US" w:eastAsia="zh-CN"/>
        </w:rPr>
        <w:t>7</w:t>
      </w:r>
      <w:r>
        <w:rPr>
          <w:rFonts w:hint="eastAsia" w:ascii="楷体_GB2312" w:hAnsi="楷体_GB2312" w:eastAsia="楷体_GB2312" w:cs="楷体_GB2312"/>
          <w:b w:val="0"/>
          <w:bCs w:val="0"/>
          <w:color w:val="auto"/>
          <w:kern w:val="2"/>
          <w:sz w:val="32"/>
          <w:szCs w:val="32"/>
          <w:lang w:val="en-US" w:eastAsia="zh-CN"/>
        </w:rPr>
        <w:t>.</w:t>
      </w:r>
      <w:r>
        <w:rPr>
          <w:rFonts w:hint="eastAsia" w:ascii="Times New Roman" w:hAnsi="Times New Roman" w:eastAsia="楷体_GB2312" w:cs="楷体_GB2312"/>
          <w:b w:val="0"/>
          <w:bCs w:val="0"/>
          <w:color w:val="auto"/>
          <w:kern w:val="2"/>
          <w:sz w:val="32"/>
          <w:szCs w:val="32"/>
          <w:lang w:val="en-US" w:eastAsia="zh-CN"/>
        </w:rPr>
        <w:t>2</w:t>
      </w:r>
      <w:r>
        <w:rPr>
          <w:rFonts w:hint="eastAsia" w:ascii="楷体_GB2312" w:hAnsi="楷体_GB2312" w:eastAsia="楷体_GB2312" w:cs="楷体_GB2312"/>
          <w:b w:val="0"/>
          <w:bCs w:val="0"/>
          <w:color w:val="auto"/>
          <w:kern w:val="2"/>
          <w:sz w:val="32"/>
          <w:szCs w:val="32"/>
          <w:lang w:val="en-US" w:eastAsia="zh-CN"/>
        </w:rPr>
        <w:t>信息报告要求</w:t>
      </w:r>
      <w:bookmarkEnd w:id="192"/>
      <w:bookmarkEnd w:id="193"/>
      <w:bookmarkEnd w:id="194"/>
      <w:bookmarkEnd w:id="195"/>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自然灾害情况年报、冬春生活救助情况报告、《自然灾害损失情况统计快报表》《救灾工作情况统计快报表》等统计填报按照《自然灾害情况统计调查制度》《特别重大自然灾害损失统计调查制度》的要求执行。</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）各成员单位应加强对本行业、本系统和本领域遭受自然灾害情况的统计上报工作，接报后应在</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小时内向区减灾办报告。</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en-US" w:eastAsia="zh-CN" w:bidi="ar-SA"/>
        </w:rPr>
        <w:t>）区减灾办根据救灾工作需要，可要求各相关单位、镇（街）、村（社区）随时报告灾情和救灾工作情况。</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）灾害信息员应按照要求填报各项信息，包括灾害发生时间、地点、灾种、影响范围、灾情损失、因灾死亡失踪人员台账、灾害发展趋势、处置情况、拟采取措施和工作建议等。</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196" w:name="_Toc28531"/>
      <w:bookmarkStart w:id="197" w:name="_Toc1413"/>
      <w:bookmarkStart w:id="198" w:name="_Toc29094"/>
      <w:bookmarkStart w:id="199" w:name="_Toc12460"/>
      <w:r>
        <w:rPr>
          <w:rFonts w:hint="eastAsia" w:ascii="Times New Roman" w:hAnsi="Times New Roman" w:eastAsia="楷体_GB2312" w:cs="楷体_GB2312"/>
          <w:b w:val="0"/>
          <w:bCs w:val="0"/>
          <w:color w:val="auto"/>
          <w:kern w:val="2"/>
          <w:sz w:val="32"/>
          <w:szCs w:val="32"/>
          <w:lang w:val="en-US" w:eastAsia="zh-CN"/>
        </w:rPr>
        <w:t>7</w:t>
      </w:r>
      <w:r>
        <w:rPr>
          <w:rFonts w:hint="eastAsia" w:ascii="楷体_GB2312" w:hAnsi="楷体_GB2312" w:eastAsia="楷体_GB2312" w:cs="楷体_GB2312"/>
          <w:b w:val="0"/>
          <w:bCs w:val="0"/>
          <w:color w:val="auto"/>
          <w:kern w:val="2"/>
          <w:sz w:val="32"/>
          <w:szCs w:val="32"/>
          <w:lang w:val="en-US" w:eastAsia="zh-CN"/>
        </w:rPr>
        <w:t>.</w:t>
      </w:r>
      <w:r>
        <w:rPr>
          <w:rFonts w:hint="eastAsia" w:ascii="Times New Roman" w:hAnsi="Times New Roman" w:eastAsia="楷体_GB2312" w:cs="楷体_GB2312"/>
          <w:b w:val="0"/>
          <w:bCs w:val="0"/>
          <w:color w:val="auto"/>
          <w:kern w:val="2"/>
          <w:sz w:val="32"/>
          <w:szCs w:val="32"/>
          <w:lang w:val="en-US" w:eastAsia="zh-CN"/>
        </w:rPr>
        <w:t>3</w:t>
      </w:r>
      <w:r>
        <w:rPr>
          <w:rFonts w:hint="eastAsia" w:ascii="楷体_GB2312" w:hAnsi="楷体_GB2312" w:eastAsia="楷体_GB2312" w:cs="楷体_GB2312"/>
          <w:b w:val="0"/>
          <w:bCs w:val="0"/>
          <w:color w:val="auto"/>
          <w:kern w:val="2"/>
          <w:sz w:val="32"/>
          <w:szCs w:val="32"/>
          <w:lang w:val="en-US" w:eastAsia="zh-CN"/>
        </w:rPr>
        <w:t>信息发布</w:t>
      </w:r>
      <w:bookmarkEnd w:id="196"/>
      <w:bookmarkEnd w:id="197"/>
      <w:bookmarkEnd w:id="198"/>
      <w:bookmarkEnd w:id="199"/>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区减灾委按照规定发布相关信息，信息发布要坚持实事求是、及时准确、公开透明的原则。信息发布形式包括授权发布、组织报道、接受记者采访、举行新闻发布会等。要主动通过重点新闻网站或政府网站、政务微博、政务微信、政务客户端和手机短信等发布信息。</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）灾情稳定前，区减灾委要及时向社会滚动发布自然灾害造成的人员伤亡、财产损失以及自然灾害救助工作动态、成效、下一步安排等情况；灾情稳定后，要及时评估、核定并按有关规定发布自然灾害损失情况。</w:t>
      </w:r>
    </w:p>
    <w:bookmarkEnd w:id="167"/>
    <w:p>
      <w:pPr>
        <w:pStyle w:val="3"/>
        <w:keepNext w:val="0"/>
        <w:keepLines w:val="0"/>
        <w:pageBreakBefore w:val="0"/>
        <w:widowControl w:val="0"/>
        <w:kinsoku/>
        <w:wordWrap/>
        <w:overflowPunct/>
        <w:topLinePunct w:val="0"/>
        <w:autoSpaceDE/>
        <w:autoSpaceDN/>
        <w:bidi w:val="0"/>
        <w:adjustRightInd/>
        <w:snapToGrid/>
        <w:spacing w:line="570" w:lineRule="exact"/>
        <w:ind w:left="0" w:leftChars="0" w:firstLine="634" w:firstLineChars="200"/>
        <w:contextualSpacing/>
        <w:textAlignment w:val="auto"/>
        <w:rPr>
          <w:rFonts w:hint="eastAsia" w:ascii="黑体" w:hAnsi="黑体" w:eastAsia="黑体" w:cs="黑体"/>
          <w:b w:val="0"/>
          <w:bCs w:val="0"/>
          <w:color w:val="auto"/>
          <w:kern w:val="2"/>
          <w:sz w:val="32"/>
          <w:szCs w:val="32"/>
          <w:lang w:eastAsia="zh-CN"/>
        </w:rPr>
      </w:pPr>
      <w:bookmarkStart w:id="200" w:name="_Toc30232"/>
      <w:bookmarkStart w:id="201" w:name="_Toc15239"/>
      <w:bookmarkStart w:id="202" w:name="_Toc23510"/>
      <w:bookmarkStart w:id="203" w:name="_Toc16822"/>
      <w:bookmarkStart w:id="204" w:name="_Toc20421"/>
      <w:r>
        <w:rPr>
          <w:rFonts w:hint="eastAsia" w:ascii="Times New Roman" w:hAnsi="Times New Roman" w:eastAsia="黑体" w:cs="黑体"/>
          <w:b w:val="0"/>
          <w:bCs w:val="0"/>
          <w:color w:val="auto"/>
          <w:kern w:val="2"/>
          <w:sz w:val="32"/>
          <w:szCs w:val="32"/>
          <w:lang w:val="en-US" w:eastAsia="zh-CN"/>
        </w:rPr>
        <w:t>8</w:t>
      </w:r>
      <w:r>
        <w:rPr>
          <w:rFonts w:hint="eastAsia" w:ascii="黑体" w:hAnsi="黑体" w:eastAsia="黑体" w:cs="黑体"/>
          <w:b w:val="0"/>
          <w:bCs/>
          <w:snapToGrid/>
          <w:color w:val="auto"/>
          <w:kern w:val="2"/>
          <w:highlight w:val="none"/>
          <w:lang w:val="en-US" w:eastAsia="zh-CN"/>
        </w:rPr>
        <w:t>.</w:t>
      </w:r>
      <w:r>
        <w:rPr>
          <w:rFonts w:hint="eastAsia" w:ascii="黑体" w:hAnsi="黑体" w:eastAsia="黑体" w:cs="黑体"/>
          <w:b w:val="0"/>
          <w:bCs w:val="0"/>
          <w:color w:val="auto"/>
          <w:kern w:val="2"/>
          <w:sz w:val="32"/>
          <w:szCs w:val="32"/>
          <w:lang w:eastAsia="zh-CN"/>
        </w:rPr>
        <w:t>保障措施</w:t>
      </w:r>
      <w:bookmarkEnd w:id="200"/>
      <w:bookmarkEnd w:id="201"/>
      <w:bookmarkEnd w:id="202"/>
      <w:bookmarkEnd w:id="203"/>
      <w:bookmarkEnd w:id="204"/>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val="en-US" w:eastAsia="zh-CN"/>
        </w:rPr>
      </w:pPr>
      <w:bookmarkStart w:id="205" w:name="_Toc20390"/>
      <w:bookmarkStart w:id="206" w:name="_Toc18872"/>
      <w:bookmarkStart w:id="207" w:name="_Toc14018"/>
      <w:bookmarkStart w:id="208" w:name="_Toc7817"/>
      <w:r>
        <w:rPr>
          <w:rFonts w:hint="eastAsia" w:ascii="Times New Roman" w:hAnsi="Times New Roman" w:eastAsia="楷体_GB2312" w:cs="楷体_GB2312"/>
          <w:b w:val="0"/>
          <w:bCs w:val="0"/>
          <w:color w:val="auto"/>
          <w:kern w:val="2"/>
          <w:sz w:val="32"/>
          <w:szCs w:val="32"/>
          <w:lang w:val="en-US" w:eastAsia="zh-CN"/>
        </w:rPr>
        <w:t>8</w:t>
      </w:r>
      <w:r>
        <w:rPr>
          <w:rFonts w:hint="eastAsia" w:ascii="楷体_GB2312" w:hAnsi="楷体_GB2312" w:eastAsia="楷体_GB2312" w:cs="楷体_GB2312"/>
          <w:b w:val="0"/>
          <w:bCs w:val="0"/>
          <w:color w:val="auto"/>
          <w:kern w:val="2"/>
          <w:sz w:val="32"/>
          <w:szCs w:val="32"/>
          <w:lang w:val="en-US" w:eastAsia="zh-CN"/>
        </w:rPr>
        <w:t>.</w:t>
      </w:r>
      <w:r>
        <w:rPr>
          <w:rFonts w:hint="eastAsia" w:ascii="Times New Roman" w:hAnsi="Times New Roman" w:eastAsia="楷体_GB2312" w:cs="楷体_GB2312"/>
          <w:b w:val="0"/>
          <w:bCs w:val="0"/>
          <w:color w:val="auto"/>
          <w:kern w:val="2"/>
          <w:sz w:val="32"/>
          <w:szCs w:val="32"/>
          <w:lang w:val="en-US" w:eastAsia="zh-CN"/>
        </w:rPr>
        <w:t>1</w:t>
      </w:r>
      <w:bookmarkEnd w:id="205"/>
      <w:bookmarkStart w:id="209" w:name="_Toc21136"/>
      <w:r>
        <w:rPr>
          <w:rFonts w:hint="eastAsia" w:ascii="楷体_GB2312" w:hAnsi="楷体_GB2312" w:eastAsia="楷体_GB2312" w:cs="楷体_GB2312"/>
          <w:b w:val="0"/>
          <w:bCs w:val="0"/>
          <w:color w:val="auto"/>
          <w:kern w:val="2"/>
          <w:sz w:val="32"/>
          <w:szCs w:val="32"/>
          <w:lang w:val="en-US" w:eastAsia="zh-CN"/>
        </w:rPr>
        <w:t>资金保障</w:t>
      </w:r>
      <w:bookmarkEnd w:id="206"/>
      <w:bookmarkEnd w:id="207"/>
      <w:bookmarkEnd w:id="208"/>
      <w:bookmarkEnd w:id="209"/>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1</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）区应急管理局、区财政局等部门根据相关规定，安排和落实救灾专项资金预算，按照相关原则，督促镇（街）加大救助资金的投入力度。</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2</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将自然灾害救助工作纳入国民经济和社会发展规划，建立健全与自然灾害救助需求相适应的资金、物资保障机制，将自然灾害救助资金和自然灾害救助工作经费纳入财政预算。区财政局、区应急管理局每年综合考虑有关部门的灾情预测和上年度实际支出等因素，合理安排自然灾害救助资金，专项用于帮助解决遭受特别重大、重大自然灾害地区受灾人员基本生活困难。</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3</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）区应急管理局、区财政局应根据社会经济发展水平、自然灾害生活救助成本等因素，适时调整自然灾害救助政策和相关救助、补助标准。</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10" w:name="_Toc18919"/>
      <w:bookmarkStart w:id="211" w:name="_Toc10515"/>
      <w:bookmarkStart w:id="212" w:name="_Toc19222"/>
      <w:r>
        <w:rPr>
          <w:rFonts w:hint="eastAsia" w:ascii="Times New Roman" w:hAnsi="Times New Roman" w:eastAsia="楷体_GB2312" w:cs="楷体_GB2312"/>
          <w:b w:val="0"/>
          <w:bCs w:val="0"/>
          <w:color w:val="auto"/>
          <w:kern w:val="2"/>
          <w:sz w:val="32"/>
          <w:szCs w:val="32"/>
          <w:lang w:val="en-US" w:eastAsia="zh-CN"/>
        </w:rPr>
        <w:t>8</w:t>
      </w:r>
      <w:r>
        <w:rPr>
          <w:rFonts w:hint="eastAsia" w:ascii="楷体_GB2312" w:hAnsi="楷体_GB2312" w:eastAsia="楷体_GB2312" w:cs="楷体_GB2312"/>
          <w:b w:val="0"/>
          <w:bCs w:val="0"/>
          <w:color w:val="auto"/>
          <w:kern w:val="2"/>
          <w:sz w:val="32"/>
          <w:szCs w:val="32"/>
          <w:lang w:val="en-US" w:eastAsia="zh-CN"/>
        </w:rPr>
        <w:t>.</w:t>
      </w:r>
      <w:r>
        <w:rPr>
          <w:rFonts w:hint="eastAsia" w:ascii="Times New Roman" w:hAnsi="Times New Roman" w:eastAsia="楷体_GB2312" w:cs="楷体_GB2312"/>
          <w:b w:val="0"/>
          <w:bCs w:val="0"/>
          <w:color w:val="auto"/>
          <w:kern w:val="2"/>
          <w:sz w:val="32"/>
          <w:szCs w:val="32"/>
          <w:lang w:val="en-US" w:eastAsia="zh-CN"/>
        </w:rPr>
        <w:t>2</w:t>
      </w:r>
      <w:r>
        <w:rPr>
          <w:rFonts w:hint="eastAsia" w:ascii="楷体_GB2312" w:hAnsi="楷体_GB2312" w:eastAsia="楷体_GB2312" w:cs="楷体_GB2312"/>
          <w:b w:val="0"/>
          <w:bCs w:val="0"/>
          <w:color w:val="auto"/>
          <w:kern w:val="2"/>
          <w:sz w:val="32"/>
          <w:szCs w:val="32"/>
          <w:lang w:eastAsia="zh-CN"/>
        </w:rPr>
        <w:t>人力保障</w:t>
      </w:r>
      <w:bookmarkEnd w:id="210"/>
      <w:bookmarkEnd w:id="211"/>
      <w:bookmarkEnd w:id="212"/>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）建立覆盖 “区 - 镇（街）- 村（社区）” 的灾害信息员队伍，明确灾害信息员配置，各镇（街）、各村（社区）要设立灾害信息员，有条件的镇（街）、村（社区）设立灾害信息员</w:t>
      </w:r>
      <w:r>
        <w:rPr>
          <w:rFonts w:hint="eastAsia" w:ascii="Times New Roman" w:hAnsi="Times New Roman" w:eastAsia="仿宋_GB2312" w:cs="仿宋_GB2312"/>
          <w:color w:val="auto"/>
          <w:kern w:val="2"/>
          <w:sz w:val="32"/>
          <w:szCs w:val="32"/>
          <w:lang w:val="en-US" w:eastAsia="zh-CN" w:bidi="ar-SA"/>
        </w:rPr>
        <w:t>A</w:t>
      </w: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B</w:t>
      </w:r>
      <w:r>
        <w:rPr>
          <w:rFonts w:hint="eastAsia" w:ascii="仿宋_GB2312" w:hAnsi="仿宋_GB2312" w:eastAsia="仿宋_GB2312" w:cs="仿宋_GB2312"/>
          <w:color w:val="auto"/>
          <w:kern w:val="2"/>
          <w:sz w:val="32"/>
          <w:szCs w:val="32"/>
          <w:lang w:val="en-US" w:eastAsia="zh-CN" w:bidi="ar-SA"/>
        </w:rPr>
        <w:t>角。并健全灾害信息员队伍管理机制，推动建立专业性强、具备一专多能的灾害信息员队伍和骨干力量。</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建立灾害信息员培训机制，对灾害信息员开展不同形式内容的专题培训。区应急管理局组织本级灾害信息员培训；督促各镇（街）、各村（社区）定期组织灾害信息员培训。通过组织培训、委托专业机构培训、邀请专家讲课、远程教育、组织模拟报灾演练等方式，定期组织开展灾害基础知识、相关法律法规、灾害应急处置、灾情统计报送、灾情核查核定等方面的业务知识和技能培训。在培训工作中要不断丰富优化培训形式和内容，注重培训考核和效果评估，切实提升各级灾情管理能力和水平。</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en-US" w:eastAsia="zh-CN" w:bidi="ar-SA"/>
        </w:rPr>
        <w:t>）加强契合增城区灾害防控需求的专业救灾队伍与灾害管理人员队伍 “双轮建设”。聚焦本区多元地貌及暴雨、台风、地质灾害等高发灾种，针对性组建地质灾害救援、水域抢险、应急保障等专业化队伍，强化与驻增救援力量协同联动。同步优化灾害管理人员梯队结构，通过专题培训、跨部门实训、实战演练等方式，提升队伍风险研判、统筹协调、应急处置和群众服务能力，打造 “专业过硬、反应迅速、作风扎实” 的高素质队伍，为增城自然灾害救助工作提供坚实人才支撑。</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kern w:val="2"/>
          <w:lang w:val="en-US" w:eastAsia="zh-CN"/>
        </w:rPr>
      </w:pPr>
      <w:r>
        <w:rPr>
          <w:rFonts w:hint="eastAsia"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注重发挥社会力量在灾害救助中的协同作用，支持培育本土救灾类社会组织、志愿者队伍规范化发展。鼓励社会力量参与自然灾害救助工作，引导社会组织、志愿者聚焦信息报送、物资援助、心理疏导等重点领域发挥优势，形成 “政府主导、社会参与、优势互补、协同高效” 的灾害救助合力，为增城防灾减灾救灾工作注入多元活力。</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13" w:name="_Toc16375"/>
      <w:bookmarkStart w:id="214" w:name="_Toc24624"/>
      <w:bookmarkStart w:id="215" w:name="_Toc10544"/>
      <w:bookmarkStart w:id="216" w:name="_Toc13531"/>
      <w:r>
        <w:rPr>
          <w:rFonts w:hint="eastAsia" w:ascii="Times New Roman" w:hAnsi="Times New Roman" w:eastAsia="楷体_GB2312" w:cs="楷体_GB2312"/>
          <w:b w:val="0"/>
          <w:bCs w:val="0"/>
          <w:color w:val="auto"/>
          <w:kern w:val="2"/>
          <w:sz w:val="32"/>
          <w:szCs w:val="32"/>
          <w:lang w:val="en-US" w:eastAsia="zh-CN"/>
        </w:rPr>
        <w:t>8</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3</w:t>
      </w:r>
      <w:r>
        <w:rPr>
          <w:rFonts w:hint="eastAsia" w:ascii="楷体_GB2312" w:hAnsi="楷体_GB2312" w:eastAsia="楷体_GB2312" w:cs="楷体_GB2312"/>
          <w:b w:val="0"/>
          <w:bCs w:val="0"/>
          <w:color w:val="auto"/>
          <w:kern w:val="2"/>
          <w:sz w:val="32"/>
          <w:szCs w:val="32"/>
          <w:lang w:eastAsia="zh-CN"/>
        </w:rPr>
        <w:t>物资保障</w:t>
      </w:r>
      <w:bookmarkEnd w:id="213"/>
      <w:bookmarkEnd w:id="214"/>
      <w:bookmarkEnd w:id="215"/>
      <w:bookmarkEnd w:id="216"/>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1</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 xml:space="preserve">）按照《救灾物资储备库建设标准》（建标 </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121</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2009</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）的要求，建立健全区、街道救灾物资储备仓库，整合现有救灾储备物资和储备仓库，对所储备的救灾物资和储备仓库实施分级、分类管理。</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2</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）各级救灾物资储备仓库要按照救灾物资储备工作要求，储备救灾所需物资，并根据救灾物资消耗、变质、过期等情况，及时补充储备相应救灾物资。</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3</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）区发改局要建立健全救灾物资代储制度，对容易过期变质的救灾物资，应与供应商(厂)家签订紧急供货协议，保证救灾工作的需要。</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4</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）区发改局要编制和完善救灾物资生产厂家名录和救灾物资代储商家名录，完善救灾物资应急生产、采购、更新、紧急调运等工作制度。</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5</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）区人民政府要鼓励和引导社区、企事业单位和家庭储备基本的救灾应急物资和生活必需品。</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17" w:name="_Toc19251"/>
      <w:bookmarkStart w:id="218" w:name="_Toc218"/>
      <w:bookmarkStart w:id="219" w:name="_Toc14382"/>
      <w:bookmarkStart w:id="220" w:name="_Toc6369"/>
      <w:bookmarkStart w:id="221" w:name="_Toc22506"/>
      <w:r>
        <w:rPr>
          <w:rFonts w:hint="eastAsia" w:ascii="Times New Roman" w:hAnsi="Times New Roman" w:eastAsia="楷体_GB2312" w:cs="楷体_GB2312"/>
          <w:b w:val="0"/>
          <w:bCs w:val="0"/>
          <w:color w:val="auto"/>
          <w:kern w:val="2"/>
          <w:sz w:val="32"/>
          <w:szCs w:val="32"/>
          <w:lang w:val="en-US" w:eastAsia="zh-CN"/>
        </w:rPr>
        <w:t>8</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val="en-US" w:eastAsia="zh-CN"/>
        </w:rPr>
        <w:t>4</w:t>
      </w:r>
      <w:r>
        <w:rPr>
          <w:rFonts w:hint="eastAsia" w:ascii="楷体_GB2312" w:hAnsi="楷体_GB2312" w:eastAsia="楷体_GB2312" w:cs="楷体_GB2312"/>
          <w:b w:val="0"/>
          <w:bCs w:val="0"/>
          <w:color w:val="auto"/>
          <w:kern w:val="2"/>
          <w:sz w:val="32"/>
          <w:szCs w:val="32"/>
          <w:lang w:eastAsia="zh-CN"/>
        </w:rPr>
        <w:t>联动保障</w:t>
      </w:r>
      <w:bookmarkEnd w:id="217"/>
      <w:bookmarkEnd w:id="218"/>
      <w:bookmarkEnd w:id="219"/>
      <w:bookmarkEnd w:id="220"/>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b/>
          <w:bCs w:val="0"/>
          <w:color w:val="auto"/>
          <w:kern w:val="2"/>
          <w:sz w:val="32"/>
          <w:szCs w:val="32"/>
          <w:lang w:eastAsia="zh-CN"/>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区发展改革局、区应急管理局、区民政局等部门要结合增城区灾害应对实际，以“高效协同、精准保障”为目标，加强部门之间“全流程联动、多维度协同”的应急保障联动机制建设，进一步优化救灾物资应急保障流程，建立健全保障受灾群众基本生活保障联动工作机制，推动建立各部门之间的自然灾害预警、应急救灾联动机制，形成从预警预判、物资保障到群众生活兜底的闭环联动机制，避免部门协作碎片化。</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22" w:name="_Toc11835"/>
      <w:bookmarkStart w:id="223" w:name="_Toc11638"/>
      <w:bookmarkStart w:id="224" w:name="_Toc2045"/>
      <w:r>
        <w:rPr>
          <w:rFonts w:hint="eastAsia" w:ascii="Times New Roman" w:hAnsi="Times New Roman" w:eastAsia="楷体_GB2312" w:cs="楷体_GB2312"/>
          <w:b w:val="0"/>
          <w:bCs w:val="0"/>
          <w:color w:val="auto"/>
          <w:kern w:val="2"/>
          <w:sz w:val="32"/>
          <w:szCs w:val="32"/>
          <w:lang w:val="en-US" w:eastAsia="zh-CN"/>
        </w:rPr>
        <w:t>8</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val="en-US" w:eastAsia="zh-CN"/>
        </w:rPr>
        <w:t>5</w:t>
      </w:r>
      <w:r>
        <w:rPr>
          <w:rFonts w:hint="eastAsia" w:ascii="楷体_GB2312" w:hAnsi="楷体_GB2312" w:eastAsia="楷体_GB2312" w:cs="楷体_GB2312"/>
          <w:b w:val="0"/>
          <w:bCs w:val="0"/>
          <w:color w:val="auto"/>
          <w:kern w:val="2"/>
          <w:sz w:val="32"/>
          <w:szCs w:val="32"/>
          <w:lang w:eastAsia="zh-CN"/>
        </w:rPr>
        <w:t>设施保障</w:t>
      </w:r>
      <w:bookmarkEnd w:id="221"/>
      <w:bookmarkEnd w:id="222"/>
      <w:bookmarkEnd w:id="223"/>
      <w:bookmarkEnd w:id="224"/>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1</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根据城市规模、人口密度以及分布等情况，利用公园、广场、体育场馆等公共设施，统筹规划建设符合相关要求的应急避护场所，镇（街）、村（社区）要利用本区域内的公共设施设置应急避护场所，设置统一、规范的明显标志，储备必要物资，提供必要医疗条件。</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2</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灾情发生前后，区应急管理局等部门及镇（街）、村（社区）应及时启用各类应急避护场所，科学设置受灾人员安置点，避开山洪、内涝、地质灾害等隐患点和可能发生次生灾害的区域，防范次生灾害发生，同时要加强安置点的消防安全、卫生防疫要求、食品安全、治安等保障，确保安置点秩序。</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25" w:name="_Toc11151"/>
      <w:bookmarkStart w:id="226" w:name="_Toc24511"/>
      <w:bookmarkStart w:id="227" w:name="_Toc2603"/>
      <w:bookmarkStart w:id="228" w:name="_Toc475"/>
      <w:r>
        <w:rPr>
          <w:rFonts w:hint="eastAsia" w:ascii="Times New Roman" w:hAnsi="Times New Roman" w:eastAsia="楷体_GB2312" w:cs="楷体_GB2312"/>
          <w:b w:val="0"/>
          <w:bCs w:val="0"/>
          <w:color w:val="auto"/>
          <w:kern w:val="2"/>
          <w:sz w:val="32"/>
          <w:szCs w:val="32"/>
          <w:lang w:val="en-US" w:eastAsia="zh-CN"/>
        </w:rPr>
        <w:t>8</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val="en-US" w:eastAsia="zh-CN"/>
        </w:rPr>
        <w:t>6</w:t>
      </w:r>
      <w:r>
        <w:rPr>
          <w:rFonts w:hint="eastAsia" w:ascii="楷体_GB2312" w:hAnsi="楷体_GB2312" w:eastAsia="楷体_GB2312" w:cs="楷体_GB2312"/>
          <w:b w:val="0"/>
          <w:bCs w:val="0"/>
          <w:color w:val="auto"/>
          <w:kern w:val="2"/>
          <w:sz w:val="32"/>
          <w:szCs w:val="32"/>
          <w:lang w:eastAsia="zh-CN"/>
        </w:rPr>
        <w:t>交通保障</w:t>
      </w:r>
      <w:bookmarkEnd w:id="225"/>
      <w:bookmarkEnd w:id="226"/>
      <w:bookmarkEnd w:id="227"/>
      <w:bookmarkEnd w:id="228"/>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区交通运输局、市公安局增城分局建立自然灾害应急救助“绿色通道”运输保障和社会交通运输工具征用机制，加强紧急情况下的综合运输管理，实现自然灾害应急救助交通运输统一指挥调度。交通运输局等部门和单位确保自然灾害救助人员和受到自然灾害危害的人员、救助物资、救助设备优先运输。</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29" w:name="_Toc21393"/>
      <w:bookmarkStart w:id="230" w:name="_Toc26327"/>
      <w:bookmarkStart w:id="231" w:name="_Toc20188"/>
      <w:bookmarkStart w:id="232" w:name="_Toc14299"/>
      <w:r>
        <w:rPr>
          <w:rFonts w:hint="eastAsia" w:ascii="Times New Roman" w:hAnsi="Times New Roman" w:eastAsia="楷体_GB2312" w:cs="楷体_GB2312"/>
          <w:b w:val="0"/>
          <w:bCs w:val="0"/>
          <w:color w:val="auto"/>
          <w:kern w:val="2"/>
          <w:sz w:val="32"/>
          <w:szCs w:val="32"/>
          <w:lang w:val="en-US" w:eastAsia="zh-CN"/>
        </w:rPr>
        <w:t>8</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val="en-US" w:eastAsia="zh-CN"/>
        </w:rPr>
        <w:t>7</w:t>
      </w:r>
      <w:r>
        <w:rPr>
          <w:rFonts w:hint="eastAsia" w:ascii="楷体_GB2312" w:hAnsi="楷体_GB2312" w:eastAsia="楷体_GB2312" w:cs="楷体_GB2312"/>
          <w:b w:val="0"/>
          <w:bCs w:val="0"/>
          <w:color w:val="auto"/>
          <w:kern w:val="2"/>
          <w:sz w:val="32"/>
          <w:szCs w:val="32"/>
          <w:lang w:eastAsia="zh-CN"/>
        </w:rPr>
        <w:t>通信保障</w:t>
      </w:r>
      <w:bookmarkEnd w:id="229"/>
      <w:bookmarkEnd w:id="230"/>
      <w:bookmarkEnd w:id="231"/>
      <w:bookmarkEnd w:id="232"/>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区科技工业商务和信息化局组织、协调电信、移动、联通等企业，建立健全应急通信保障，保障自然灾害应急救助工作的信息渠道畅通，完善公用通信网，建立有线和无线相结合、基础电信网络与机动通信系统相配套的应急通信系统，确保通信畅通；区文化广电旅游体育局负责应急广播电视保障工作体系。区主要应急保障部门和重要镇（街）等要配备卫星电话等必要通信装备，并确保通信畅通有效。</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33" w:name="_Toc31755"/>
      <w:bookmarkStart w:id="234" w:name="_Toc878"/>
      <w:bookmarkStart w:id="235" w:name="_Toc6392"/>
      <w:bookmarkStart w:id="236" w:name="_Toc14296"/>
      <w:r>
        <w:rPr>
          <w:rFonts w:hint="eastAsia" w:ascii="Times New Roman" w:hAnsi="Times New Roman" w:eastAsia="楷体_GB2312" w:cs="楷体_GB2312"/>
          <w:b w:val="0"/>
          <w:bCs w:val="0"/>
          <w:color w:val="auto"/>
          <w:kern w:val="2"/>
          <w:sz w:val="32"/>
          <w:szCs w:val="32"/>
          <w:lang w:val="en-US" w:eastAsia="zh-CN"/>
        </w:rPr>
        <w:t>8</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val="en-US" w:eastAsia="zh-CN"/>
        </w:rPr>
        <w:t>8</w:t>
      </w:r>
      <w:r>
        <w:rPr>
          <w:rFonts w:hint="eastAsia" w:ascii="楷体_GB2312" w:hAnsi="楷体_GB2312" w:eastAsia="楷体_GB2312" w:cs="楷体_GB2312"/>
          <w:b w:val="0"/>
          <w:bCs w:val="0"/>
          <w:color w:val="auto"/>
          <w:kern w:val="2"/>
          <w:sz w:val="32"/>
          <w:szCs w:val="32"/>
          <w:lang w:eastAsia="zh-CN"/>
        </w:rPr>
        <w:t>动员保障</w:t>
      </w:r>
      <w:bookmarkEnd w:id="233"/>
      <w:bookmarkEnd w:id="234"/>
      <w:bookmarkEnd w:id="235"/>
      <w:bookmarkEnd w:id="236"/>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1</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建立全流程救灾捐赠管理机制：明确“线上+线下”双渠道动员模式，规范款物接收（需登记捐赠人信息、款物类型及数量）、统计（建立“捐赠款物动态台账”，每日更新）、分配（优先向重灾区、工业园区受灾企业倾斜）、公示（通过区政府官网公开使用情况，接受社会监督）全环节流程，确保捐赠工作透明高效。</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2</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优化差异化对口支援机制：根据辖区灾害影响差异，完善非灾区支援灾区、轻灾区支援重灾区的自然灾害救助对口支援机制，明确支援内容；同时推动工业园区、重点企业与受灾村社结对，形成“非灾援灾区、轻灾帮重灾”的联动格局。</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3</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激活基层多元力量参与效能：分类引导不同主体参与救灾——镇（街）负责统筹辖区资源，组织党员干部开展受灾群众摸排；村（社区）发挥“网格化”优势，由网格员协助发放救灾物资、登记群众需求；工业园区企业组建“企业应急小分队”，参与厂区及周边区域抢险；社会组织聚焦专业服务，通过“线上招募+线下培训”提升志愿者救灾能力，形成“政府主导、多元协同”的基层救灾合力。</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37" w:name="_Toc9366"/>
      <w:bookmarkStart w:id="238" w:name="_Toc22933"/>
      <w:bookmarkStart w:id="239" w:name="_Toc5335"/>
      <w:bookmarkStart w:id="240" w:name="_Toc8089"/>
      <w:r>
        <w:rPr>
          <w:rFonts w:hint="eastAsia" w:ascii="Times New Roman" w:hAnsi="Times New Roman" w:eastAsia="楷体_GB2312" w:cs="楷体_GB2312"/>
          <w:b w:val="0"/>
          <w:bCs w:val="0"/>
          <w:color w:val="auto"/>
          <w:kern w:val="2"/>
          <w:sz w:val="32"/>
          <w:szCs w:val="32"/>
          <w:lang w:val="en-US" w:eastAsia="zh-CN"/>
        </w:rPr>
        <w:t>8</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val="en-US" w:eastAsia="zh-CN"/>
        </w:rPr>
        <w:t>9</w:t>
      </w:r>
      <w:r>
        <w:rPr>
          <w:rFonts w:hint="eastAsia" w:ascii="楷体_GB2312" w:hAnsi="楷体_GB2312" w:eastAsia="楷体_GB2312" w:cs="楷体_GB2312"/>
          <w:b w:val="0"/>
          <w:bCs w:val="0"/>
          <w:color w:val="auto"/>
          <w:kern w:val="2"/>
          <w:sz w:val="32"/>
          <w:szCs w:val="32"/>
          <w:lang w:eastAsia="zh-CN"/>
        </w:rPr>
        <w:t>科技保障</w:t>
      </w:r>
      <w:bookmarkEnd w:id="237"/>
      <w:bookmarkEnd w:id="238"/>
      <w:bookmarkEnd w:id="239"/>
      <w:bookmarkEnd w:id="240"/>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建立健全自然灾害监测预警、分析评估和应急决策支持系统。围绕增城区 “山区、平原、城区” 多元地貌及台风、地质灾害、内涝等主导灾种特点，组织自然资源、生态环境、农林、水务、气象、地质、地震、应急管理等方面专家开展自然灾害风险调查，推动建立增城区自然灾害风险区划图。支持和鼓励有条件的社会组织开展灾害相关领域的科学研究和技术开发，建立合作机制，鼓励减灾救灾政策理论研究，推动科研成果快速转化为基层救灾能力。</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firstLine="634" w:firstLineChars="200"/>
        <w:contextualSpacing/>
        <w:textAlignment w:val="auto"/>
        <w:rPr>
          <w:rFonts w:hint="eastAsia" w:ascii="黑体" w:hAnsi="黑体" w:eastAsia="黑体" w:cs="黑体"/>
          <w:b w:val="0"/>
          <w:bCs w:val="0"/>
          <w:color w:val="auto"/>
          <w:kern w:val="2"/>
          <w:sz w:val="32"/>
          <w:szCs w:val="32"/>
          <w:lang w:eastAsia="zh-CN"/>
        </w:rPr>
      </w:pPr>
      <w:bookmarkStart w:id="241" w:name="_Toc7679"/>
      <w:bookmarkStart w:id="242" w:name="_Toc9102"/>
      <w:bookmarkStart w:id="243" w:name="_Toc28693"/>
      <w:bookmarkStart w:id="244" w:name="_Toc5668"/>
      <w:bookmarkStart w:id="245" w:name="_Toc28642"/>
      <w:r>
        <w:rPr>
          <w:rFonts w:hint="eastAsia" w:ascii="Times New Roman" w:hAnsi="Times New Roman" w:eastAsia="黑体" w:cs="黑体"/>
          <w:b w:val="0"/>
          <w:bCs w:val="0"/>
          <w:color w:val="auto"/>
          <w:kern w:val="2"/>
          <w:sz w:val="32"/>
          <w:szCs w:val="32"/>
          <w:lang w:val="en-US" w:eastAsia="zh-CN"/>
        </w:rPr>
        <w:t>9</w:t>
      </w:r>
      <w:r>
        <w:rPr>
          <w:rFonts w:hint="eastAsia" w:ascii="黑体" w:hAnsi="黑体" w:eastAsia="黑体" w:cs="黑体"/>
          <w:b w:val="0"/>
          <w:bCs w:val="0"/>
          <w:color w:val="auto"/>
          <w:kern w:val="2"/>
          <w:sz w:val="32"/>
          <w:szCs w:val="32"/>
          <w:lang w:val="en-US" w:eastAsia="zh-CN"/>
        </w:rPr>
        <w:t>.</w:t>
      </w:r>
      <w:r>
        <w:rPr>
          <w:rFonts w:hint="eastAsia" w:ascii="黑体" w:hAnsi="黑体" w:eastAsia="黑体" w:cs="黑体"/>
          <w:b w:val="0"/>
          <w:bCs w:val="0"/>
          <w:color w:val="auto"/>
          <w:kern w:val="2"/>
          <w:sz w:val="32"/>
          <w:szCs w:val="32"/>
          <w:lang w:eastAsia="zh-CN"/>
        </w:rPr>
        <w:t>监督管理</w:t>
      </w:r>
      <w:bookmarkEnd w:id="241"/>
      <w:bookmarkEnd w:id="242"/>
      <w:bookmarkEnd w:id="243"/>
      <w:bookmarkEnd w:id="244"/>
      <w:bookmarkEnd w:id="245"/>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46" w:name="_Toc8827"/>
      <w:bookmarkStart w:id="247" w:name="_Toc32042"/>
      <w:bookmarkStart w:id="248" w:name="_Toc32624"/>
      <w:bookmarkStart w:id="249" w:name="_Toc15363"/>
      <w:r>
        <w:rPr>
          <w:rFonts w:hint="eastAsia" w:ascii="Times New Roman" w:hAnsi="Times New Roman" w:eastAsia="楷体_GB2312" w:cs="楷体_GB2312"/>
          <w:b w:val="0"/>
          <w:bCs w:val="0"/>
          <w:color w:val="auto"/>
          <w:kern w:val="2"/>
          <w:sz w:val="32"/>
          <w:szCs w:val="32"/>
          <w:lang w:val="en-US" w:eastAsia="zh-CN"/>
        </w:rPr>
        <w:t>9</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1</w:t>
      </w:r>
      <w:r>
        <w:rPr>
          <w:rFonts w:hint="eastAsia" w:ascii="楷体_GB2312" w:hAnsi="楷体_GB2312" w:eastAsia="楷体_GB2312" w:cs="楷体_GB2312"/>
          <w:b w:val="0"/>
          <w:bCs w:val="0"/>
          <w:color w:val="auto"/>
          <w:kern w:val="2"/>
          <w:sz w:val="32"/>
          <w:szCs w:val="32"/>
          <w:lang w:eastAsia="zh-CN"/>
        </w:rPr>
        <w:t>预案演练</w:t>
      </w:r>
      <w:bookmarkEnd w:id="246"/>
      <w:bookmarkEnd w:id="247"/>
      <w:bookmarkEnd w:id="248"/>
      <w:bookmarkEnd w:id="249"/>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区应急管理局要结合增城区 “山区地质灾害、平原内涝、城区积涝” 多元灾害场景，建立 “场景化、常态化” 应急演练制度。聚焦派潭镇等地质灾害高发区、新塘镇等工业园区密集区、荔城街等人口密集区，灵活采取 “实战演练 + 桌面推演” 组合模式，如在派潭镇组织山体滑坡群众转移实战演练、在新塘镇开展工业园区内涝抢险桌面推演；同时联合区自然资源分局、水务局、消防救援局等成员单位，定期开展 “多部门协同、低成本高效”的联动演练，重点检验跨部门灾情通报、物资调拨、人员安置等环节的协作效能，避免演练形式化，切实提升应对本地典型灾害的实战能力。</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50" w:name="_Toc10423"/>
      <w:bookmarkStart w:id="251" w:name="_Toc20960"/>
      <w:bookmarkStart w:id="252" w:name="_Toc28793"/>
      <w:bookmarkStart w:id="253" w:name="_Toc29974"/>
      <w:r>
        <w:rPr>
          <w:rFonts w:hint="eastAsia" w:ascii="Times New Roman" w:hAnsi="Times New Roman" w:eastAsia="楷体_GB2312" w:cs="楷体_GB2312"/>
          <w:b w:val="0"/>
          <w:bCs w:val="0"/>
          <w:color w:val="auto"/>
          <w:kern w:val="2"/>
          <w:sz w:val="32"/>
          <w:szCs w:val="32"/>
          <w:lang w:val="en-US" w:eastAsia="zh-CN"/>
        </w:rPr>
        <w:t>9</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2</w:t>
      </w:r>
      <w:r>
        <w:rPr>
          <w:rFonts w:hint="eastAsia" w:ascii="楷体_GB2312" w:hAnsi="楷体_GB2312" w:eastAsia="楷体_GB2312" w:cs="楷体_GB2312"/>
          <w:b w:val="0"/>
          <w:bCs w:val="0"/>
          <w:color w:val="auto"/>
          <w:kern w:val="2"/>
          <w:sz w:val="32"/>
          <w:szCs w:val="32"/>
          <w:lang w:eastAsia="zh-CN"/>
        </w:rPr>
        <w:t>宣教培训</w:t>
      </w:r>
      <w:bookmarkEnd w:id="250"/>
      <w:bookmarkEnd w:id="251"/>
      <w:bookmarkEnd w:id="252"/>
      <w:bookmarkEnd w:id="253"/>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结合增城区“城乡差异大、灾种类型多”的特点，以“节点造势、常态宣教、精准培训”为核心，构建全域覆盖的防灾减灾宣教体系，各部门、镇（街）及村（社区）依托电视、广播、报刊等传统媒体，联动公众号、镇街政务群等线上平台，围绕“</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5</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12</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全国防灾减灾日、安全生产月等关键节点，针对派潭镇山区地质灾害、新塘镇工业园区内涝、荔城街城区积涝等本地典型灾种，专题普及对应法律法规、避险自救技能及应急预案要点。同时分层开展培训，重点提升分管负责人统筹能力、灾害管理人员处置水平、专业救援队伍实战技能及社会组织志愿者服务能力；区应急管理局联合相关部门深入开展防灾减灾宣传活动，让防灾意识扎根基层、自救技能惠及群众。</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54" w:name="_Toc16329"/>
      <w:bookmarkStart w:id="255" w:name="_Toc13372"/>
      <w:bookmarkStart w:id="256" w:name="_Toc29006"/>
      <w:bookmarkStart w:id="257" w:name="_Toc592"/>
      <w:r>
        <w:rPr>
          <w:rFonts w:hint="eastAsia" w:ascii="Times New Roman" w:hAnsi="Times New Roman" w:eastAsia="楷体_GB2312" w:cs="楷体_GB2312"/>
          <w:b w:val="0"/>
          <w:bCs w:val="0"/>
          <w:color w:val="auto"/>
          <w:kern w:val="2"/>
          <w:sz w:val="32"/>
          <w:szCs w:val="32"/>
          <w:lang w:val="en-US" w:eastAsia="zh-CN"/>
        </w:rPr>
        <w:t>9</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3</w:t>
      </w:r>
      <w:r>
        <w:rPr>
          <w:rFonts w:hint="eastAsia" w:ascii="楷体_GB2312" w:hAnsi="楷体_GB2312" w:eastAsia="楷体_GB2312" w:cs="楷体_GB2312"/>
          <w:b w:val="0"/>
          <w:bCs w:val="0"/>
          <w:color w:val="auto"/>
          <w:kern w:val="2"/>
          <w:sz w:val="32"/>
          <w:szCs w:val="32"/>
          <w:lang w:eastAsia="zh-CN"/>
        </w:rPr>
        <w:t>预案评估与修订</w:t>
      </w:r>
      <w:bookmarkEnd w:id="254"/>
      <w:bookmarkEnd w:id="255"/>
      <w:bookmarkEnd w:id="256"/>
      <w:bookmarkEnd w:id="257"/>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区应急管理局建立定期评估制度，分析评估预案内容的针对性、实用性和可操作性，实现应急预案的动态优化和科学规范管理。</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br w:type="textWrapping"/>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 xml:space="preserve">    有下列情形之一的，应当及时修订应急预案：</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1</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）有关法律、行政法规、规章、标准、上位预案中的有关规定发生变化的；</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2</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）应急指挥机构及其职责发生重大调整的；</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3</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）面临的风险发生重大变化的；</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4</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）重要应急资源发生重大变化的；</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5</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）预案中的其他重要信息发生变化的；</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6</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）在突发事件实际应对和应急演练中发现问题需要作出重大调整的；</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7</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）应急预案制定单位认为应当修订的其他情况。</w:t>
      </w:r>
    </w:p>
    <w:p>
      <w:pPr>
        <w:pStyle w:val="4"/>
        <w:keepNext w:val="0"/>
        <w:keepLines w:val="0"/>
        <w:pageBreakBefore w:val="0"/>
        <w:widowControl w:val="0"/>
        <w:kinsoku/>
        <w:wordWrap/>
        <w:overflowPunct/>
        <w:topLinePunct w:val="0"/>
        <w:autoSpaceDE/>
        <w:autoSpaceDN/>
        <w:bidi w:val="0"/>
        <w:adjustRightInd/>
        <w:snapToGrid/>
        <w:spacing w:line="570" w:lineRule="exact"/>
        <w:ind w:firstLine="634" w:firstLineChars="200"/>
        <w:textAlignment w:val="auto"/>
        <w:outlineLvl w:val="0"/>
        <w:rPr>
          <w:rFonts w:hint="eastAsia" w:ascii="楷体_GB2312" w:hAnsi="楷体_GB2312" w:eastAsia="楷体_GB2312" w:cs="楷体_GB2312"/>
          <w:b w:val="0"/>
          <w:bCs w:val="0"/>
          <w:color w:val="auto"/>
          <w:kern w:val="2"/>
          <w:sz w:val="32"/>
          <w:szCs w:val="32"/>
          <w:lang w:eastAsia="zh-CN"/>
        </w:rPr>
      </w:pPr>
      <w:bookmarkStart w:id="258" w:name="_Toc8864"/>
      <w:bookmarkStart w:id="259" w:name="_Toc11894"/>
      <w:bookmarkStart w:id="260" w:name="_Toc4545"/>
      <w:bookmarkStart w:id="261" w:name="_Toc21025"/>
      <w:r>
        <w:rPr>
          <w:rFonts w:hint="eastAsia" w:ascii="Times New Roman" w:hAnsi="Times New Roman" w:eastAsia="楷体_GB2312" w:cs="楷体_GB2312"/>
          <w:b w:val="0"/>
          <w:bCs w:val="0"/>
          <w:color w:val="auto"/>
          <w:kern w:val="2"/>
          <w:sz w:val="32"/>
          <w:szCs w:val="32"/>
          <w:lang w:val="en-US" w:eastAsia="zh-CN"/>
        </w:rPr>
        <w:t>9</w:t>
      </w:r>
      <w:r>
        <w:rPr>
          <w:rFonts w:hint="eastAsia" w:ascii="楷体_GB2312" w:hAnsi="楷体_GB2312" w:eastAsia="楷体_GB2312" w:cs="楷体_GB2312"/>
          <w:b w:val="0"/>
          <w:bCs w:val="0"/>
          <w:color w:val="auto"/>
          <w:kern w:val="2"/>
          <w:sz w:val="32"/>
          <w:szCs w:val="32"/>
          <w:lang w:eastAsia="zh-CN"/>
        </w:rPr>
        <w:t>.</w:t>
      </w:r>
      <w:r>
        <w:rPr>
          <w:rFonts w:hint="eastAsia" w:ascii="Times New Roman" w:hAnsi="Times New Roman" w:eastAsia="楷体_GB2312" w:cs="楷体_GB2312"/>
          <w:b w:val="0"/>
          <w:bCs w:val="0"/>
          <w:color w:val="auto"/>
          <w:kern w:val="2"/>
          <w:sz w:val="32"/>
          <w:szCs w:val="32"/>
          <w:lang w:eastAsia="zh-CN"/>
        </w:rPr>
        <w:t>4</w:t>
      </w:r>
      <w:r>
        <w:rPr>
          <w:rFonts w:hint="eastAsia" w:ascii="楷体_GB2312" w:hAnsi="楷体_GB2312" w:eastAsia="楷体_GB2312" w:cs="楷体_GB2312"/>
          <w:b w:val="0"/>
          <w:bCs w:val="0"/>
          <w:color w:val="auto"/>
          <w:kern w:val="2"/>
          <w:sz w:val="32"/>
          <w:szCs w:val="32"/>
          <w:lang w:eastAsia="zh-CN"/>
        </w:rPr>
        <w:t>责任与奖惩</w:t>
      </w:r>
      <w:bookmarkEnd w:id="258"/>
      <w:bookmarkEnd w:id="259"/>
      <w:bookmarkEnd w:id="260"/>
      <w:bookmarkEnd w:id="261"/>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对在突发自然灾害救助工作中作出突出贡献的先进集体和个人要按照国家、省、市的有关规定给予表彰和奖励。对玩忽职守、失职、渎职的有关责任人，要依据有关规定严肃追究责任，构成犯罪的，依法追究刑事责任。</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firstLine="634" w:firstLineChars="200"/>
        <w:contextualSpacing/>
        <w:textAlignment w:val="auto"/>
        <w:rPr>
          <w:rFonts w:hint="eastAsia" w:ascii="黑体" w:hAnsi="黑体" w:eastAsia="黑体" w:cs="黑体"/>
          <w:b w:val="0"/>
          <w:bCs w:val="0"/>
          <w:color w:val="auto"/>
          <w:kern w:val="2"/>
          <w:sz w:val="32"/>
          <w:szCs w:val="32"/>
          <w:lang w:eastAsia="zh-CN"/>
        </w:rPr>
      </w:pPr>
      <w:bookmarkStart w:id="262" w:name="_Toc11069"/>
      <w:bookmarkStart w:id="263" w:name="_Toc17827"/>
      <w:bookmarkStart w:id="264" w:name="_Toc21282"/>
      <w:bookmarkStart w:id="265" w:name="_Toc9664"/>
      <w:bookmarkStart w:id="266" w:name="_Toc26196"/>
      <w:r>
        <w:rPr>
          <w:rFonts w:hint="eastAsia" w:ascii="Times New Roman" w:hAnsi="Times New Roman" w:eastAsia="黑体" w:cs="黑体"/>
          <w:b w:val="0"/>
          <w:bCs w:val="0"/>
          <w:color w:val="auto"/>
          <w:kern w:val="2"/>
          <w:sz w:val="32"/>
          <w:szCs w:val="32"/>
          <w:lang w:val="en-US" w:eastAsia="zh-CN"/>
        </w:rPr>
        <w:t>10</w:t>
      </w:r>
      <w:r>
        <w:rPr>
          <w:rFonts w:hint="eastAsia" w:ascii="黑体" w:hAnsi="黑体" w:eastAsia="黑体" w:cs="黑体"/>
          <w:b w:val="0"/>
          <w:bCs w:val="0"/>
          <w:color w:val="auto"/>
          <w:kern w:val="2"/>
          <w:sz w:val="32"/>
          <w:szCs w:val="32"/>
          <w:lang w:val="en-US" w:eastAsia="zh-CN"/>
        </w:rPr>
        <w:t>.</w:t>
      </w:r>
      <w:r>
        <w:rPr>
          <w:rFonts w:hint="eastAsia" w:ascii="黑体" w:hAnsi="黑体" w:eastAsia="黑体" w:cs="黑体"/>
          <w:b w:val="0"/>
          <w:bCs w:val="0"/>
          <w:color w:val="auto"/>
          <w:kern w:val="2"/>
          <w:sz w:val="32"/>
          <w:szCs w:val="32"/>
          <w:lang w:eastAsia="zh-CN"/>
        </w:rPr>
        <w:t>附则</w:t>
      </w:r>
      <w:bookmarkEnd w:id="262"/>
      <w:bookmarkEnd w:id="263"/>
      <w:bookmarkEnd w:id="264"/>
      <w:bookmarkEnd w:id="265"/>
      <w:bookmarkEnd w:id="266"/>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1</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）本预案有关数量的表述中，“以上”含本数，“以下”不含本数。</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2</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本预案中的所称自然灾害主要指干旱、洪涝灾害，台风、强对流天气引起的大风、冰雹、龙卷风、雷电、低温冷冻、雪等气象灾害，火山、地震灾害，山体崩塌、滑坡、泥石流等地质灾害，风暴潮、海啸等海洋灾害，森林火灾和生物灾害等。</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3</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）本预案由区应急管理局组织起草，报广州市增城区人民政府批准后发布实施，由区应急管理局负责解释。</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4</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）各部门和单位、各镇（街）、各村（社区）按照职责要求制定和完善相应的应急预案，制定、落实预案任务的工作手册、行动方案等，确保责任落实到位。</w:t>
      </w:r>
    </w:p>
    <w:p>
      <w:pPr>
        <w:keepNext w:val="0"/>
        <w:keepLines w:val="0"/>
        <w:pageBreakBefore w:val="0"/>
        <w:widowControl w:val="0"/>
        <w:kinsoku/>
        <w:wordWrap/>
        <w:overflowPunct/>
        <w:topLinePunct w:val="0"/>
        <w:autoSpaceDE/>
        <w:autoSpaceDN/>
        <w:bidi w:val="0"/>
        <w:adjustRightInd/>
        <w:snapToGrid/>
        <w:spacing w:line="570" w:lineRule="exact"/>
        <w:ind w:firstLine="634" w:firstLineChars="200"/>
        <w:jc w:val="both"/>
        <w:textAlignment w:val="auto"/>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pP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w:t>
      </w:r>
      <w:r>
        <w:rPr>
          <w:rFonts w:hint="eastAsia" w:ascii="Times New Roman" w:hAnsi="Times New Roman" w:eastAsia="仿宋_GB2312" w:cs="仿宋_GB2312"/>
          <w:color w:val="auto"/>
          <w:spacing w:val="0"/>
          <w:w w:val="100"/>
          <w:kern w:val="2"/>
          <w:position w:val="0"/>
          <w:sz w:val="32"/>
          <w:szCs w:val="32"/>
          <w:shd w:val="clear" w:color="auto" w:fill="auto"/>
          <w:lang w:val="en-US" w:eastAsia="zh-CN" w:bidi="ar-SA"/>
        </w:rPr>
        <w:t>5</w:t>
      </w:r>
      <w:r>
        <w:rPr>
          <w:rFonts w:hint="eastAsia" w:ascii="仿宋_GB2312" w:hAnsi="仿宋_GB2312" w:eastAsia="仿宋_GB2312" w:cs="仿宋_GB2312"/>
          <w:color w:val="auto"/>
          <w:spacing w:val="0"/>
          <w:w w:val="100"/>
          <w:kern w:val="2"/>
          <w:position w:val="0"/>
          <w:sz w:val="32"/>
          <w:szCs w:val="32"/>
          <w:shd w:val="clear" w:color="auto" w:fill="auto"/>
          <w:lang w:val="en-US" w:eastAsia="zh-CN" w:bidi="ar-SA"/>
        </w:rPr>
        <w:t>）本预案自公布之日起实施。</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firstLine="634" w:firstLineChars="200"/>
        <w:contextualSpacing/>
        <w:textAlignment w:val="auto"/>
        <w:rPr>
          <w:rFonts w:hint="default" w:ascii="黑体" w:hAnsi="黑体" w:eastAsia="黑体" w:cs="黑体"/>
          <w:b w:val="0"/>
          <w:bCs w:val="0"/>
          <w:color w:val="auto"/>
          <w:kern w:val="2"/>
          <w:sz w:val="32"/>
          <w:szCs w:val="32"/>
          <w:lang w:val="en-US" w:eastAsia="zh-CN"/>
        </w:rPr>
      </w:pPr>
      <w:bookmarkStart w:id="267" w:name="_Toc27060"/>
      <w:bookmarkStart w:id="268" w:name="_Toc6619"/>
      <w:bookmarkStart w:id="269" w:name="_Toc4354"/>
      <w:bookmarkStart w:id="270" w:name="_Toc32481"/>
      <w:bookmarkStart w:id="271" w:name="_Toc847"/>
      <w:r>
        <w:rPr>
          <w:rFonts w:hint="default" w:ascii="Times New Roman" w:hAnsi="Times New Roman" w:eastAsia="黑体" w:cs="黑体"/>
          <w:b w:val="0"/>
          <w:bCs w:val="0"/>
          <w:color w:val="auto"/>
          <w:kern w:val="2"/>
          <w:sz w:val="32"/>
          <w:szCs w:val="32"/>
          <w:lang w:val="en-US" w:eastAsia="zh-CN"/>
        </w:rPr>
        <w:t>1</w:t>
      </w:r>
      <w:r>
        <w:rPr>
          <w:rFonts w:hint="eastAsia" w:ascii="Times New Roman" w:hAnsi="Times New Roman" w:eastAsia="黑体" w:cs="黑体"/>
          <w:b w:val="0"/>
          <w:bCs w:val="0"/>
          <w:color w:val="auto"/>
          <w:kern w:val="2"/>
          <w:sz w:val="32"/>
          <w:szCs w:val="32"/>
          <w:lang w:val="en-US" w:eastAsia="zh-CN"/>
        </w:rPr>
        <w:t>1</w:t>
      </w:r>
      <w:r>
        <w:rPr>
          <w:rFonts w:hint="eastAsia" w:ascii="黑体" w:hAnsi="黑体" w:eastAsia="黑体" w:cs="黑体"/>
          <w:b w:val="0"/>
          <w:bCs w:val="0"/>
          <w:color w:val="auto"/>
          <w:kern w:val="2"/>
          <w:sz w:val="32"/>
          <w:szCs w:val="32"/>
          <w:lang w:val="en-US" w:eastAsia="zh-CN"/>
        </w:rPr>
        <w:t>.</w:t>
      </w:r>
      <w:r>
        <w:rPr>
          <w:rFonts w:hint="default" w:ascii="黑体" w:hAnsi="黑体" w:eastAsia="黑体" w:cs="黑体"/>
          <w:b w:val="0"/>
          <w:bCs w:val="0"/>
          <w:color w:val="auto"/>
          <w:kern w:val="2"/>
          <w:sz w:val="32"/>
          <w:szCs w:val="32"/>
          <w:lang w:val="en-US" w:eastAsia="zh-CN"/>
        </w:rPr>
        <w:t>附件</w:t>
      </w:r>
      <w:bookmarkEnd w:id="267"/>
      <w:bookmarkEnd w:id="268"/>
      <w:bookmarkEnd w:id="269"/>
      <w:bookmarkEnd w:id="270"/>
      <w:bookmarkEnd w:id="271"/>
      <w:bookmarkStart w:id="272" w:name="_Toc11375"/>
      <w:bookmarkStart w:id="273" w:name="_Toc15663"/>
      <w:bookmarkStart w:id="274" w:name="_Toc26141"/>
    </w:p>
    <w:p>
      <w:pPr>
        <w:rPr>
          <w:rFonts w:hint="default" w:ascii="黑体" w:hAnsi="黑体" w:eastAsia="黑体" w:cs="黑体"/>
          <w:b w:val="0"/>
          <w:bCs w:val="0"/>
          <w:color w:val="auto"/>
          <w:kern w:val="2"/>
          <w:sz w:val="32"/>
          <w:szCs w:val="32"/>
          <w:lang w:val="en-US" w:eastAsia="zh-CN"/>
        </w:rPr>
      </w:pPr>
    </w:p>
    <w:p>
      <w:pPr>
        <w:pStyle w:val="2"/>
        <w:rPr>
          <w:rFonts w:hint="default" w:ascii="黑体" w:hAnsi="黑体" w:eastAsia="黑体" w:cs="黑体"/>
          <w:b w:val="0"/>
          <w:bCs w:val="0"/>
          <w:color w:val="auto"/>
          <w:kern w:val="2"/>
          <w:sz w:val="32"/>
          <w:szCs w:val="32"/>
          <w:lang w:val="en-US" w:eastAsia="zh-CN"/>
        </w:rPr>
      </w:pPr>
    </w:p>
    <w:p>
      <w:pPr>
        <w:rPr>
          <w:rFonts w:hint="default" w:ascii="黑体" w:hAnsi="黑体" w:eastAsia="黑体" w:cs="黑体"/>
          <w:b w:val="0"/>
          <w:bCs w:val="0"/>
          <w:color w:val="auto"/>
          <w:kern w:val="2"/>
          <w:sz w:val="32"/>
          <w:szCs w:val="32"/>
          <w:lang w:val="en-US" w:eastAsia="zh-CN"/>
        </w:rPr>
      </w:pPr>
    </w:p>
    <w:p>
      <w:pPr>
        <w:pStyle w:val="2"/>
        <w:rPr>
          <w:rFonts w:hint="default" w:ascii="黑体" w:hAnsi="黑体" w:eastAsia="黑体" w:cs="黑体"/>
          <w:b w:val="0"/>
          <w:bCs w:val="0"/>
          <w:color w:val="auto"/>
          <w:kern w:val="2"/>
          <w:sz w:val="32"/>
          <w:szCs w:val="32"/>
          <w:lang w:val="en-US" w:eastAsia="zh-CN"/>
        </w:rPr>
      </w:pPr>
    </w:p>
    <w:p>
      <w:pPr>
        <w:rPr>
          <w:rFonts w:hint="default" w:ascii="黑体" w:hAnsi="黑体" w:eastAsia="黑体" w:cs="黑体"/>
          <w:b w:val="0"/>
          <w:bCs w:val="0"/>
          <w:color w:val="auto"/>
          <w:kern w:val="2"/>
          <w:sz w:val="32"/>
          <w:szCs w:val="32"/>
          <w:lang w:val="en-US" w:eastAsia="zh-CN"/>
        </w:rPr>
      </w:pPr>
    </w:p>
    <w:p>
      <w:pPr>
        <w:pStyle w:val="2"/>
        <w:rPr>
          <w:rFonts w:hint="default" w:ascii="黑体" w:hAnsi="黑体" w:eastAsia="黑体" w:cs="黑体"/>
          <w:b w:val="0"/>
          <w:bCs w:val="0"/>
          <w:color w:val="auto"/>
          <w:kern w:val="2"/>
          <w:sz w:val="32"/>
          <w:szCs w:val="32"/>
          <w:lang w:val="en-US" w:eastAsia="zh-CN"/>
        </w:rPr>
      </w:pPr>
    </w:p>
    <w:p>
      <w:pPr>
        <w:rPr>
          <w:rFonts w:hint="default" w:ascii="黑体" w:hAnsi="黑体" w:eastAsia="黑体" w:cs="黑体"/>
          <w:b w:val="0"/>
          <w:bCs w:val="0"/>
          <w:color w:val="auto"/>
          <w:kern w:val="2"/>
          <w:sz w:val="32"/>
          <w:szCs w:val="32"/>
          <w:lang w:val="en-US" w:eastAsia="zh-CN"/>
        </w:rPr>
      </w:pPr>
    </w:p>
    <w:p>
      <w:pPr>
        <w:pStyle w:val="2"/>
        <w:rPr>
          <w:rFonts w:hint="default" w:ascii="黑体" w:hAnsi="黑体" w:eastAsia="黑体" w:cs="黑体"/>
          <w:b w:val="0"/>
          <w:bCs w:val="0"/>
          <w:color w:val="auto"/>
          <w:kern w:val="2"/>
          <w:sz w:val="32"/>
          <w:szCs w:val="32"/>
          <w:lang w:val="en-US" w:eastAsia="zh-CN"/>
        </w:rPr>
      </w:pPr>
    </w:p>
    <w:p>
      <w:pPr>
        <w:rPr>
          <w:rFonts w:hint="default" w:ascii="黑体" w:hAnsi="黑体" w:eastAsia="黑体" w:cs="黑体"/>
          <w:b w:val="0"/>
          <w:bCs w:val="0"/>
          <w:color w:val="auto"/>
          <w:kern w:val="2"/>
          <w:sz w:val="32"/>
          <w:szCs w:val="32"/>
          <w:lang w:val="en-US" w:eastAsia="zh-CN"/>
        </w:rPr>
      </w:pPr>
    </w:p>
    <w:p>
      <w:pPr>
        <w:pStyle w:val="2"/>
        <w:rPr>
          <w:rFonts w:hint="default"/>
          <w:lang w:val="en-US" w:eastAsia="zh-CN"/>
        </w:rPr>
      </w:pPr>
    </w:p>
    <w:p>
      <w:pPr>
        <w:rPr>
          <w:rFonts w:hint="default" w:ascii="黑体" w:hAnsi="黑体" w:eastAsia="黑体" w:cs="黑体"/>
          <w:b w:val="0"/>
          <w:bCs w:val="0"/>
          <w:color w:val="auto"/>
          <w:kern w:val="2"/>
          <w:sz w:val="32"/>
          <w:szCs w:val="32"/>
          <w:lang w:val="en-US" w:eastAsia="zh-CN"/>
        </w:rPr>
      </w:pPr>
    </w:p>
    <w:p>
      <w:pPr>
        <w:pStyle w:val="2"/>
        <w:rPr>
          <w:rFonts w:hint="default" w:ascii="黑体" w:hAnsi="黑体" w:eastAsia="黑体" w:cs="黑体"/>
          <w:b w:val="0"/>
          <w:bCs w:val="0"/>
          <w:color w:val="auto"/>
          <w:kern w:val="2"/>
          <w:sz w:val="32"/>
          <w:szCs w:val="32"/>
          <w:lang w:val="en-US" w:eastAsia="zh-CN"/>
        </w:rPr>
      </w:pPr>
    </w:p>
    <w:p>
      <w:pPr>
        <w:rPr>
          <w:rFonts w:hint="default" w:ascii="黑体" w:hAnsi="黑体" w:eastAsia="黑体" w:cs="黑体"/>
          <w:b w:val="0"/>
          <w:bCs w:val="0"/>
          <w:color w:val="auto"/>
          <w:kern w:val="2"/>
          <w:sz w:val="32"/>
          <w:szCs w:val="32"/>
          <w:lang w:val="en-US" w:eastAsia="zh-CN"/>
        </w:rPr>
      </w:pPr>
    </w:p>
    <w:p>
      <w:pPr>
        <w:pStyle w:val="2"/>
        <w:rPr>
          <w:rFonts w:hint="default" w:ascii="黑体" w:hAnsi="黑体" w:eastAsia="黑体" w:cs="黑体"/>
          <w:b w:val="0"/>
          <w:bCs w:val="0"/>
          <w:color w:val="auto"/>
          <w:kern w:val="2"/>
          <w:sz w:val="32"/>
          <w:szCs w:val="32"/>
          <w:lang w:val="en-US" w:eastAsia="zh-CN"/>
        </w:rPr>
      </w:pPr>
    </w:p>
    <w:p>
      <w:pPr>
        <w:pStyle w:val="4"/>
        <w:keepNext w:val="0"/>
        <w:keepLines w:val="0"/>
        <w:pageBreakBefore w:val="0"/>
        <w:widowControl w:val="0"/>
        <w:kinsoku/>
        <w:wordWrap/>
        <w:overflowPunct/>
        <w:topLinePunct w:val="0"/>
        <w:autoSpaceDE/>
        <w:autoSpaceDN/>
        <w:bidi w:val="0"/>
        <w:adjustRightInd/>
        <w:snapToGrid/>
        <w:spacing w:before="0" w:after="0" w:line="570" w:lineRule="exact"/>
        <w:textAlignment w:val="auto"/>
        <w:outlineLvl w:val="1"/>
        <w:rPr>
          <w:rFonts w:hint="eastAsia" w:ascii="Times New Roman" w:hAnsi="Times New Roman" w:eastAsia="黑体" w:cs="黑体"/>
          <w:b w:val="0"/>
          <w:bCs/>
          <w:color w:val="auto"/>
          <w:lang w:val="en-US" w:eastAsia="zh-CN"/>
        </w:rPr>
      </w:pPr>
      <w:bookmarkStart w:id="275" w:name="_Toc9670"/>
      <w:bookmarkStart w:id="276" w:name="_Toc22970"/>
      <w:bookmarkStart w:id="277" w:name="_Toc32487"/>
      <w:bookmarkStart w:id="278" w:name="_Toc31383"/>
      <w:r>
        <w:rPr>
          <w:rFonts w:hint="eastAsia" w:ascii="黑体" w:hAnsi="黑体" w:eastAsia="黑体" w:cs="黑体"/>
          <w:b w:val="0"/>
          <w:bCs/>
          <w:color w:val="auto"/>
          <w:lang w:val="en-US" w:eastAsia="zh-CN"/>
        </w:rPr>
        <w:t>附件</w:t>
      </w:r>
      <w:r>
        <w:rPr>
          <w:rFonts w:hint="eastAsia" w:ascii="Times New Roman" w:hAnsi="Times New Roman" w:eastAsia="黑体" w:cs="黑体"/>
          <w:b w:val="0"/>
          <w:bCs/>
          <w:color w:val="auto"/>
          <w:lang w:val="en-US" w:eastAsia="zh-CN"/>
        </w:rPr>
        <w:t>1</w:t>
      </w:r>
      <w:bookmarkEnd w:id="275"/>
    </w:p>
    <w:p>
      <w:pPr>
        <w:pStyle w:val="5"/>
        <w:pageBreakBefore w:val="0"/>
        <w:kinsoku/>
        <w:wordWrap/>
        <w:overflowPunct/>
        <w:topLinePunct w:val="0"/>
        <w:autoSpaceDE/>
        <w:autoSpaceDN/>
        <w:bidi w:val="0"/>
        <w:adjustRightInd/>
        <w:snapToGrid/>
        <w:spacing w:line="57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0" w:after="0" w:line="570" w:lineRule="exact"/>
        <w:jc w:val="center"/>
        <w:textAlignment w:val="auto"/>
        <w:outlineLvl w:val="1"/>
        <w:rPr>
          <w:rFonts w:hint="default" w:ascii="方正小标宋简体" w:hAnsi="方正小标宋简体" w:eastAsia="方正小标宋简体" w:cs="方正小标宋简体"/>
          <w:b w:val="0"/>
          <w:bCs w:val="0"/>
          <w:color w:val="auto"/>
          <w:sz w:val="44"/>
          <w:szCs w:val="44"/>
          <w:lang w:val="en-US" w:eastAsia="zh-CN"/>
        </w:rPr>
      </w:pPr>
      <w:bookmarkStart w:id="279" w:name="_Toc29901"/>
      <w:r>
        <w:rPr>
          <w:rFonts w:hint="default" w:ascii="方正小标宋简体" w:hAnsi="方正小标宋简体" w:eastAsia="方正小标宋简体" w:cs="方正小标宋简体"/>
          <w:b w:val="0"/>
          <w:bCs w:val="0"/>
          <w:color w:val="auto"/>
          <w:sz w:val="44"/>
          <w:szCs w:val="44"/>
          <w:lang w:val="en-US" w:eastAsia="zh-CN"/>
        </w:rPr>
        <w:t>有关部门和单位联系方式</w:t>
      </w:r>
      <w:bookmarkEnd w:id="272"/>
      <w:bookmarkEnd w:id="273"/>
      <w:bookmarkEnd w:id="274"/>
      <w:bookmarkEnd w:id="276"/>
      <w:bookmarkEnd w:id="277"/>
      <w:bookmarkEnd w:id="278"/>
      <w:bookmarkEnd w:id="279"/>
    </w:p>
    <w:p>
      <w:pPr>
        <w:pStyle w:val="2"/>
        <w:pageBreakBefore w:val="0"/>
        <w:kinsoku/>
        <w:wordWrap/>
        <w:overflowPunct/>
        <w:topLinePunct w:val="0"/>
        <w:autoSpaceDE/>
        <w:autoSpaceDN/>
        <w:bidi w:val="0"/>
        <w:adjustRightInd/>
        <w:snapToGrid/>
        <w:spacing w:line="570" w:lineRule="exact"/>
        <w:textAlignment w:val="auto"/>
        <w:rPr>
          <w:rFonts w:hint="default"/>
          <w:lang w:val="en-US" w:eastAsia="zh-CN"/>
        </w:rPr>
      </w:pPr>
    </w:p>
    <w:tbl>
      <w:tblPr>
        <w:tblStyle w:val="13"/>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5266"/>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color w:val="auto"/>
                <w:kern w:val="2"/>
                <w:sz w:val="28"/>
                <w:szCs w:val="28"/>
                <w:lang w:val="en-US" w:eastAsia="zh-CN" w:bidi="ar-SA"/>
              </w:rPr>
            </w:pPr>
            <w:r>
              <w:rPr>
                <w:rFonts w:hint="eastAsia" w:ascii="黑体" w:hAnsi="黑体" w:eastAsia="黑体" w:cs="黑体"/>
                <w:color w:val="auto"/>
                <w:kern w:val="2"/>
                <w:sz w:val="28"/>
                <w:szCs w:val="28"/>
                <w:lang w:val="en-US" w:eastAsia="zh-CN" w:bidi="ar-SA"/>
              </w:rPr>
              <w:t>序号</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color w:val="auto"/>
                <w:kern w:val="2"/>
                <w:sz w:val="28"/>
                <w:szCs w:val="28"/>
                <w:lang w:val="en-US" w:eastAsia="zh-CN" w:bidi="ar-SA"/>
              </w:rPr>
            </w:pPr>
            <w:r>
              <w:rPr>
                <w:rFonts w:hint="eastAsia" w:ascii="黑体" w:hAnsi="黑体" w:eastAsia="黑体" w:cs="黑体"/>
                <w:color w:val="auto"/>
                <w:kern w:val="2"/>
                <w:sz w:val="28"/>
                <w:szCs w:val="28"/>
                <w:lang w:val="en-US" w:eastAsia="zh-CN" w:bidi="ar-SA"/>
              </w:rPr>
              <w:t>单位</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color w:val="auto"/>
                <w:kern w:val="2"/>
                <w:sz w:val="28"/>
                <w:szCs w:val="28"/>
                <w:lang w:val="en-US" w:eastAsia="zh-CN" w:bidi="ar-SA"/>
              </w:rPr>
            </w:pPr>
            <w:r>
              <w:rPr>
                <w:rFonts w:hint="eastAsia" w:ascii="黑体" w:hAnsi="黑体" w:eastAsia="黑体" w:cs="黑体"/>
                <w:color w:val="auto"/>
                <w:kern w:val="2"/>
                <w:sz w:val="28"/>
                <w:szCs w:val="28"/>
                <w:lang w:val="en-US" w:eastAsia="zh-CN" w:bidi="ar-SA"/>
              </w:rPr>
              <w:t>值班电话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1</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区应急管理局</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32852683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2</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区发展和改革局</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82717222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3</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区民政局</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82629852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4</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广州市公安局增城分局</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82662245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5</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武警增城中队</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82739900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6</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荔城街</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82614450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7</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荔湖街</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26256669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8</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派潭镇</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82820919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9</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永宁街</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32986110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1</w:t>
            </w:r>
            <w:r>
              <w:rPr>
                <w:rFonts w:hint="eastAsia" w:ascii="Times New Roman" w:hAnsi="Times New Roman" w:eastAsia="宋体" w:cs="宋体"/>
                <w:color w:val="auto"/>
                <w:kern w:val="2"/>
                <w:sz w:val="28"/>
                <w:szCs w:val="28"/>
                <w:lang w:val="en-US" w:eastAsia="zh-CN" w:bidi="ar-SA"/>
              </w:rPr>
              <w:t>0</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增江街</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82718339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1</w:t>
            </w:r>
            <w:r>
              <w:rPr>
                <w:rFonts w:hint="eastAsia" w:ascii="Times New Roman" w:hAnsi="Times New Roman" w:eastAsia="宋体" w:cs="宋体"/>
                <w:color w:val="auto"/>
                <w:kern w:val="2"/>
                <w:sz w:val="28"/>
                <w:szCs w:val="28"/>
                <w:lang w:val="en-US" w:eastAsia="zh-CN" w:bidi="ar-SA"/>
              </w:rPr>
              <w:t>1</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新塘镇</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82770110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1</w:t>
            </w:r>
            <w:r>
              <w:rPr>
                <w:rFonts w:hint="eastAsia" w:ascii="Times New Roman" w:hAnsi="Times New Roman" w:eastAsia="宋体" w:cs="宋体"/>
                <w:color w:val="auto"/>
                <w:kern w:val="2"/>
                <w:sz w:val="28"/>
                <w:szCs w:val="28"/>
                <w:lang w:val="en-US" w:eastAsia="zh-CN" w:bidi="ar-SA"/>
              </w:rPr>
              <w:t>2</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朱村街</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82854256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1</w:t>
            </w:r>
            <w:r>
              <w:rPr>
                <w:rFonts w:hint="eastAsia" w:ascii="Times New Roman" w:hAnsi="Times New Roman" w:eastAsia="宋体" w:cs="宋体"/>
                <w:color w:val="auto"/>
                <w:kern w:val="2"/>
                <w:sz w:val="28"/>
                <w:szCs w:val="28"/>
                <w:lang w:val="en-US" w:eastAsia="zh-CN" w:bidi="ar-SA"/>
              </w:rPr>
              <w:t>3</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仙村镇</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82930133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1</w:t>
            </w:r>
            <w:r>
              <w:rPr>
                <w:rFonts w:hint="eastAsia" w:ascii="Times New Roman" w:hAnsi="Times New Roman" w:eastAsia="宋体" w:cs="宋体"/>
                <w:color w:val="auto"/>
                <w:kern w:val="2"/>
                <w:sz w:val="28"/>
                <w:szCs w:val="28"/>
                <w:lang w:val="en-US" w:eastAsia="zh-CN" w:bidi="ar-SA"/>
              </w:rPr>
              <w:t>4</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宁西街</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32199958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1</w:t>
            </w:r>
            <w:r>
              <w:rPr>
                <w:rFonts w:hint="eastAsia" w:ascii="Times New Roman" w:hAnsi="Times New Roman" w:eastAsia="宋体" w:cs="宋体"/>
                <w:color w:val="auto"/>
                <w:kern w:val="2"/>
                <w:sz w:val="28"/>
                <w:szCs w:val="28"/>
                <w:lang w:val="en-US" w:eastAsia="zh-CN" w:bidi="ar-SA"/>
              </w:rPr>
              <w:t>5</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小楼镇</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82841021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1</w:t>
            </w:r>
            <w:r>
              <w:rPr>
                <w:rFonts w:hint="eastAsia" w:ascii="Times New Roman" w:hAnsi="Times New Roman" w:eastAsia="宋体" w:cs="宋体"/>
                <w:color w:val="auto"/>
                <w:kern w:val="2"/>
                <w:sz w:val="28"/>
                <w:szCs w:val="28"/>
                <w:lang w:val="en-US" w:eastAsia="zh-CN" w:bidi="ar-SA"/>
              </w:rPr>
              <w:t>6</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正果镇</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82811811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1</w:t>
            </w:r>
            <w:r>
              <w:rPr>
                <w:rFonts w:hint="eastAsia" w:ascii="Times New Roman" w:hAnsi="Times New Roman" w:eastAsia="宋体" w:cs="宋体"/>
                <w:color w:val="auto"/>
                <w:kern w:val="2"/>
                <w:sz w:val="28"/>
                <w:szCs w:val="28"/>
                <w:lang w:val="en-US" w:eastAsia="zh-CN" w:bidi="ar-SA"/>
              </w:rPr>
              <w:t>7</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中新镇</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82863738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78"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1</w:t>
            </w:r>
            <w:r>
              <w:rPr>
                <w:rFonts w:hint="eastAsia" w:ascii="Times New Roman" w:hAnsi="Times New Roman" w:eastAsia="宋体" w:cs="宋体"/>
                <w:color w:val="auto"/>
                <w:kern w:val="2"/>
                <w:sz w:val="28"/>
                <w:szCs w:val="28"/>
                <w:lang w:val="en-US" w:eastAsia="zh-CN" w:bidi="ar-SA"/>
              </w:rPr>
              <w:t>8</w:t>
            </w:r>
          </w:p>
        </w:tc>
        <w:tc>
          <w:tcPr>
            <w:tcW w:w="5266"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石滩镇</w:t>
            </w:r>
          </w:p>
        </w:tc>
        <w:tc>
          <w:tcPr>
            <w:tcW w:w="2675" w:type="dxa"/>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pPr>
            <w:r>
              <w:rPr>
                <w:rFonts w:hint="default" w:ascii="Times New Roman" w:hAnsi="Times New Roman" w:eastAsia="宋体" w:cs="宋体"/>
                <w:color w:val="auto"/>
                <w:kern w:val="2"/>
                <w:sz w:val="28"/>
                <w:szCs w:val="28"/>
                <w:lang w:val="en-US" w:eastAsia="zh-CN" w:bidi="ar-SA"/>
              </w:rPr>
              <w:t>32162838</w:t>
            </w:r>
          </w:p>
        </w:tc>
      </w:tr>
    </w:tbl>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2"/>
          <w:sz w:val="28"/>
          <w:szCs w:val="28"/>
          <w:lang w:val="en-US" w:eastAsia="zh-CN" w:bidi="ar-SA"/>
        </w:rPr>
        <w:sectPr>
          <w:headerReference r:id="rId3" w:type="default"/>
          <w:footerReference r:id="rId5" w:type="default"/>
          <w:headerReference r:id="rId4" w:type="even"/>
          <w:footerReference r:id="rId6" w:type="even"/>
          <w:pgSz w:w="11910" w:h="16840"/>
          <w:pgMar w:top="2098" w:right="1474" w:bottom="1984" w:left="1587" w:header="850" w:footer="1757" w:gutter="0"/>
          <w:pgBorders>
            <w:top w:val="none" w:sz="0" w:space="0"/>
            <w:left w:val="none" w:sz="0" w:space="0"/>
            <w:bottom w:val="none" w:sz="0" w:space="0"/>
            <w:right w:val="none" w:sz="0" w:space="0"/>
          </w:pgBorders>
          <w:pgNumType w:fmt="decimal" w:start="1"/>
          <w:cols w:space="0" w:num="1"/>
          <w:titlePg/>
          <w:rtlGutter w:val="0"/>
          <w:docGrid w:type="linesAndChars" w:linePitch="579" w:charSpace="-812"/>
        </w:sectPr>
      </w:pPr>
    </w:p>
    <w:p>
      <w:pPr>
        <w:pStyle w:val="4"/>
        <w:keepNext w:val="0"/>
        <w:keepLines w:val="0"/>
        <w:pageBreakBefore w:val="0"/>
        <w:widowControl w:val="0"/>
        <w:kinsoku/>
        <w:wordWrap/>
        <w:overflowPunct/>
        <w:topLinePunct w:val="0"/>
        <w:autoSpaceDE/>
        <w:autoSpaceDN/>
        <w:bidi w:val="0"/>
        <w:adjustRightInd/>
        <w:snapToGrid/>
        <w:spacing w:before="0" w:after="0" w:line="570" w:lineRule="exact"/>
        <w:textAlignment w:val="auto"/>
        <w:outlineLvl w:val="1"/>
        <w:rPr>
          <w:rFonts w:hint="eastAsia" w:ascii="黑体" w:hAnsi="黑体" w:cs="黑体"/>
          <w:b w:val="0"/>
          <w:bCs/>
          <w:color w:val="auto"/>
          <w:lang w:val="en-US" w:eastAsia="zh-CN"/>
        </w:rPr>
      </w:pPr>
      <w:bookmarkStart w:id="280" w:name="_Toc15584"/>
      <w:bookmarkStart w:id="281" w:name="_Toc9753"/>
      <w:bookmarkStart w:id="282" w:name="_Toc15657"/>
      <w:bookmarkStart w:id="283" w:name="_Toc20512"/>
      <w:r>
        <w:rPr>
          <w:rFonts w:hint="eastAsia" w:ascii="黑体" w:hAnsi="黑体" w:eastAsia="黑体" w:cs="黑体"/>
          <w:b w:val="0"/>
          <w:bCs/>
          <w:color w:val="auto"/>
          <w:lang w:val="en-US" w:eastAsia="zh-CN"/>
        </w:rPr>
        <w:t>附件</w:t>
      </w:r>
      <w:r>
        <w:rPr>
          <w:rFonts w:hint="eastAsia" w:ascii="Times New Roman" w:hAnsi="Times New Roman" w:cs="黑体"/>
          <w:b w:val="0"/>
          <w:bCs/>
          <w:color w:val="auto"/>
          <w:lang w:val="en-US" w:eastAsia="zh-CN"/>
        </w:rPr>
        <w:t>2</w:t>
      </w:r>
      <w:bookmarkEnd w:id="280"/>
    </w:p>
    <w:p>
      <w:pPr>
        <w:pStyle w:val="5"/>
        <w:pageBreakBefore w:val="0"/>
        <w:kinsoku/>
        <w:wordWrap/>
        <w:overflowPunct/>
        <w:topLinePunct w:val="0"/>
        <w:autoSpaceDE/>
        <w:autoSpaceDN/>
        <w:bidi w:val="0"/>
        <w:adjustRightInd/>
        <w:snapToGrid/>
        <w:spacing w:line="57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0" w:after="0" w:line="570" w:lineRule="exact"/>
        <w:jc w:val="center"/>
        <w:textAlignment w:val="auto"/>
        <w:outlineLvl w:val="1"/>
        <w:rPr>
          <w:rFonts w:hint="default" w:ascii="方正小标宋简体" w:hAnsi="方正小标宋简体" w:eastAsia="方正小标宋简体" w:cs="方正小标宋简体"/>
          <w:b w:val="0"/>
          <w:bCs w:val="0"/>
          <w:color w:val="auto"/>
          <w:sz w:val="44"/>
          <w:szCs w:val="44"/>
          <w:lang w:val="en-US" w:eastAsia="zh-CN"/>
        </w:rPr>
      </w:pPr>
      <w:bookmarkStart w:id="284" w:name="_Toc29918"/>
      <w:r>
        <w:rPr>
          <w:rFonts w:hint="default" w:ascii="方正小标宋简体" w:hAnsi="方正小标宋简体" w:eastAsia="方正小标宋简体" w:cs="方正小标宋简体"/>
          <w:b w:val="0"/>
          <w:bCs w:val="0"/>
          <w:color w:val="auto"/>
          <w:sz w:val="44"/>
          <w:szCs w:val="44"/>
          <w:lang w:val="en-US" w:eastAsia="zh-CN"/>
        </w:rPr>
        <w:t>应急避护场所一览表</w:t>
      </w:r>
      <w:bookmarkEnd w:id="281"/>
      <w:bookmarkEnd w:id="282"/>
      <w:bookmarkEnd w:id="283"/>
      <w:bookmarkEnd w:id="284"/>
    </w:p>
    <w:p>
      <w:pPr>
        <w:pStyle w:val="2"/>
        <w:pageBreakBefore w:val="0"/>
        <w:kinsoku/>
        <w:wordWrap/>
        <w:overflowPunct/>
        <w:topLinePunct w:val="0"/>
        <w:autoSpaceDE/>
        <w:autoSpaceDN/>
        <w:bidi w:val="0"/>
        <w:adjustRightInd/>
        <w:snapToGrid/>
        <w:spacing w:line="570" w:lineRule="exact"/>
        <w:textAlignment w:val="auto"/>
        <w:rPr>
          <w:rFonts w:hint="default"/>
          <w:lang w:val="en-US" w:eastAsia="zh-CN"/>
        </w:rPr>
      </w:pPr>
    </w:p>
    <w:tbl>
      <w:tblPr>
        <w:tblStyle w:val="13"/>
        <w:tblW w:w="9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955"/>
        <w:gridCol w:w="952"/>
        <w:gridCol w:w="1484"/>
        <w:gridCol w:w="1519"/>
        <w:gridCol w:w="876"/>
        <w:gridCol w:w="911"/>
        <w:gridCol w:w="1211"/>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exact"/>
          <w:tblHeader/>
          <w:jc w:val="center"/>
        </w:trPr>
        <w:tc>
          <w:tcPr>
            <w:tcW w:w="666" w:type="dxa"/>
            <w:tcBorders>
              <w:tl2br w:val="nil"/>
              <w:tr2bl w:val="nil"/>
            </w:tcBorders>
            <w:shd w:val="clear" w:color="auto" w:fill="CFCECE"/>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序号</w:t>
            </w:r>
          </w:p>
        </w:tc>
        <w:tc>
          <w:tcPr>
            <w:tcW w:w="955" w:type="dxa"/>
            <w:tcBorders>
              <w:tl2br w:val="nil"/>
              <w:tr2bl w:val="nil"/>
            </w:tcBorders>
            <w:shd w:val="clear" w:color="auto" w:fill="CFCECE"/>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所在</w:t>
            </w:r>
          </w:p>
          <w:p>
            <w:pPr>
              <w:keepNext w:val="0"/>
              <w:keepLines w:val="0"/>
              <w:pageBreakBefore w:val="0"/>
              <w:kinsoku/>
              <w:wordWrap/>
              <w:overflowPunct/>
              <w:topLinePunct w:val="0"/>
              <w:autoSpaceDE/>
              <w:autoSpaceDN/>
              <w:bidi w:val="0"/>
              <w:spacing w:line="280" w:lineRule="exact"/>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镇街</w:t>
            </w:r>
          </w:p>
        </w:tc>
        <w:tc>
          <w:tcPr>
            <w:tcW w:w="952" w:type="dxa"/>
            <w:tcBorders>
              <w:tl2br w:val="nil"/>
              <w:tr2bl w:val="nil"/>
            </w:tcBorders>
            <w:shd w:val="clear" w:color="auto" w:fill="CFCECE"/>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应急避护场所名称</w:t>
            </w:r>
          </w:p>
        </w:tc>
        <w:tc>
          <w:tcPr>
            <w:tcW w:w="1484" w:type="dxa"/>
            <w:tcBorders>
              <w:tl2br w:val="nil"/>
              <w:tr2bl w:val="nil"/>
            </w:tcBorders>
            <w:shd w:val="clear" w:color="auto" w:fill="CFCECE"/>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地址</w:t>
            </w:r>
          </w:p>
        </w:tc>
        <w:tc>
          <w:tcPr>
            <w:tcW w:w="1519" w:type="dxa"/>
            <w:tcBorders>
              <w:tl2br w:val="nil"/>
              <w:tr2bl w:val="nil"/>
            </w:tcBorders>
            <w:shd w:val="clear" w:color="auto" w:fill="CFCECE"/>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避护避险灾种</w:t>
            </w:r>
          </w:p>
        </w:tc>
        <w:tc>
          <w:tcPr>
            <w:tcW w:w="876" w:type="dxa"/>
            <w:tcBorders>
              <w:tl2br w:val="nil"/>
              <w:tr2bl w:val="nil"/>
            </w:tcBorders>
            <w:shd w:val="clear" w:color="auto" w:fill="CFCECE"/>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场所</w:t>
            </w:r>
          </w:p>
          <w:p>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类别</w:t>
            </w:r>
          </w:p>
        </w:tc>
        <w:tc>
          <w:tcPr>
            <w:tcW w:w="911" w:type="dxa"/>
            <w:tcBorders>
              <w:tl2br w:val="nil"/>
              <w:tr2bl w:val="nil"/>
            </w:tcBorders>
            <w:shd w:val="clear" w:color="auto" w:fill="CFCECE"/>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空间</w:t>
            </w:r>
          </w:p>
          <w:p>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类型</w:t>
            </w:r>
          </w:p>
        </w:tc>
        <w:tc>
          <w:tcPr>
            <w:tcW w:w="1211" w:type="dxa"/>
            <w:tcBorders>
              <w:tl2br w:val="nil"/>
              <w:tr2bl w:val="nil"/>
            </w:tcBorders>
            <w:shd w:val="clear" w:color="auto" w:fill="CFCECE"/>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所属单位</w:t>
            </w:r>
          </w:p>
        </w:tc>
        <w:tc>
          <w:tcPr>
            <w:tcW w:w="1220" w:type="dxa"/>
            <w:tcBorders>
              <w:tl2br w:val="nil"/>
              <w:tr2bl w:val="nil"/>
            </w:tcBorders>
            <w:shd w:val="clear" w:color="auto" w:fill="CFCECE"/>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主管单位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imes New Roman" w:hAnsi="Times New Roman" w:eastAsiaTheme="minorEastAsia" w:cstheme="minorEastAsia"/>
                <w:i w:val="0"/>
                <w:iCs w:val="0"/>
                <w:color w:val="auto"/>
                <w:kern w:val="0"/>
                <w:sz w:val="21"/>
                <w:szCs w:val="21"/>
                <w:u w:val="none"/>
                <w:lang w:val="en-US" w:eastAsia="zh-CN" w:bidi="ar"/>
              </w:rPr>
              <w:t>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增城广场应急避护场所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广州市增城大道与荔景大道交汇处</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中心</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广州市增城区林业和园林局</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广州市增城区林业和园林局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imes New Roman" w:hAnsi="Times New Roman" w:eastAsiaTheme="minorEastAsia" w:cstheme="minorEastAsia"/>
                <w:i w:val="0"/>
                <w:iCs w:val="0"/>
                <w:color w:val="auto"/>
                <w:kern w:val="0"/>
                <w:sz w:val="21"/>
                <w:szCs w:val="21"/>
                <w:u w:val="none"/>
                <w:lang w:val="en-US" w:eastAsia="zh-CN" w:bidi="ar"/>
              </w:rPr>
              <w:t>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荔城街应急避护场所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广州市增城区荔城街荔城大道</w:t>
            </w:r>
            <w:r>
              <w:rPr>
                <w:rFonts w:hint="eastAsia" w:ascii="Times New Roman" w:hAnsi="Times New Roman" w:eastAsiaTheme="minorEastAsia" w:cstheme="minorEastAsia"/>
                <w:i w:val="0"/>
                <w:iCs w:val="0"/>
                <w:color w:val="auto"/>
                <w:kern w:val="0"/>
                <w:sz w:val="21"/>
                <w:szCs w:val="21"/>
                <w:u w:val="none"/>
                <w:lang w:val="en-US" w:eastAsia="zh-CN" w:bidi="ar"/>
              </w:rPr>
              <w:t>148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imes New Roman" w:hAnsi="Times New Roman" w:eastAsiaTheme="minorEastAsia" w:cstheme="minorEastAsia"/>
                <w:i w:val="0"/>
                <w:iCs w:val="0"/>
                <w:color w:val="auto"/>
                <w:kern w:val="0"/>
                <w:sz w:val="21"/>
                <w:szCs w:val="21"/>
                <w:u w:val="none"/>
                <w:lang w:val="en-US" w:eastAsia="zh-CN" w:bidi="ar"/>
              </w:rPr>
              <w:t>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金竹社区应急避护场所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广州市增城区荔城街金竹环路</w:t>
            </w:r>
            <w:r>
              <w:rPr>
                <w:rFonts w:hint="eastAsia" w:ascii="Times New Roman" w:hAnsi="Times New Roman" w:eastAsiaTheme="minorEastAsia" w:cstheme="minorEastAsia"/>
                <w:i w:val="0"/>
                <w:iCs w:val="0"/>
                <w:color w:val="auto"/>
                <w:kern w:val="0"/>
                <w:sz w:val="21"/>
                <w:szCs w:val="21"/>
                <w:u w:val="none"/>
                <w:lang w:val="en-US" w:eastAsia="zh-CN" w:bidi="ar"/>
              </w:rPr>
              <w:t>106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广州市增城区金竹社区居民委员会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imes New Roman" w:hAnsi="Times New Roman" w:eastAsiaTheme="minorEastAsia" w:cstheme="minorEastAsia"/>
                <w:i w:val="0"/>
                <w:iCs w:val="0"/>
                <w:color w:val="auto"/>
                <w:kern w:val="0"/>
                <w:sz w:val="21"/>
                <w:szCs w:val="21"/>
                <w:u w:val="none"/>
                <w:lang w:val="en-US" w:eastAsia="zh-CN" w:bidi="ar"/>
              </w:rPr>
              <w:t>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西园社区应急避护场所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广州市增城区荔城街道健生西路</w:t>
            </w:r>
            <w:r>
              <w:rPr>
                <w:rFonts w:hint="eastAsia" w:ascii="Times New Roman" w:hAnsi="Times New Roman" w:eastAsiaTheme="minorEastAsia" w:cstheme="minorEastAsia"/>
                <w:i w:val="0"/>
                <w:iCs w:val="0"/>
                <w:color w:val="auto"/>
                <w:kern w:val="0"/>
                <w:sz w:val="21"/>
                <w:szCs w:val="21"/>
                <w:u w:val="none"/>
                <w:lang w:val="en-US" w:eastAsia="zh-CN" w:bidi="ar"/>
              </w:rPr>
              <w:t>16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广州市增城区西园社区居民委员会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imes New Roman" w:hAnsi="Times New Roman" w:eastAsiaTheme="minorEastAsia" w:cstheme="minorEastAsia"/>
                <w:i w:val="0"/>
                <w:iCs w:val="0"/>
                <w:color w:val="auto"/>
                <w:kern w:val="0"/>
                <w:sz w:val="21"/>
                <w:szCs w:val="21"/>
                <w:u w:val="none"/>
                <w:lang w:val="en-US" w:eastAsia="zh-CN" w:bidi="ar"/>
              </w:rPr>
              <w:t>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木潭村应急避护场所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广州市增城区荔城街木潭村新屋路</w:t>
            </w:r>
            <w:r>
              <w:rPr>
                <w:rFonts w:hint="eastAsia" w:ascii="Times New Roman" w:hAnsi="Times New Roman" w:eastAsiaTheme="minorEastAsia" w:cstheme="minorEastAsia"/>
                <w:i w:val="0"/>
                <w:iCs w:val="0"/>
                <w:color w:val="auto"/>
                <w:kern w:val="0"/>
                <w:sz w:val="21"/>
                <w:szCs w:val="21"/>
                <w:u w:val="none"/>
                <w:lang w:val="en-US" w:eastAsia="zh-CN" w:bidi="ar"/>
              </w:rPr>
              <w:t>10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广州市增城区木潭村村民委员会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imes New Roman" w:hAnsi="Times New Roman" w:eastAsiaTheme="minorEastAsia" w:cstheme="minorEastAsia"/>
                <w:i w:val="0"/>
                <w:iCs w:val="0"/>
                <w:color w:val="auto"/>
                <w:kern w:val="0"/>
                <w:sz w:val="21"/>
                <w:szCs w:val="21"/>
                <w:u w:val="none"/>
                <w:lang w:val="en-US" w:eastAsia="zh-CN" w:bidi="ar"/>
              </w:rPr>
              <w:t>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蒋村村应急避护场所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广州市增城区荔城街蒋村村村委路西一巷</w:t>
            </w:r>
            <w:r>
              <w:rPr>
                <w:rFonts w:hint="eastAsia" w:ascii="Times New Roman" w:hAnsi="Times New Roman" w:eastAsiaTheme="minorEastAsia" w:cstheme="minorEastAsia"/>
                <w:i w:val="0"/>
                <w:iCs w:val="0"/>
                <w:color w:val="auto"/>
                <w:kern w:val="0"/>
                <w:sz w:val="21"/>
                <w:szCs w:val="21"/>
                <w:u w:val="none"/>
                <w:lang w:val="en-US" w:eastAsia="zh-CN" w:bidi="ar"/>
              </w:rPr>
              <w:t>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广州市增城区蒋村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莲塘村应急避护场所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广州市增城区荔城街莲塘村上莲塘路</w:t>
            </w:r>
            <w:r>
              <w:rPr>
                <w:rFonts w:hint="eastAsia" w:ascii="Times New Roman" w:hAnsi="Times New Roman" w:eastAsiaTheme="minorEastAsia" w:cstheme="minorEastAsia"/>
                <w:i w:val="0"/>
                <w:iCs w:val="0"/>
                <w:color w:val="auto"/>
                <w:kern w:val="0"/>
                <w:sz w:val="21"/>
                <w:szCs w:val="21"/>
                <w:u w:val="none"/>
                <w:lang w:val="en-US" w:eastAsia="zh-CN" w:bidi="ar"/>
              </w:rPr>
              <w:t>16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广州市增城区莲塘村村民委员会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陈桥头村应急避护场所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广州市增城区荔城街桥头村村委前路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广州市增城区陈桥头村村民委员会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廖隔塘村应急避护场所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广州市增城区荔城街廖隔塘村隔塘南路</w:t>
            </w:r>
            <w:r>
              <w:rPr>
                <w:rFonts w:hint="eastAsia" w:ascii="Times New Roman" w:hAnsi="Times New Roman" w:eastAsiaTheme="minorEastAsia" w:cstheme="minorEastAsia"/>
                <w:i w:val="0"/>
                <w:iCs w:val="0"/>
                <w:color w:val="auto"/>
                <w:kern w:val="0"/>
                <w:sz w:val="21"/>
                <w:szCs w:val="21"/>
                <w:u w:val="none"/>
                <w:lang w:val="en-US" w:eastAsia="zh-CN" w:bidi="ar"/>
              </w:rPr>
              <w:t>28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广州市增城区廖隔塘村村民委员会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龙角村应急避护场所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广州市增城区荔城街龙角村龙角路</w:t>
            </w:r>
            <w:r>
              <w:rPr>
                <w:rFonts w:hint="eastAsia" w:ascii="Times New Roman" w:hAnsi="Times New Roman" w:eastAsiaTheme="minorEastAsia" w:cstheme="minorEastAsia"/>
                <w:i w:val="0"/>
                <w:iCs w:val="0"/>
                <w:color w:val="auto"/>
                <w:kern w:val="0"/>
                <w:sz w:val="21"/>
                <w:szCs w:val="21"/>
                <w:u w:val="none"/>
                <w:lang w:val="en-US" w:eastAsia="zh-CN" w:bidi="ar"/>
              </w:rPr>
              <w:t>18</w:t>
            </w:r>
            <w:r>
              <w:rPr>
                <w:rFonts w:hint="eastAsia" w:asciiTheme="minorEastAsia" w:hAnsiTheme="minorEastAsia" w:eastAsiaTheme="minorEastAsia" w:cstheme="minorEastAsia"/>
                <w:i w:val="0"/>
                <w:iCs w:val="0"/>
                <w:color w:val="auto"/>
                <w:kern w:val="0"/>
                <w:sz w:val="21"/>
                <w:szCs w:val="21"/>
                <w:u w:val="none"/>
                <w:lang w:val="en-US" w:eastAsia="zh-CN" w:bidi="ar"/>
              </w:rPr>
              <w:t>号之一</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广州市增城区龙角村村民委员会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庆东村应急避护场所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广州市增城区荔城街增派路</w:t>
            </w:r>
            <w:r>
              <w:rPr>
                <w:rFonts w:hint="eastAsia" w:ascii="Times New Roman" w:hAnsi="Times New Roman" w:eastAsiaTheme="minorEastAsia" w:cstheme="minorEastAsia"/>
                <w:i w:val="0"/>
                <w:iCs w:val="0"/>
                <w:color w:val="auto"/>
                <w:kern w:val="0"/>
                <w:sz w:val="21"/>
                <w:szCs w:val="21"/>
                <w:u w:val="none"/>
                <w:lang w:val="en-US" w:eastAsia="zh-CN" w:bidi="ar"/>
              </w:rPr>
              <w:t>3</w:t>
            </w:r>
            <w:r>
              <w:rPr>
                <w:rFonts w:hint="eastAsia" w:asciiTheme="minorEastAsia" w:hAnsiTheme="minorEastAsia" w:eastAsiaTheme="minorEastAsia" w:cstheme="minorEastAsia"/>
                <w:i w:val="0"/>
                <w:iCs w:val="0"/>
                <w:color w:val="auto"/>
                <w:kern w:val="0"/>
                <w:sz w:val="21"/>
                <w:szCs w:val="21"/>
                <w:u w:val="none"/>
                <w:lang w:val="en-US" w:eastAsia="zh-CN" w:bidi="ar"/>
              </w:rPr>
              <w:t>号庆东村路段</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广州市增城区庆东村村民委员会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群爱村应急避护场所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广州市增城区荔城街群爱村新围路</w:t>
            </w:r>
            <w:r>
              <w:rPr>
                <w:rFonts w:hint="eastAsia" w:ascii="Times New Roman" w:hAnsi="Times New Roman" w:eastAsiaTheme="minorEastAsia" w:cstheme="minorEastAsia"/>
                <w:i w:val="0"/>
                <w:iCs w:val="0"/>
                <w:color w:val="auto"/>
                <w:kern w:val="0"/>
                <w:sz w:val="21"/>
                <w:szCs w:val="21"/>
                <w:u w:val="none"/>
                <w:lang w:val="en-US" w:eastAsia="zh-CN" w:bidi="ar"/>
              </w:rPr>
              <w:t>42</w:t>
            </w:r>
            <w:r>
              <w:rPr>
                <w:rFonts w:hint="eastAsia" w:asciiTheme="minorEastAsia" w:hAnsiTheme="minorEastAsia" w:eastAsiaTheme="minorEastAsia" w:cstheme="minorEastAsia"/>
                <w:i w:val="0"/>
                <w:iCs w:val="0"/>
                <w:color w:val="auto"/>
                <w:kern w:val="0"/>
                <w:sz w:val="21"/>
                <w:szCs w:val="21"/>
                <w:u w:val="none"/>
                <w:lang w:val="en-US" w:eastAsia="zh-CN" w:bidi="ar"/>
              </w:rPr>
              <w:t>号</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（群爱村卫生站</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楼）</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广州市增城区群爱村村民委员会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棠村村应急避护场所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广州市增城区荔城街棠村村棠村路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广州市增城区棠村村村民委员会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棠厦村应急避护场所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广州市增城区荔城街棠厦村中心路</w:t>
            </w:r>
            <w:r>
              <w:rPr>
                <w:rFonts w:hint="eastAsia" w:ascii="Times New Roman" w:hAnsi="Times New Roman" w:eastAsiaTheme="minorEastAsia" w:cstheme="minorEastAsia"/>
                <w:i w:val="0"/>
                <w:iCs w:val="0"/>
                <w:color w:val="auto"/>
                <w:kern w:val="0"/>
                <w:sz w:val="21"/>
                <w:szCs w:val="21"/>
                <w:u w:val="none"/>
                <w:lang w:val="en-US" w:eastAsia="zh-CN" w:bidi="ar"/>
              </w:rPr>
              <w:t>28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广州市增城区棠厦村村民委员会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新联村应急避护场所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广州市增城区荔城街新联大路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广州市增城区新联村村民委员会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荔城街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迳吓村应急避护场所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广州市增城区荔城街迳吓村迳吓路</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广州市增城区迳吓村村民委员会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广州市增城区荔城街道办事处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荔湖街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西瓜岭村应急避护场所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广州市增城区荔湖街福熙路</w:t>
            </w:r>
            <w:r>
              <w:rPr>
                <w:rFonts w:hint="eastAsia" w:ascii="Times New Roman" w:hAnsi="Times New Roman" w:eastAsiaTheme="minorEastAsia" w:cstheme="minorEastAsia"/>
                <w:i w:val="0"/>
                <w:iCs w:val="0"/>
                <w:color w:val="auto"/>
                <w:kern w:val="0"/>
                <w:sz w:val="21"/>
                <w:szCs w:val="21"/>
                <w:u w:val="none"/>
                <w:lang w:val="en-US" w:eastAsia="zh-CN" w:bidi="ar"/>
              </w:rPr>
              <w:t>290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广州市增城区西瓜岭村村民委员会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广州市增城区荔湖街道办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荔湖街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太平村应急避护场所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广州市增城区荔湖街平欣路</w:t>
            </w:r>
            <w:r>
              <w:rPr>
                <w:rFonts w:hint="eastAsia" w:ascii="Times New Roman" w:hAnsi="Times New Roman" w:eastAsiaTheme="minorEastAsia" w:cstheme="minorEastAsia"/>
                <w:i w:val="0"/>
                <w:iCs w:val="0"/>
                <w:color w:val="auto"/>
                <w:kern w:val="0"/>
                <w:sz w:val="21"/>
                <w:szCs w:val="21"/>
                <w:u w:val="none"/>
                <w:lang w:val="en-US" w:eastAsia="zh-CN" w:bidi="ar"/>
              </w:rPr>
              <w:t>51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广州市增城区太平村村民委员会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广州市增城区荔湖街道办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荔湖街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明星村应急避护场所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广州市增城区和民大道</w:t>
            </w:r>
            <w:r>
              <w:rPr>
                <w:rFonts w:hint="eastAsia" w:ascii="Times New Roman" w:hAnsi="Times New Roman" w:eastAsiaTheme="minorEastAsia" w:cstheme="minorEastAsia"/>
                <w:i w:val="0"/>
                <w:iCs w:val="0"/>
                <w:color w:val="auto"/>
                <w:kern w:val="0"/>
                <w:sz w:val="21"/>
                <w:szCs w:val="21"/>
                <w:u w:val="none"/>
                <w:lang w:val="en-US" w:eastAsia="zh-CN" w:bidi="ar"/>
              </w:rPr>
              <w:t>37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广州市增城区明星村村民委员会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广州市增城区荔湖街道办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广州市增城区宁西街道朱宁路宁西广场</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广州市增城区宁西街道办事处</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广州市增城区宁西街石迳村村委路</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广州市增城区石迳村村民委员会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白水村应急避护场所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广州市增城区宁西街白水村埔头路</w:t>
            </w:r>
            <w:r>
              <w:rPr>
                <w:rFonts w:hint="eastAsia" w:ascii="Times New Roman" w:hAnsi="Times New Roman" w:eastAsiaTheme="minorEastAsia" w:cstheme="minorEastAsia"/>
                <w:i w:val="0"/>
                <w:iCs w:val="0"/>
                <w:color w:val="auto"/>
                <w:kern w:val="0"/>
                <w:sz w:val="21"/>
                <w:szCs w:val="21"/>
                <w:u w:val="none"/>
                <w:lang w:val="en-US" w:eastAsia="zh-CN" w:bidi="ar"/>
              </w:rPr>
              <w:t>51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广州市增城区白水村村民委员会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1"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湖东村应急避护场所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广州市增城区宁西街三湖路与仙宁路交叉口西南</w:t>
            </w:r>
            <w:r>
              <w:rPr>
                <w:rFonts w:hint="eastAsia" w:ascii="Times New Roman" w:hAnsi="Times New Roman" w:eastAsiaTheme="minorEastAsia" w:cstheme="minorEastAsia"/>
                <w:i w:val="0"/>
                <w:iCs w:val="0"/>
                <w:color w:val="auto"/>
                <w:kern w:val="0"/>
                <w:sz w:val="21"/>
                <w:szCs w:val="21"/>
                <w:u w:val="none"/>
                <w:lang w:val="en-US" w:eastAsia="zh-CN" w:bidi="ar"/>
              </w:rPr>
              <w:t>100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广州市增城区湖东村村民委员会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1"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下元村应急避护场所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广州市增城区宁西街下元村下元路</w:t>
            </w:r>
            <w:r>
              <w:rPr>
                <w:rFonts w:hint="eastAsia" w:ascii="Times New Roman" w:hAnsi="Times New Roman" w:eastAsiaTheme="minorEastAsia" w:cstheme="minorEastAsia"/>
                <w:i w:val="0"/>
                <w:iCs w:val="0"/>
                <w:color w:val="auto"/>
                <w:kern w:val="0"/>
                <w:sz w:val="21"/>
                <w:szCs w:val="21"/>
                <w:u w:val="none"/>
                <w:lang w:val="en-US" w:eastAsia="zh-CN" w:bidi="ar"/>
              </w:rPr>
              <w:t>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广州市增城区下元村村民委员会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atLeas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百湖村湾谷活动中心应急避护场所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广州市增城区宁西街百湖村前路东</w:t>
            </w:r>
            <w:r>
              <w:rPr>
                <w:rFonts w:hint="eastAsia" w:ascii="Times New Roman" w:hAnsi="Times New Roman" w:eastAsiaTheme="minorEastAsia" w:cstheme="minorEastAsia"/>
                <w:i w:val="0"/>
                <w:iCs w:val="0"/>
                <w:color w:val="auto"/>
                <w:kern w:val="0"/>
                <w:sz w:val="21"/>
                <w:szCs w:val="21"/>
                <w:u w:val="none"/>
                <w:lang w:val="en-US" w:eastAsia="zh-CN" w:bidi="ar"/>
              </w:rPr>
              <w:t>100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广州市增城区百湖村村民委员会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路边村应急避护场所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广州市增城区宁西街路边村源远大街</w:t>
            </w:r>
            <w:r>
              <w:rPr>
                <w:rFonts w:hint="eastAsia" w:ascii="Times New Roman" w:hAnsi="Times New Roman" w:eastAsiaTheme="minorEastAsia" w:cstheme="minorEastAsia"/>
                <w:i w:val="0"/>
                <w:iCs w:val="0"/>
                <w:color w:val="auto"/>
                <w:kern w:val="0"/>
                <w:sz w:val="21"/>
                <w:szCs w:val="21"/>
                <w:u w:val="none"/>
                <w:lang w:val="en-US" w:eastAsia="zh-CN" w:bidi="ar"/>
              </w:rPr>
              <w:t>20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广州市增城区路边村村民委员会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斯庄村应急避护场所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广州市增城区宁西街斯庄村老屋门前街</w:t>
            </w:r>
            <w:r>
              <w:rPr>
                <w:rFonts w:hint="eastAsia" w:ascii="Times New Roman" w:hAnsi="Times New Roman" w:eastAsiaTheme="minorEastAsia" w:cstheme="minorEastAsia"/>
                <w:i w:val="0"/>
                <w:iCs w:val="0"/>
                <w:color w:val="auto"/>
                <w:kern w:val="0"/>
                <w:sz w:val="21"/>
                <w:szCs w:val="21"/>
                <w:u w:val="none"/>
                <w:lang w:val="en-US" w:eastAsia="zh-CN" w:bidi="ar"/>
              </w:rPr>
              <w:t>53</w:t>
            </w: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imes New Roman" w:hAnsi="Times New Roman" w:eastAsiaTheme="minorEastAsia" w:cstheme="minorEastAsia"/>
                <w:i w:val="0"/>
                <w:iCs w:val="0"/>
                <w:color w:val="auto"/>
                <w:kern w:val="0"/>
                <w:sz w:val="21"/>
                <w:szCs w:val="21"/>
                <w:u w:val="none"/>
                <w:lang w:val="en-US" w:eastAsia="zh-CN" w:bidi="ar"/>
              </w:rPr>
              <w:t>5</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广州市增城区斯庄村村民委员会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郭村村应急避护场所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广州市增城区郭村村郭村路与郭村新村街交叉路口东北侧</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广州市增城区郭村村村民委员会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冯村村应急避护场所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广州市增城区宁西街冯村村</w:t>
            </w:r>
            <w:r>
              <w:rPr>
                <w:rFonts w:hint="eastAsia" w:ascii="Times New Roman" w:hAnsi="Times New Roman" w:eastAsiaTheme="minorEastAsia" w:cstheme="minorEastAsia"/>
                <w:i w:val="0"/>
                <w:iCs w:val="0"/>
                <w:color w:val="auto"/>
                <w:kern w:val="0"/>
                <w:sz w:val="21"/>
                <w:szCs w:val="21"/>
                <w:u w:val="none"/>
                <w:lang w:val="en-US" w:eastAsia="zh-CN" w:bidi="ar"/>
              </w:rPr>
              <w:t>X289</w:t>
            </w:r>
            <w:r>
              <w:rPr>
                <w:rFonts w:hint="eastAsia" w:asciiTheme="minorEastAsia" w:hAnsiTheme="minorEastAsia" w:eastAsiaTheme="minorEastAsia" w:cstheme="minorEastAsia"/>
                <w:i w:val="0"/>
                <w:iCs w:val="0"/>
                <w:color w:val="auto"/>
                <w:kern w:val="0"/>
                <w:sz w:val="21"/>
                <w:szCs w:val="21"/>
                <w:u w:val="none"/>
                <w:lang w:val="en-US" w:eastAsia="zh-CN" w:bidi="ar"/>
              </w:rPr>
              <w:t>(太新路)</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广州市增城区冯村村村民委员会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中元村应急避护场所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广州市增城区中元村刁屋路与大浪门前一路交叉口西南</w:t>
            </w:r>
            <w:r>
              <w:rPr>
                <w:rFonts w:hint="eastAsia" w:ascii="Times New Roman" w:hAnsi="Times New Roman" w:eastAsiaTheme="minorEastAsia" w:cstheme="minorEastAsia"/>
                <w:i w:val="0"/>
                <w:iCs w:val="0"/>
                <w:color w:val="auto"/>
                <w:kern w:val="0"/>
                <w:sz w:val="21"/>
                <w:szCs w:val="21"/>
                <w:u w:val="none"/>
                <w:lang w:val="en-US" w:eastAsia="zh-CN" w:bidi="ar"/>
              </w:rPr>
              <w:t>40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广州市增城区中元村村民委员会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章陂小学应急避护场所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广州市增城区宁西街章陂工业街</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广州市增城区章陂小学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南樵社区应急避护场所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广州市增城区宁西街廊桥路</w:t>
            </w:r>
            <w:r>
              <w:rPr>
                <w:rFonts w:hint="eastAsia" w:ascii="Times New Roman" w:hAnsi="Times New Roman" w:eastAsiaTheme="minorEastAsia" w:cstheme="minorEastAsia"/>
                <w:i w:val="0"/>
                <w:iCs w:val="0"/>
                <w:color w:val="auto"/>
                <w:kern w:val="0"/>
                <w:sz w:val="21"/>
                <w:szCs w:val="21"/>
                <w:u w:val="none"/>
                <w:lang w:val="en-US" w:eastAsia="zh-CN" w:bidi="ar"/>
              </w:rPr>
              <w:t>146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广州市增城区南樵社区居民委员会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宁西街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莲花社区应急避护场所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广州市增城区宁西街新和北路</w:t>
            </w:r>
            <w:r>
              <w:rPr>
                <w:rFonts w:hint="eastAsia" w:ascii="Times New Roman" w:hAnsi="Times New Roman" w:eastAsiaTheme="minorEastAsia" w:cstheme="minorEastAsia"/>
                <w:i w:val="0"/>
                <w:iCs w:val="0"/>
                <w:color w:val="auto"/>
                <w:kern w:val="0"/>
                <w:sz w:val="21"/>
                <w:szCs w:val="21"/>
                <w:u w:val="none"/>
                <w:lang w:val="en-US" w:eastAsia="zh-CN" w:bidi="ar"/>
              </w:rPr>
              <w:t>19</w:t>
            </w:r>
            <w:r>
              <w:rPr>
                <w:rFonts w:hint="eastAsia" w:asciiTheme="minorEastAsia" w:hAnsiTheme="minorEastAsia" w:eastAsiaTheme="minorEastAsia" w:cstheme="minorEastAsia"/>
                <w:i w:val="0"/>
                <w:iCs w:val="0"/>
                <w:color w:val="auto"/>
                <w:kern w:val="0"/>
                <w:sz w:val="21"/>
                <w:szCs w:val="21"/>
                <w:u w:val="none"/>
                <w:lang w:val="en-US" w:eastAsia="zh-CN" w:bidi="ar"/>
              </w:rPr>
              <w:t>号马山宿舍</w:t>
            </w:r>
            <w:r>
              <w:rPr>
                <w:rFonts w:hint="eastAsia" w:ascii="Times New Roman" w:hAnsi="Times New Roman" w:eastAsiaTheme="minorEastAsia" w:cstheme="minorEastAsia"/>
                <w:i w:val="0"/>
                <w:iCs w:val="0"/>
                <w:color w:val="auto"/>
                <w:kern w:val="0"/>
                <w:sz w:val="21"/>
                <w:szCs w:val="21"/>
                <w:u w:val="none"/>
                <w:lang w:val="en-US" w:eastAsia="zh-CN" w:bidi="ar"/>
              </w:rPr>
              <w:t>12</w:t>
            </w:r>
            <w:r>
              <w:rPr>
                <w:rFonts w:hint="eastAsia" w:asciiTheme="minorEastAsia" w:hAnsiTheme="minorEastAsia" w:eastAsiaTheme="minorEastAsia" w:cstheme="minorEastAsia"/>
                <w:i w:val="0"/>
                <w:iCs w:val="0"/>
                <w:color w:val="auto"/>
                <w:kern w:val="0"/>
                <w:sz w:val="21"/>
                <w:szCs w:val="21"/>
                <w:u w:val="none"/>
                <w:lang w:val="en-US" w:eastAsia="zh-CN" w:bidi="ar"/>
              </w:rPr>
              <w:t>栋</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广州市增城区莲花社区居民委员会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广州市增城区宁西街应急办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何仙姑广场应急避护场所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广州市增城区小楼镇何仙姑旅游景区</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腊圃广场应急避护场所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广州市增城区腊圃大道北</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广州市增城区小楼大道南</w:t>
            </w:r>
            <w:r>
              <w:rPr>
                <w:rFonts w:hint="eastAsia" w:ascii="Times New Roman" w:hAnsi="Times New Roman" w:eastAsiaTheme="minorEastAsia" w:cstheme="minorEastAsia"/>
                <w:i w:val="0"/>
                <w:iCs w:val="0"/>
                <w:color w:val="auto"/>
                <w:kern w:val="0"/>
                <w:sz w:val="21"/>
                <w:szCs w:val="21"/>
                <w:u w:val="none"/>
                <w:lang w:val="en-US" w:eastAsia="zh-CN" w:bidi="ar"/>
              </w:rPr>
              <w:t>36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小楼中学应急避护场所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广州市增城区小楼镇腊布村高丰路</w:t>
            </w:r>
            <w:r>
              <w:rPr>
                <w:rFonts w:hint="eastAsia" w:ascii="Times New Roman" w:hAnsi="Times New Roman" w:eastAsiaTheme="minorEastAsia" w:cstheme="minorEastAsia"/>
                <w:i w:val="0"/>
                <w:iCs w:val="0"/>
                <w:color w:val="auto"/>
                <w:kern w:val="0"/>
                <w:sz w:val="21"/>
                <w:szCs w:val="21"/>
                <w:u w:val="none"/>
                <w:lang w:val="en-US" w:eastAsia="zh-CN" w:bidi="ar"/>
              </w:rPr>
              <w:t>40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广州市增城区小楼中学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小楼中心小学应急避护场所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广州市增城区德育路</w:t>
            </w:r>
            <w:r>
              <w:rPr>
                <w:rFonts w:hint="eastAsia" w:ascii="Times New Roman" w:hAnsi="Times New Roman" w:eastAsiaTheme="minorEastAsia" w:cstheme="minorEastAsia"/>
                <w:i w:val="0"/>
                <w:iCs w:val="0"/>
                <w:color w:val="auto"/>
                <w:kern w:val="0"/>
                <w:sz w:val="21"/>
                <w:szCs w:val="21"/>
                <w:u w:val="none"/>
                <w:lang w:val="en-US" w:eastAsia="zh-CN" w:bidi="ar"/>
              </w:rPr>
              <w:t>3</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广州市增城区小楼中心小学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黄村村应急避护场所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广州市增城区梅福南路</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40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广州市增城区荷花路</w:t>
            </w:r>
            <w:r>
              <w:rPr>
                <w:rFonts w:hint="eastAsia" w:ascii="Times New Roman" w:hAnsi="Times New Roman" w:eastAsiaTheme="minorEastAsia" w:cstheme="minorEastAsia"/>
                <w:i w:val="0"/>
                <w:iCs w:val="0"/>
                <w:color w:val="auto"/>
                <w:kern w:val="0"/>
                <w:sz w:val="21"/>
                <w:szCs w:val="21"/>
                <w:u w:val="none"/>
                <w:lang w:val="en-US" w:eastAsia="zh-CN" w:bidi="ar"/>
              </w:rPr>
              <w:t>3</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41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邓山村应急避护场所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imes New Roman" w:hAnsi="Times New Roman" w:eastAsiaTheme="minorEastAsia" w:cstheme="minorEastAsia"/>
                <w:i w:val="0"/>
                <w:iCs w:val="0"/>
                <w:color w:val="auto"/>
                <w:kern w:val="0"/>
                <w:sz w:val="21"/>
                <w:szCs w:val="21"/>
                <w:u w:val="none"/>
                <w:lang w:val="en-US" w:eastAsia="zh-CN" w:bidi="ar"/>
              </w:rPr>
              <w:t>332</w:t>
            </w:r>
            <w:r>
              <w:rPr>
                <w:rFonts w:hint="eastAsia" w:asciiTheme="minorEastAsia" w:hAnsiTheme="minorEastAsia" w:eastAsiaTheme="minorEastAsia" w:cstheme="minorEastAsia"/>
                <w:i w:val="0"/>
                <w:iCs w:val="0"/>
                <w:color w:val="auto"/>
                <w:kern w:val="0"/>
                <w:sz w:val="21"/>
                <w:szCs w:val="21"/>
                <w:u w:val="none"/>
                <w:lang w:val="en-US" w:eastAsia="zh-CN" w:bidi="ar"/>
              </w:rPr>
              <w:t>乡道南</w:t>
            </w:r>
            <w:r>
              <w:rPr>
                <w:rFonts w:hint="eastAsia" w:ascii="Times New Roman" w:hAnsi="Times New Roman" w:eastAsiaTheme="minorEastAsia" w:cstheme="minorEastAsia"/>
                <w:i w:val="0"/>
                <w:iCs w:val="0"/>
                <w:color w:val="auto"/>
                <w:kern w:val="0"/>
                <w:sz w:val="21"/>
                <w:szCs w:val="21"/>
                <w:u w:val="none"/>
                <w:lang w:val="en-US" w:eastAsia="zh-CN" w:bidi="ar"/>
              </w:rPr>
              <w:t>50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42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沙岗村应急避护场所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广州市增城区沙岗一路与对门岗路交叉口南</w:t>
            </w:r>
            <w:r>
              <w:rPr>
                <w:rFonts w:hint="eastAsia" w:ascii="Times New Roman" w:hAnsi="Times New Roman" w:eastAsiaTheme="minorEastAsia" w:cstheme="minorEastAsia"/>
                <w:i w:val="0"/>
                <w:iCs w:val="0"/>
                <w:color w:val="auto"/>
                <w:kern w:val="0"/>
                <w:sz w:val="21"/>
                <w:szCs w:val="21"/>
                <w:u w:val="none"/>
                <w:lang w:val="en-US" w:eastAsia="zh-CN" w:bidi="ar"/>
              </w:rPr>
              <w:t>200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43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二龙村应急避护场所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广州市增城区小楼镇二龙村委增韩村</w:t>
            </w:r>
            <w:r>
              <w:rPr>
                <w:rFonts w:hint="eastAsia" w:ascii="Times New Roman" w:hAnsi="Times New Roman" w:eastAsiaTheme="minorEastAsia" w:cstheme="minorEastAsia"/>
                <w:i w:val="0"/>
                <w:iCs w:val="0"/>
                <w:color w:val="auto"/>
                <w:kern w:val="0"/>
                <w:sz w:val="21"/>
                <w:szCs w:val="21"/>
                <w:u w:val="none"/>
                <w:lang w:val="en-US" w:eastAsia="zh-CN" w:bidi="ar"/>
              </w:rPr>
              <w:t>103</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44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腊圃村应急避护场所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广州市增城区朝阳北路与高丰路交叉口东</w:t>
            </w:r>
            <w:r>
              <w:rPr>
                <w:rFonts w:hint="eastAsia" w:ascii="Times New Roman" w:hAnsi="Times New Roman" w:eastAsiaTheme="minorEastAsia" w:cstheme="minorEastAsia"/>
                <w:i w:val="0"/>
                <w:iCs w:val="0"/>
                <w:color w:val="auto"/>
                <w:kern w:val="0"/>
                <w:sz w:val="21"/>
                <w:szCs w:val="21"/>
                <w:u w:val="none"/>
                <w:lang w:val="en-US" w:eastAsia="zh-CN" w:bidi="ar"/>
              </w:rPr>
              <w:t>100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45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正隆村应急避护场所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imes New Roman" w:hAnsi="Times New Roman" w:eastAsiaTheme="minorEastAsia" w:cstheme="minorEastAsia"/>
                <w:i w:val="0"/>
                <w:iCs w:val="0"/>
                <w:color w:val="auto"/>
                <w:kern w:val="0"/>
                <w:sz w:val="21"/>
                <w:szCs w:val="21"/>
                <w:u w:val="none"/>
                <w:lang w:val="en-US" w:eastAsia="zh-CN" w:bidi="ar"/>
              </w:rPr>
              <w:t>S380</w:t>
            </w:r>
            <w:r>
              <w:rPr>
                <w:rFonts w:hint="eastAsia" w:asciiTheme="minorEastAsia" w:hAnsiTheme="minorEastAsia" w:eastAsiaTheme="minorEastAsia" w:cstheme="minorEastAsia"/>
                <w:i w:val="0"/>
                <w:iCs w:val="0"/>
                <w:color w:val="auto"/>
                <w:kern w:val="0"/>
                <w:sz w:val="21"/>
                <w:szCs w:val="21"/>
                <w:u w:val="none"/>
                <w:lang w:val="en-US" w:eastAsia="zh-CN" w:bidi="ar"/>
              </w:rPr>
              <w:t>与</w:t>
            </w:r>
            <w:r>
              <w:rPr>
                <w:rFonts w:hint="eastAsia" w:ascii="Times New Roman" w:hAnsi="Times New Roman" w:eastAsiaTheme="minorEastAsia" w:cstheme="minorEastAsia"/>
                <w:i w:val="0"/>
                <w:iCs w:val="0"/>
                <w:color w:val="auto"/>
                <w:kern w:val="0"/>
                <w:sz w:val="21"/>
                <w:szCs w:val="21"/>
                <w:u w:val="none"/>
                <w:lang w:val="en-US" w:eastAsia="zh-CN" w:bidi="ar"/>
              </w:rPr>
              <w:t>Y327</w:t>
            </w:r>
            <w:r>
              <w:rPr>
                <w:rFonts w:hint="eastAsia" w:asciiTheme="minorEastAsia" w:hAnsiTheme="minorEastAsia" w:eastAsiaTheme="minorEastAsia" w:cstheme="minorEastAsia"/>
                <w:i w:val="0"/>
                <w:iCs w:val="0"/>
                <w:color w:val="auto"/>
                <w:kern w:val="0"/>
                <w:sz w:val="21"/>
                <w:szCs w:val="21"/>
                <w:u w:val="none"/>
                <w:lang w:val="en-US" w:eastAsia="zh-CN" w:bidi="ar"/>
              </w:rPr>
              <w:t>交叉口西南方向</w:t>
            </w:r>
            <w:r>
              <w:rPr>
                <w:rFonts w:hint="eastAsia" w:ascii="Times New Roman" w:hAnsi="Times New Roman" w:eastAsiaTheme="minorEastAsia" w:cstheme="minorEastAsia"/>
                <w:i w:val="0"/>
                <w:iCs w:val="0"/>
                <w:color w:val="auto"/>
                <w:kern w:val="0"/>
                <w:sz w:val="21"/>
                <w:szCs w:val="21"/>
                <w:u w:val="none"/>
                <w:lang w:val="en-US" w:eastAsia="zh-CN" w:bidi="ar"/>
              </w:rPr>
              <w:t>150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46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罗坑村应急避护场所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广州市增城区何卫路与刘屋路交叉口北</w:t>
            </w:r>
            <w:r>
              <w:rPr>
                <w:rFonts w:hint="eastAsia" w:ascii="Times New Roman" w:hAnsi="Times New Roman" w:eastAsiaTheme="minorEastAsia" w:cstheme="minorEastAsia"/>
                <w:i w:val="0"/>
                <w:iCs w:val="0"/>
                <w:color w:val="auto"/>
                <w:kern w:val="0"/>
                <w:sz w:val="21"/>
                <w:szCs w:val="21"/>
                <w:u w:val="none"/>
                <w:lang w:val="en-US" w:eastAsia="zh-CN" w:bidi="ar"/>
              </w:rPr>
              <w:t>240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47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竹坑村应急避护场所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广州市增城区上角二路与坪山路交叉口正西方向</w:t>
            </w:r>
            <w:r>
              <w:rPr>
                <w:rFonts w:hint="eastAsia" w:ascii="Times New Roman" w:hAnsi="Times New Roman" w:eastAsiaTheme="minorEastAsia" w:cstheme="minorEastAsia"/>
                <w:i w:val="0"/>
                <w:iCs w:val="0"/>
                <w:color w:val="auto"/>
                <w:kern w:val="0"/>
                <w:sz w:val="21"/>
                <w:szCs w:val="21"/>
                <w:u w:val="none"/>
                <w:lang w:val="en-US" w:eastAsia="zh-CN" w:bidi="ar"/>
              </w:rPr>
              <w:t>70</w:t>
            </w:r>
            <w:r>
              <w:rPr>
                <w:rFonts w:hint="eastAsia" w:asciiTheme="minorEastAsia" w:hAnsiTheme="minorEastAsia" w:eastAsiaTheme="minorEastAsia" w:cstheme="minorEastAsia"/>
                <w:i w:val="0"/>
                <w:iCs w:val="0"/>
                <w:color w:val="auto"/>
                <w:kern w:val="0"/>
                <w:sz w:val="21"/>
                <w:szCs w:val="21"/>
                <w:u w:val="none"/>
                <w:lang w:val="en-US" w:eastAsia="zh-CN" w:bidi="ar"/>
              </w:rPr>
              <w:t>米左右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48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青迳村应急避护场所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广州市增城区小楼镇青迳村民委员会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49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长岭村应急避护场所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imes New Roman" w:hAnsi="Times New Roman" w:eastAsiaTheme="minorEastAsia" w:cstheme="minorEastAsia"/>
                <w:i w:val="0"/>
                <w:iCs w:val="0"/>
                <w:color w:val="auto"/>
                <w:kern w:val="0"/>
                <w:sz w:val="21"/>
                <w:szCs w:val="21"/>
                <w:u w:val="none"/>
                <w:lang w:val="en-US" w:eastAsia="zh-CN" w:bidi="ar"/>
              </w:rPr>
              <w:t>940</w:t>
            </w:r>
            <w:r>
              <w:rPr>
                <w:rFonts w:hint="eastAsia" w:asciiTheme="minorEastAsia" w:hAnsiTheme="minorEastAsia" w:eastAsiaTheme="minorEastAsia" w:cstheme="minorEastAsia"/>
                <w:i w:val="0"/>
                <w:iCs w:val="0"/>
                <w:color w:val="auto"/>
                <w:kern w:val="0"/>
                <w:sz w:val="21"/>
                <w:szCs w:val="21"/>
                <w:u w:val="none"/>
                <w:lang w:val="en-US" w:eastAsia="zh-CN" w:bidi="ar"/>
              </w:rPr>
              <w:t>县道与庶布路交叉口东北</w:t>
            </w:r>
            <w:r>
              <w:rPr>
                <w:rFonts w:hint="eastAsia" w:ascii="Times New Roman" w:hAnsi="Times New Roman" w:eastAsiaTheme="minorEastAsia" w:cstheme="minorEastAsia"/>
                <w:i w:val="0"/>
                <w:iCs w:val="0"/>
                <w:color w:val="auto"/>
                <w:kern w:val="0"/>
                <w:sz w:val="21"/>
                <w:szCs w:val="21"/>
                <w:u w:val="none"/>
                <w:lang w:val="en-US" w:eastAsia="zh-CN" w:bidi="ar"/>
              </w:rPr>
              <w:t>160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50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秀水村应急避护场所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imes New Roman" w:hAnsi="Times New Roman" w:eastAsiaTheme="minorEastAsia" w:cstheme="minorEastAsia"/>
                <w:i w:val="0"/>
                <w:iCs w:val="0"/>
                <w:color w:val="auto"/>
                <w:kern w:val="0"/>
                <w:sz w:val="21"/>
                <w:szCs w:val="21"/>
                <w:u w:val="none"/>
                <w:lang w:val="en-US" w:eastAsia="zh-CN" w:bidi="ar"/>
              </w:rPr>
              <w:t>940</w:t>
            </w:r>
            <w:r>
              <w:rPr>
                <w:rFonts w:hint="eastAsia" w:asciiTheme="minorEastAsia" w:hAnsiTheme="minorEastAsia" w:eastAsiaTheme="minorEastAsia" w:cstheme="minorEastAsia"/>
                <w:i w:val="0"/>
                <w:iCs w:val="0"/>
                <w:color w:val="auto"/>
                <w:kern w:val="0"/>
                <w:sz w:val="21"/>
                <w:szCs w:val="21"/>
                <w:u w:val="none"/>
                <w:lang w:val="en-US" w:eastAsia="zh-CN" w:bidi="ar"/>
              </w:rPr>
              <w:t>县道秀水村文化室附近</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51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约场村应急避护场所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广州市增城区增派路约场村委</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52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河洞村应急避护场所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imes New Roman" w:hAnsi="Times New Roman" w:eastAsiaTheme="minorEastAsia" w:cstheme="minorEastAsia"/>
                <w:i w:val="0"/>
                <w:iCs w:val="0"/>
                <w:color w:val="auto"/>
                <w:kern w:val="0"/>
                <w:sz w:val="21"/>
                <w:szCs w:val="21"/>
                <w:u w:val="none"/>
                <w:lang w:val="en-US" w:eastAsia="zh-CN" w:bidi="ar"/>
              </w:rPr>
              <w:t>Y324</w:t>
            </w:r>
            <w:r>
              <w:rPr>
                <w:rFonts w:hint="eastAsia" w:asciiTheme="minorEastAsia" w:hAnsiTheme="minorEastAsia" w:eastAsiaTheme="minorEastAsia" w:cstheme="minorEastAsia"/>
                <w:i w:val="0"/>
                <w:iCs w:val="0"/>
                <w:color w:val="auto"/>
                <w:kern w:val="0"/>
                <w:sz w:val="21"/>
                <w:szCs w:val="21"/>
                <w:u w:val="none"/>
                <w:lang w:val="en-US" w:eastAsia="zh-CN" w:bidi="ar"/>
              </w:rPr>
              <w:t>与河洞桥交叉口正西方向</w:t>
            </w:r>
            <w:r>
              <w:rPr>
                <w:rFonts w:hint="eastAsia" w:ascii="Times New Roman" w:hAnsi="Times New Roman" w:eastAsiaTheme="minorEastAsia" w:cstheme="minorEastAsia"/>
                <w:i w:val="0"/>
                <w:iCs w:val="0"/>
                <w:color w:val="auto"/>
                <w:kern w:val="0"/>
                <w:sz w:val="21"/>
                <w:szCs w:val="21"/>
                <w:u w:val="none"/>
                <w:lang w:val="en-US" w:eastAsia="zh-CN" w:bidi="ar"/>
              </w:rPr>
              <w:t>850</w:t>
            </w:r>
            <w:r>
              <w:rPr>
                <w:rFonts w:hint="eastAsia" w:asciiTheme="minorEastAsia" w:hAnsiTheme="minorEastAsia" w:eastAsiaTheme="minorEastAsia" w:cstheme="minorEastAsia"/>
                <w:i w:val="0"/>
                <w:iCs w:val="0"/>
                <w:color w:val="auto"/>
                <w:kern w:val="0"/>
                <w:sz w:val="21"/>
                <w:szCs w:val="21"/>
                <w:u w:val="none"/>
                <w:lang w:val="en-US" w:eastAsia="zh-CN" w:bidi="ar"/>
              </w:rPr>
              <w:t>米左右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53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西境村应急避护场所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广州市增城区石街路</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54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东境村应急避护场所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imes New Roman" w:hAnsi="Times New Roman" w:eastAsiaTheme="minorEastAsia" w:cstheme="minorEastAsia"/>
                <w:i w:val="0"/>
                <w:iCs w:val="0"/>
                <w:color w:val="auto"/>
                <w:kern w:val="0"/>
                <w:sz w:val="21"/>
                <w:szCs w:val="21"/>
                <w:u w:val="none"/>
                <w:lang w:val="en-US" w:eastAsia="zh-CN" w:bidi="ar"/>
              </w:rPr>
              <w:t>S380</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55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庙潭村应急避护场所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广州市增城区繁荣街与</w:t>
            </w:r>
            <w:r>
              <w:rPr>
                <w:rFonts w:hint="eastAsia" w:ascii="Times New Roman" w:hAnsi="Times New Roman" w:eastAsiaTheme="minorEastAsia" w:cstheme="minorEastAsia"/>
                <w:i w:val="0"/>
                <w:iCs w:val="0"/>
                <w:color w:val="auto"/>
                <w:kern w:val="0"/>
                <w:sz w:val="21"/>
                <w:szCs w:val="21"/>
                <w:u w:val="none"/>
                <w:lang w:val="en-US" w:eastAsia="zh-CN" w:bidi="ar"/>
              </w:rPr>
              <w:t>380</w:t>
            </w:r>
            <w:r>
              <w:rPr>
                <w:rFonts w:hint="eastAsia" w:asciiTheme="minorEastAsia" w:hAnsiTheme="minorEastAsia" w:eastAsiaTheme="minorEastAsia" w:cstheme="minorEastAsia"/>
                <w:i w:val="0"/>
                <w:iCs w:val="0"/>
                <w:color w:val="auto"/>
                <w:kern w:val="0"/>
                <w:sz w:val="21"/>
                <w:szCs w:val="21"/>
                <w:u w:val="none"/>
                <w:lang w:val="en-US" w:eastAsia="zh-CN" w:bidi="ar"/>
              </w:rPr>
              <w:t>省道交叉口北</w:t>
            </w:r>
            <w:r>
              <w:rPr>
                <w:rFonts w:hint="eastAsia" w:ascii="Times New Roman" w:hAnsi="Times New Roman" w:eastAsiaTheme="minorEastAsia" w:cstheme="minorEastAsia"/>
                <w:i w:val="0"/>
                <w:iCs w:val="0"/>
                <w:color w:val="auto"/>
                <w:kern w:val="0"/>
                <w:sz w:val="21"/>
                <w:szCs w:val="21"/>
                <w:u w:val="none"/>
                <w:lang w:val="en-US" w:eastAsia="zh-CN" w:bidi="ar"/>
              </w:rPr>
              <w:t>220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56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西园村应急避护场所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imes New Roman" w:hAnsi="Times New Roman" w:eastAsiaTheme="minorEastAsia" w:cstheme="minorEastAsia"/>
                <w:i w:val="0"/>
                <w:iCs w:val="0"/>
                <w:color w:val="auto"/>
                <w:kern w:val="0"/>
                <w:sz w:val="21"/>
                <w:szCs w:val="21"/>
                <w:u w:val="none"/>
                <w:lang w:val="en-US" w:eastAsia="zh-CN" w:bidi="ar"/>
              </w:rPr>
              <w:t>261</w:t>
            </w:r>
            <w:r>
              <w:rPr>
                <w:rFonts w:hint="eastAsia" w:asciiTheme="minorEastAsia" w:hAnsiTheme="minorEastAsia" w:eastAsiaTheme="minorEastAsia" w:cstheme="minorEastAsia"/>
                <w:i w:val="0"/>
                <w:iCs w:val="0"/>
                <w:color w:val="auto"/>
                <w:kern w:val="0"/>
                <w:sz w:val="21"/>
                <w:szCs w:val="21"/>
                <w:u w:val="none"/>
                <w:lang w:val="en-US" w:eastAsia="zh-CN" w:bidi="ar"/>
              </w:rPr>
              <w:t>县道与大楼路交叉口南</w:t>
            </w:r>
            <w:r>
              <w:rPr>
                <w:rFonts w:hint="eastAsia" w:ascii="Times New Roman" w:hAnsi="Times New Roman" w:eastAsiaTheme="minorEastAsia" w:cstheme="minorEastAsia"/>
                <w:i w:val="0"/>
                <w:iCs w:val="0"/>
                <w:color w:val="auto"/>
                <w:kern w:val="0"/>
                <w:sz w:val="21"/>
                <w:szCs w:val="21"/>
                <w:u w:val="none"/>
                <w:lang w:val="en-US" w:eastAsia="zh-CN" w:bidi="ar"/>
              </w:rPr>
              <w:t>80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57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江坳村应急避护场所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广州市增城区小楼镇江坳村正东方向</w:t>
            </w:r>
            <w:r>
              <w:rPr>
                <w:rFonts w:hint="eastAsia" w:ascii="Times New Roman" w:hAnsi="Times New Roman" w:eastAsiaTheme="minorEastAsia" w:cstheme="minorEastAsia"/>
                <w:i w:val="0"/>
                <w:iCs w:val="0"/>
                <w:color w:val="auto"/>
                <w:kern w:val="0"/>
                <w:sz w:val="21"/>
                <w:szCs w:val="21"/>
                <w:u w:val="none"/>
                <w:lang w:val="en-US" w:eastAsia="zh-CN" w:bidi="ar"/>
              </w:rPr>
              <w:t>10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58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九益村应急避护场所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广州市增城区广河高速公路小楼镇九益村村民委员会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59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新塘镇市民文化广场应急避护场所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广州市增城区新塘镇府前路</w:t>
            </w:r>
            <w:r>
              <w:rPr>
                <w:rFonts w:hint="eastAsia" w:ascii="Times New Roman" w:hAnsi="Times New Roman" w:eastAsiaTheme="minorEastAsia" w:cstheme="minorEastAsia"/>
                <w:i w:val="0"/>
                <w:iCs w:val="0"/>
                <w:color w:val="auto"/>
                <w:kern w:val="0"/>
                <w:sz w:val="21"/>
                <w:szCs w:val="21"/>
                <w:u w:val="none"/>
                <w:lang w:val="en-US" w:eastAsia="zh-CN" w:bidi="ar"/>
              </w:rPr>
              <w:t>32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60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汇美社区应急避护场所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广州市增城区新塘镇汇美怡苑北街</w:t>
            </w:r>
            <w:r>
              <w:rPr>
                <w:rFonts w:hint="eastAsia" w:ascii="Times New Roman" w:hAnsi="Times New Roman" w:eastAsiaTheme="minorEastAsia" w:cstheme="minorEastAsia"/>
                <w:i w:val="0"/>
                <w:iCs w:val="0"/>
                <w:color w:val="auto"/>
                <w:kern w:val="0"/>
                <w:sz w:val="21"/>
                <w:szCs w:val="21"/>
                <w:u w:val="none"/>
                <w:lang w:val="en-US" w:eastAsia="zh-CN" w:bidi="ar"/>
              </w:rPr>
              <w:t>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广州市增城区新塘镇汇美社区居民委员会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61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新康社区应急避护场所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广州市增城区新塘镇新康花园新怡苑</w:t>
            </w:r>
            <w:r>
              <w:rPr>
                <w:rFonts w:hint="eastAsia" w:ascii="Times New Roman" w:hAnsi="Times New Roman" w:eastAsiaTheme="minorEastAsia" w:cstheme="minorEastAsia"/>
                <w:i w:val="0"/>
                <w:iCs w:val="0"/>
                <w:color w:val="auto"/>
                <w:kern w:val="0"/>
                <w:sz w:val="21"/>
                <w:szCs w:val="21"/>
                <w:u w:val="none"/>
                <w:lang w:val="en-US" w:eastAsia="zh-CN" w:bidi="ar"/>
              </w:rPr>
              <w:t>4</w:t>
            </w:r>
            <w:r>
              <w:rPr>
                <w:rFonts w:hint="eastAsia" w:asciiTheme="minorEastAsia" w:hAnsiTheme="minorEastAsia" w:eastAsiaTheme="minorEastAsia" w:cstheme="minorEastAsia"/>
                <w:i w:val="0"/>
                <w:iCs w:val="0"/>
                <w:color w:val="auto"/>
                <w:kern w:val="0"/>
                <w:sz w:val="21"/>
                <w:szCs w:val="21"/>
                <w:u w:val="none"/>
                <w:lang w:val="en-US" w:eastAsia="zh-CN" w:bidi="ar"/>
              </w:rPr>
              <w:t>号楼</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广州市增城区新塘镇新康社区居民委员会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62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翡翠绿洲社区应急避护场所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广州市增城区新塘镇陈家林路</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广州市增城区新塘镇翡翠绿洲社区居民委员会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1"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63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新塘中学应急避护场所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广州市增城区新塘镇港口大道北</w:t>
            </w:r>
            <w:r>
              <w:rPr>
                <w:rFonts w:hint="eastAsia" w:ascii="Times New Roman" w:hAnsi="Times New Roman" w:eastAsiaTheme="minorEastAsia" w:cstheme="minorEastAsia"/>
                <w:i w:val="0"/>
                <w:iCs w:val="0"/>
                <w:color w:val="auto"/>
                <w:kern w:val="0"/>
                <w:sz w:val="21"/>
                <w:szCs w:val="21"/>
                <w:u w:val="none"/>
                <w:lang w:val="en-US" w:eastAsia="zh-CN" w:bidi="ar"/>
              </w:rPr>
              <w:t>328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广州市增城区新塘镇新塘中学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64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菊泉中学应急避护场所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广州市增城区新塘镇解放路市头大街</w:t>
            </w:r>
            <w:r>
              <w:rPr>
                <w:rFonts w:hint="eastAsia" w:ascii="Times New Roman" w:hAnsi="Times New Roman" w:eastAsiaTheme="minorEastAsia" w:cstheme="minorEastAsia"/>
                <w:i w:val="0"/>
                <w:iCs w:val="0"/>
                <w:color w:val="auto"/>
                <w:kern w:val="0"/>
                <w:sz w:val="21"/>
                <w:szCs w:val="21"/>
                <w:u w:val="none"/>
                <w:lang w:val="en-US" w:eastAsia="zh-CN" w:bidi="ar"/>
              </w:rPr>
              <w:t>30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广州市增城区新塘镇菊泉中学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65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甘泉小学应急避护场所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广州市增城区新塘镇沿江路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广州市增城区新塘镇甘泉小学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66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大敦广场应急避护场所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广州市增城区新塘镇大敦大道</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广州市增城区新塘镇大敦村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67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万田公园应急避护场所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广州市增城区荔新公路万田水库旁</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广州市增城区新塘镇长巷村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68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四望岗公园应急避护场所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imes New Roman" w:hAnsi="Times New Roman" w:eastAsiaTheme="minorEastAsia" w:cstheme="minorEastAsia"/>
                <w:i w:val="0"/>
                <w:iCs w:val="0"/>
                <w:color w:val="auto"/>
                <w:kern w:val="0"/>
                <w:sz w:val="21"/>
                <w:szCs w:val="21"/>
                <w:u w:val="none"/>
                <w:lang w:val="en-US" w:eastAsia="zh-CN" w:bidi="ar"/>
              </w:rPr>
              <w:t>107</w:t>
            </w:r>
            <w:r>
              <w:rPr>
                <w:rFonts w:hint="eastAsia" w:asciiTheme="minorEastAsia" w:hAnsiTheme="minorEastAsia" w:eastAsiaTheme="minorEastAsia" w:cstheme="minorEastAsia"/>
                <w:i w:val="0"/>
                <w:iCs w:val="0"/>
                <w:color w:val="auto"/>
                <w:kern w:val="0"/>
                <w:sz w:val="21"/>
                <w:szCs w:val="21"/>
                <w:u w:val="none"/>
                <w:lang w:val="en-US" w:eastAsia="zh-CN" w:bidi="ar"/>
              </w:rPr>
              <w:t>国道牛仔城西侧</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广州市增城区新塘镇东华村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69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新塘镇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顺欣社区应急避护场所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广州市增城区新塘镇荔新十二路</w:t>
            </w:r>
            <w:r>
              <w:rPr>
                <w:rFonts w:hint="eastAsia" w:ascii="Times New Roman" w:hAnsi="Times New Roman" w:eastAsiaTheme="minorEastAsia" w:cstheme="minorEastAsia"/>
                <w:i w:val="0"/>
                <w:iCs w:val="0"/>
                <w:color w:val="auto"/>
                <w:kern w:val="0"/>
                <w:sz w:val="21"/>
                <w:szCs w:val="21"/>
                <w:u w:val="none"/>
                <w:lang w:val="en-US" w:eastAsia="zh-CN" w:bidi="ar"/>
              </w:rPr>
              <w:t>98</w:t>
            </w:r>
            <w:r>
              <w:rPr>
                <w:rFonts w:hint="eastAsia" w:asciiTheme="minorEastAsia" w:hAnsiTheme="minorEastAsia" w:eastAsiaTheme="minorEastAsia" w:cstheme="minorEastAsia"/>
                <w:i w:val="0"/>
                <w:iCs w:val="0"/>
                <w:color w:val="auto"/>
                <w:kern w:val="0"/>
                <w:sz w:val="21"/>
                <w:szCs w:val="21"/>
                <w:u w:val="none"/>
                <w:lang w:val="en-US" w:eastAsia="zh-CN" w:bidi="ar"/>
              </w:rPr>
              <w:t>号顺欣花园会所旁</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广州市增城区新塘镇顺欣社区居民委员会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广州市增城区新塘镇人民政府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70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永宁街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永宁街第一小学应急避护场所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广州市增城区永宁街永和校前街</w:t>
            </w:r>
            <w:r>
              <w:rPr>
                <w:rFonts w:hint="eastAsia" w:ascii="Times New Roman" w:hAnsi="Times New Roman" w:eastAsiaTheme="minorEastAsia" w:cstheme="minorEastAsia"/>
                <w:i w:val="0"/>
                <w:iCs w:val="0"/>
                <w:color w:val="auto"/>
                <w:kern w:val="0"/>
                <w:sz w:val="21"/>
                <w:szCs w:val="21"/>
                <w:u w:val="none"/>
                <w:lang w:val="en-US" w:eastAsia="zh-CN" w:bidi="ar"/>
              </w:rPr>
              <w:t>3</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广州市增城区永宁街第一小学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71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永宁街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五羊本田厂区应急避护场所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广州市增城区永宁街新新六路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五羊本田摩托（广州）有限公司</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72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永宁街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凤妍社区应急避护场所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广州市增城区永宁街凤凰城凤妍四街</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广州市增城区永宁街凤研社区居民委员会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73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永宁街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塔岗村篮球场应急避护场所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广州市增城区永宁街塔岗村</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广州市增城区永宁街塔岗村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74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永宁街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翟洞村新屋花园应急避护场所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广州市增城区永宁街翟洞村</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广州市增城区永宁街翟洞村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75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永宁街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公安村委广场应急避护场所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广州市增城区永宁街公安村</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广州市增城区永宁街公安村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76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永宁街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叶岭村委篮球场应急避护场所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广州市增城区永宁街叶岭村</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广州市增城区永宁街叶岭村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77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永宁街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陂头村村委广场应急避护场所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广州市增城区永宁街陂头村</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广州市增城区永宁街陂头村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1"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78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永宁街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蒌元村新城公园广场应急避护场所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广州市增城区永宁街蒌元村委停车场</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广州市增城区永宁街蒌元村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79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永宁街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长岗村委应急避护场所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广州市增城区永宁街长岗村高屋南路</w:t>
            </w:r>
            <w:r>
              <w:rPr>
                <w:rFonts w:hint="eastAsia" w:ascii="Times New Roman" w:hAnsi="Times New Roman" w:eastAsiaTheme="minorEastAsia" w:cstheme="minorEastAsia"/>
                <w:i w:val="0"/>
                <w:iCs w:val="0"/>
                <w:color w:val="auto"/>
                <w:kern w:val="0"/>
                <w:sz w:val="21"/>
                <w:szCs w:val="21"/>
                <w:u w:val="none"/>
                <w:lang w:val="en-US" w:eastAsia="zh-CN" w:bidi="ar"/>
              </w:rPr>
              <w:t>16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广州市增城区永宁街长岗村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广州市增城区永宁街道办事处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80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朱村中学应急避护场所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增城区朱村街教育路</w:t>
            </w:r>
            <w:r>
              <w:rPr>
                <w:rFonts w:hint="eastAsia" w:ascii="Times New Roman" w:hAnsi="Times New Roman" w:eastAsiaTheme="minorEastAsia" w:cstheme="minorEastAsia"/>
                <w:b w:val="0"/>
                <w:bCs w:val="0"/>
                <w:i w:val="0"/>
                <w:iCs w:val="0"/>
                <w:color w:val="auto"/>
                <w:kern w:val="0"/>
                <w:sz w:val="21"/>
                <w:szCs w:val="21"/>
                <w:u w:val="none"/>
                <w:lang w:val="en-US" w:eastAsia="zh-CN" w:bidi="ar"/>
              </w:rPr>
              <w:t>88</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朱村街朱村中学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81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朱村街中心小学应急避护场所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增城区朱村街教育路</w:t>
            </w:r>
            <w:r>
              <w:rPr>
                <w:rFonts w:hint="eastAsia" w:ascii="Times New Roman" w:hAnsi="Times New Roman" w:eastAsiaTheme="minorEastAsia" w:cstheme="minorEastAsia"/>
                <w:b w:val="0"/>
                <w:bCs w:val="0"/>
                <w:i w:val="0"/>
                <w:iCs w:val="0"/>
                <w:color w:val="auto"/>
                <w:kern w:val="0"/>
                <w:sz w:val="21"/>
                <w:szCs w:val="21"/>
                <w:u w:val="none"/>
                <w:lang w:val="en-US" w:eastAsia="zh-CN" w:bidi="ar"/>
              </w:rPr>
              <w:t>1</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165735</wp:posOffset>
                  </wp:positionV>
                  <wp:extent cx="216535" cy="272415"/>
                  <wp:effectExtent l="0" t="0" r="0" b="0"/>
                  <wp:wrapNone/>
                  <wp:docPr id="1" name="Picture_6"/>
                  <wp:cNvGraphicFramePr/>
                  <a:graphic xmlns:a="http://schemas.openxmlformats.org/drawingml/2006/main">
                    <a:graphicData uri="http://schemas.openxmlformats.org/drawingml/2006/picture">
                      <pic:pic xmlns:pic="http://schemas.openxmlformats.org/drawingml/2006/picture">
                        <pic:nvPicPr>
                          <pic:cNvPr id="1" name="Picture_6"/>
                          <pic:cNvPicPr/>
                        </pic:nvPicPr>
                        <pic:blipFill>
                          <a:blip r:embed="rId10"/>
                          <a:stretch>
                            <a:fillRect/>
                          </a:stretch>
                        </pic:blipFill>
                        <pic:spPr>
                          <a:xfrm>
                            <a:off x="0" y="0"/>
                            <a:ext cx="216535" cy="272415"/>
                          </a:xfrm>
                          <a:prstGeom prst="rect">
                            <a:avLst/>
                          </a:prstGeom>
                          <a:noFill/>
                          <a:ln>
                            <a:noFill/>
                          </a:ln>
                        </pic:spPr>
                      </pic:pic>
                    </a:graphicData>
                  </a:graphic>
                </wp:anchor>
              </w:drawing>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165735</wp:posOffset>
                  </wp:positionV>
                  <wp:extent cx="216535" cy="272415"/>
                  <wp:effectExtent l="0" t="0" r="0" b="0"/>
                  <wp:wrapNone/>
                  <wp:docPr id="2" name="Picture_6_SpCnt_1"/>
                  <wp:cNvGraphicFramePr/>
                  <a:graphic xmlns:a="http://schemas.openxmlformats.org/drawingml/2006/main">
                    <a:graphicData uri="http://schemas.openxmlformats.org/drawingml/2006/picture">
                      <pic:pic xmlns:pic="http://schemas.openxmlformats.org/drawingml/2006/picture">
                        <pic:nvPicPr>
                          <pic:cNvPr id="2" name="Picture_6_SpCnt_1"/>
                          <pic:cNvPicPr/>
                        </pic:nvPicPr>
                        <pic:blipFill>
                          <a:blip r:embed="rId10"/>
                          <a:stretch>
                            <a:fillRect/>
                          </a:stretch>
                        </pic:blipFill>
                        <pic:spPr>
                          <a:xfrm>
                            <a:off x="0" y="0"/>
                            <a:ext cx="216535" cy="272415"/>
                          </a:xfrm>
                          <a:prstGeom prst="rect">
                            <a:avLst/>
                          </a:prstGeom>
                          <a:noFill/>
                          <a:ln>
                            <a:noFill/>
                          </a:ln>
                        </pic:spPr>
                      </pic:pic>
                    </a:graphicData>
                  </a:graphic>
                </wp:anchor>
              </w:drawing>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朱村街中心小学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82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联兴村应急避护场所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增城区朱村街联兴村联兴路</w:t>
            </w:r>
            <w:r>
              <w:rPr>
                <w:rFonts w:hint="eastAsia" w:ascii="Times New Roman" w:hAnsi="Times New Roman" w:eastAsiaTheme="minorEastAsia" w:cstheme="minorEastAsia"/>
                <w:b w:val="0"/>
                <w:bCs w:val="0"/>
                <w:i w:val="0"/>
                <w:iCs w:val="0"/>
                <w:color w:val="auto"/>
                <w:kern w:val="0"/>
                <w:sz w:val="21"/>
                <w:szCs w:val="21"/>
                <w:u w:val="none"/>
                <w:lang w:val="en-US" w:eastAsia="zh-CN" w:bidi="ar"/>
              </w:rPr>
              <w:t>18</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朱村街联兴村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83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龙新村应急避护场所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增城区朱村街龙新村龙新路</w:t>
            </w:r>
            <w:r>
              <w:rPr>
                <w:rFonts w:hint="eastAsia" w:ascii="Times New Roman" w:hAnsi="Times New Roman" w:eastAsiaTheme="minorEastAsia" w:cstheme="minorEastAsia"/>
                <w:b w:val="0"/>
                <w:bCs w:val="0"/>
                <w:i w:val="0"/>
                <w:iCs w:val="0"/>
                <w:color w:val="auto"/>
                <w:kern w:val="0"/>
                <w:sz w:val="21"/>
                <w:szCs w:val="21"/>
                <w:u w:val="none"/>
                <w:lang w:val="en-US" w:eastAsia="zh-CN" w:bidi="ar"/>
              </w:rPr>
              <w:t>9</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朱村街龙新村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84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龙岗小学应急避护场所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增城区朱村街龙岗村龙岗路</w:t>
            </w:r>
            <w:r>
              <w:rPr>
                <w:rFonts w:hint="eastAsia" w:ascii="Times New Roman" w:hAnsi="Times New Roman" w:eastAsiaTheme="minorEastAsia" w:cstheme="minorEastAsia"/>
                <w:b w:val="0"/>
                <w:bCs w:val="0"/>
                <w:i w:val="0"/>
                <w:iCs w:val="0"/>
                <w:color w:val="auto"/>
                <w:kern w:val="0"/>
                <w:sz w:val="21"/>
                <w:szCs w:val="21"/>
                <w:u w:val="none"/>
                <w:lang w:val="en-US" w:eastAsia="zh-CN" w:bidi="ar"/>
              </w:rPr>
              <w:t>9</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朱村街龙岗小学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85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丹邱卫生站应急避护场所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增城区朱村街丹邱村</w:t>
            </w:r>
            <w:r>
              <w:rPr>
                <w:rFonts w:hint="eastAsia" w:ascii="Times New Roman" w:hAnsi="Times New Roman" w:eastAsiaTheme="minorEastAsia" w:cstheme="minorEastAsia"/>
                <w:b w:val="0"/>
                <w:bCs w:val="0"/>
                <w:i w:val="0"/>
                <w:iCs w:val="0"/>
                <w:color w:val="auto"/>
                <w:kern w:val="0"/>
                <w:sz w:val="21"/>
                <w:szCs w:val="21"/>
                <w:u w:val="none"/>
                <w:lang w:val="en-US" w:eastAsia="zh-CN" w:bidi="ar"/>
              </w:rPr>
              <w:t>Y390</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（墩东路）</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朱村街丹邱村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增城区卫健局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86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山角小广场应急避护场所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增城区朱村街山角村行政路</w:t>
            </w:r>
            <w:r>
              <w:rPr>
                <w:rFonts w:hint="eastAsia" w:ascii="Times New Roman" w:hAnsi="Times New Roman" w:eastAsiaTheme="minorEastAsia" w:cstheme="minorEastAsia"/>
                <w:b w:val="0"/>
                <w:bCs w:val="0"/>
                <w:i w:val="0"/>
                <w:iCs w:val="0"/>
                <w:color w:val="auto"/>
                <w:kern w:val="0"/>
                <w:sz w:val="21"/>
                <w:szCs w:val="21"/>
                <w:u w:val="none"/>
                <w:lang w:val="en-US" w:eastAsia="zh-CN" w:bidi="ar"/>
              </w:rPr>
              <w:t>3</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朱村街山角村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87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山田小学应急避护场所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增城区朱村街山田村陂头街</w:t>
            </w:r>
            <w:r>
              <w:rPr>
                <w:rFonts w:hint="eastAsia" w:ascii="Times New Roman" w:hAnsi="Times New Roman" w:eastAsiaTheme="minorEastAsia" w:cstheme="minorEastAsia"/>
                <w:b w:val="0"/>
                <w:bCs w:val="0"/>
                <w:i w:val="0"/>
                <w:iCs w:val="0"/>
                <w:color w:val="auto"/>
                <w:kern w:val="0"/>
                <w:sz w:val="21"/>
                <w:szCs w:val="21"/>
                <w:u w:val="none"/>
                <w:lang w:val="en-US" w:eastAsia="zh-CN" w:bidi="ar"/>
              </w:rPr>
              <w:t>10</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增城区朱村街山田小学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88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南岗小学应急避护场所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增城区朱村街朱村大道中</w:t>
            </w:r>
            <w:r>
              <w:rPr>
                <w:rFonts w:hint="eastAsia" w:ascii="Times New Roman" w:hAnsi="Times New Roman" w:eastAsiaTheme="minorEastAsia" w:cstheme="minorEastAsia"/>
                <w:b w:val="0"/>
                <w:bCs w:val="0"/>
                <w:i w:val="0"/>
                <w:iCs w:val="0"/>
                <w:color w:val="auto"/>
                <w:kern w:val="0"/>
                <w:sz w:val="21"/>
                <w:szCs w:val="21"/>
                <w:u w:val="none"/>
                <w:lang w:val="en-US" w:eastAsia="zh-CN" w:bidi="ar"/>
              </w:rPr>
              <w:t>68</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增城区朱村街南岗小学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89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神岗村应急避护场所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增城区朱村街神岗村神岗新屋三巷</w:t>
            </w:r>
            <w:r>
              <w:rPr>
                <w:rFonts w:hint="eastAsia" w:ascii="Times New Roman" w:hAnsi="Times New Roman" w:eastAsiaTheme="minorEastAsia" w:cstheme="minorEastAsia"/>
                <w:b w:val="0"/>
                <w:bCs w:val="0"/>
                <w:i w:val="0"/>
                <w:iCs w:val="0"/>
                <w:color w:val="auto"/>
                <w:kern w:val="0"/>
                <w:sz w:val="21"/>
                <w:szCs w:val="21"/>
                <w:u w:val="none"/>
                <w:lang w:val="en-US" w:eastAsia="zh-CN" w:bidi="ar"/>
              </w:rPr>
              <w:t>8</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增城区朱村街神岗村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90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横塱小学应急避护场所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增城区朱村街横塱村校背路</w:t>
            </w:r>
            <w:r>
              <w:rPr>
                <w:rFonts w:hint="eastAsia" w:ascii="Times New Roman" w:hAnsi="Times New Roman" w:eastAsiaTheme="minorEastAsia" w:cstheme="minorEastAsia"/>
                <w:b w:val="0"/>
                <w:bCs w:val="0"/>
                <w:i w:val="0"/>
                <w:iCs w:val="0"/>
                <w:color w:val="auto"/>
                <w:kern w:val="0"/>
                <w:sz w:val="21"/>
                <w:szCs w:val="21"/>
                <w:u w:val="none"/>
                <w:lang w:val="en-US" w:eastAsia="zh-CN" w:bidi="ar"/>
              </w:rPr>
              <w:t>28</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增城区朱村街横塱小学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91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朱村社区应急避护场所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增城区朱村街学前路</w:t>
            </w:r>
            <w:r>
              <w:rPr>
                <w:rFonts w:hint="eastAsia" w:ascii="Times New Roman" w:hAnsi="Times New Roman" w:eastAsiaTheme="minorEastAsia" w:cstheme="minorEastAsia"/>
                <w:b w:val="0"/>
                <w:bCs w:val="0"/>
                <w:i w:val="0"/>
                <w:iCs w:val="0"/>
                <w:color w:val="auto"/>
                <w:kern w:val="0"/>
                <w:sz w:val="21"/>
                <w:szCs w:val="21"/>
                <w:u w:val="none"/>
                <w:lang w:val="en-US" w:eastAsia="zh-CN" w:bidi="ar"/>
              </w:rPr>
              <w:t>28</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增城区朱村街朱村社区居民委员会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top"/>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增城区朱村街道办事处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imes New Roman" w:hAnsi="Times New Roman" w:eastAsiaTheme="minorEastAsia" w:cstheme="minorEastAsia"/>
                <w:b w:val="0"/>
                <w:bCs w:val="0"/>
                <w:i w:val="0"/>
                <w:iCs w:val="0"/>
                <w:color w:val="auto"/>
                <w:kern w:val="0"/>
                <w:sz w:val="21"/>
                <w:szCs w:val="21"/>
                <w:u w:val="none"/>
                <w:lang w:val="en-US" w:eastAsia="zh-CN" w:bidi="ar"/>
              </w:rPr>
              <w:t>92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派潭镇中心小学应急避护场所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广州市增城区派潭镇文政路</w:t>
            </w:r>
            <w:r>
              <w:rPr>
                <w:rFonts w:hint="eastAsia" w:ascii="Times New Roman" w:hAnsi="Times New Roman" w:eastAsiaTheme="minorEastAsia" w:cstheme="minorEastAsia"/>
                <w:b w:val="0"/>
                <w:bCs w:val="0"/>
                <w:i w:val="0"/>
                <w:iCs w:val="0"/>
                <w:color w:val="auto"/>
                <w:kern w:val="0"/>
                <w:sz w:val="21"/>
                <w:szCs w:val="21"/>
                <w:u w:val="none"/>
                <w:lang w:val="en-US" w:eastAsia="zh-CN" w:bidi="ar"/>
              </w:rPr>
              <w:t>100</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增城区派潭镇中心小学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93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派潭广场</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应急</w:t>
            </w:r>
            <w:r>
              <w:rPr>
                <w:rFonts w:hint="eastAsia" w:asciiTheme="minorEastAsia" w:hAnsiTheme="minorEastAsia" w:eastAsiaTheme="minorEastAsia" w:cstheme="minorEastAsia"/>
                <w:i w:val="0"/>
                <w:iCs w:val="0"/>
                <w:color w:val="auto"/>
                <w:kern w:val="0"/>
                <w:sz w:val="21"/>
                <w:szCs w:val="21"/>
                <w:u w:val="none"/>
                <w:lang w:val="en-US" w:eastAsia="zh-CN" w:bidi="ar"/>
              </w:rPr>
              <w:t>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广州市增城区派潭镇文政路</w:t>
            </w:r>
            <w:r>
              <w:rPr>
                <w:rFonts w:hint="eastAsia" w:ascii="Times New Roman" w:hAnsi="Times New Roman" w:eastAsiaTheme="minorEastAsia" w:cstheme="minorEastAsia"/>
                <w:i w:val="0"/>
                <w:iCs w:val="0"/>
                <w:color w:val="auto"/>
                <w:kern w:val="0"/>
                <w:sz w:val="21"/>
                <w:szCs w:val="21"/>
                <w:u w:val="none"/>
                <w:lang w:val="en-US" w:eastAsia="zh-CN" w:bidi="ar"/>
              </w:rPr>
              <w:t>22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w:t>
            </w:r>
            <w:r>
              <w:rPr>
                <w:rFonts w:hint="eastAsia" w:asciiTheme="minorEastAsia" w:hAnsiTheme="minorEastAsia" w:eastAsiaTheme="minorEastAsia" w:cstheme="minorEastAsia"/>
                <w:i w:val="0"/>
                <w:iCs w:val="0"/>
                <w:color w:val="auto"/>
                <w:kern w:val="0"/>
                <w:sz w:val="21"/>
                <w:szCs w:val="21"/>
                <w:u w:val="none"/>
                <w:lang w:val="en-US" w:eastAsia="zh-CN" w:bidi="ar"/>
              </w:rPr>
              <w:t>派潭镇人民政府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94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派潭镇应急救援队营房应急避护场所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广州市增城区派潭镇派潭大道中</w:t>
            </w:r>
            <w:r>
              <w:rPr>
                <w:rFonts w:hint="eastAsia" w:ascii="Times New Roman" w:hAnsi="Times New Roman" w:eastAsiaTheme="minorEastAsia" w:cstheme="minorEastAsia"/>
                <w:i w:val="0"/>
                <w:iCs w:val="0"/>
                <w:color w:val="auto"/>
                <w:kern w:val="0"/>
                <w:sz w:val="21"/>
                <w:szCs w:val="21"/>
                <w:u w:val="none"/>
                <w:lang w:val="en-US" w:eastAsia="zh-CN" w:bidi="ar"/>
              </w:rPr>
              <w:t>207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w:t>
            </w:r>
            <w:r>
              <w:rPr>
                <w:rFonts w:hint="eastAsia" w:asciiTheme="minorEastAsia" w:hAnsiTheme="minorEastAsia" w:eastAsiaTheme="minorEastAsia" w:cstheme="minorEastAsia"/>
                <w:i w:val="0"/>
                <w:iCs w:val="0"/>
                <w:color w:val="auto"/>
                <w:kern w:val="0"/>
                <w:sz w:val="21"/>
                <w:szCs w:val="21"/>
                <w:u w:val="none"/>
                <w:lang w:val="en-US" w:eastAsia="zh-CN" w:bidi="ar"/>
              </w:rPr>
              <w:t>派潭镇人民政府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w:t>
            </w:r>
            <w:r>
              <w:rPr>
                <w:rFonts w:hint="eastAsia" w:asciiTheme="minorEastAsia" w:hAnsiTheme="minorEastAsia" w:eastAsiaTheme="minorEastAsia" w:cstheme="minorEastAsia"/>
                <w:i w:val="0"/>
                <w:iCs w:val="0"/>
                <w:color w:val="auto"/>
                <w:kern w:val="0"/>
                <w:sz w:val="21"/>
                <w:szCs w:val="21"/>
                <w:u w:val="none"/>
                <w:lang w:val="en-US" w:eastAsia="zh-CN" w:bidi="ar"/>
              </w:rPr>
              <w:t>派潭镇应急管理办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95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黄沙氹村应急避护场所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广州市增城区派潭镇黄沙氹村四门楼河东二巷</w:t>
            </w:r>
            <w:r>
              <w:rPr>
                <w:rFonts w:hint="eastAsia" w:ascii="Times New Roman" w:hAnsi="Times New Roman" w:eastAsiaTheme="minorEastAsia" w:cstheme="minorEastAsia"/>
                <w:i w:val="0"/>
                <w:iCs w:val="0"/>
                <w:color w:val="auto"/>
                <w:kern w:val="0"/>
                <w:sz w:val="21"/>
                <w:szCs w:val="21"/>
                <w:u w:val="none"/>
                <w:lang w:val="en-US" w:eastAsia="zh-CN" w:bidi="ar"/>
              </w:rPr>
              <w:t>28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广州市增城区派潭镇黄沙氹村村民委员会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广州市增城区派潭镇应急管理办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96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黄沙氹村老人活动中心</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应急</w:t>
            </w:r>
            <w:r>
              <w:rPr>
                <w:rFonts w:hint="eastAsia" w:asciiTheme="minorEastAsia" w:hAnsiTheme="minorEastAsia" w:eastAsiaTheme="minorEastAsia" w:cstheme="minorEastAsia"/>
                <w:i w:val="0"/>
                <w:iCs w:val="0"/>
                <w:color w:val="auto"/>
                <w:kern w:val="0"/>
                <w:sz w:val="21"/>
                <w:szCs w:val="21"/>
                <w:u w:val="none"/>
                <w:lang w:val="en-US" w:eastAsia="zh-CN" w:bidi="ar"/>
              </w:rPr>
              <w:t>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广州市增城区派潭镇黄沙氹村四门楼社</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广州市增城区派潭镇黄沙氹村村民委员会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广州市增城区派潭镇应急管理办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97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高滩村应急避护场所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广州市增城区派潭镇高滩村林田坳路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广州市增城区派潭镇高滩村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w:t>
            </w:r>
            <w:r>
              <w:rPr>
                <w:rFonts w:hint="eastAsia" w:asciiTheme="minorEastAsia" w:hAnsiTheme="minorEastAsia" w:eastAsiaTheme="minorEastAsia" w:cstheme="minorEastAsia"/>
                <w:i w:val="0"/>
                <w:iCs w:val="0"/>
                <w:color w:val="auto"/>
                <w:kern w:val="0"/>
                <w:sz w:val="21"/>
                <w:szCs w:val="21"/>
                <w:u w:val="none"/>
                <w:lang w:val="en-US" w:eastAsia="zh-CN" w:bidi="ar"/>
              </w:rPr>
              <w:t>派潭镇应急管理办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98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高滩小学</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应急</w:t>
            </w:r>
            <w:r>
              <w:rPr>
                <w:rFonts w:hint="eastAsia" w:asciiTheme="minorEastAsia" w:hAnsiTheme="minorEastAsia" w:eastAsiaTheme="minorEastAsia" w:cstheme="minorEastAsia"/>
                <w:i w:val="0"/>
                <w:iCs w:val="0"/>
                <w:color w:val="auto"/>
                <w:kern w:val="0"/>
                <w:sz w:val="21"/>
                <w:szCs w:val="21"/>
                <w:u w:val="none"/>
                <w:lang w:val="en-US" w:eastAsia="zh-CN" w:bidi="ar"/>
              </w:rPr>
              <w:t>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广州市增城区派潭镇高滩村小学路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广州市增城区派潭镇高滩小学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99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邓路吓村文化活动中心</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应急</w:t>
            </w:r>
            <w:r>
              <w:rPr>
                <w:rFonts w:hint="eastAsia" w:asciiTheme="minorEastAsia" w:hAnsiTheme="minorEastAsia" w:eastAsiaTheme="minorEastAsia" w:cstheme="minorEastAsia"/>
                <w:i w:val="0"/>
                <w:iCs w:val="0"/>
                <w:color w:val="auto"/>
                <w:kern w:val="0"/>
                <w:sz w:val="21"/>
                <w:szCs w:val="21"/>
                <w:u w:val="none"/>
                <w:lang w:val="en-US" w:eastAsia="zh-CN" w:bidi="ar"/>
              </w:rPr>
              <w:t>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广州市增城区派潭镇邓路吓村文化活动中心</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w:t>
            </w:r>
            <w:r>
              <w:rPr>
                <w:rFonts w:hint="eastAsia" w:asciiTheme="minorEastAsia" w:hAnsiTheme="minorEastAsia" w:eastAsiaTheme="minorEastAsia" w:cstheme="minorEastAsia"/>
                <w:i w:val="0"/>
                <w:iCs w:val="0"/>
                <w:color w:val="auto"/>
                <w:kern w:val="0"/>
                <w:sz w:val="21"/>
                <w:szCs w:val="21"/>
                <w:u w:val="none"/>
                <w:lang w:val="en-US" w:eastAsia="zh-CN" w:bidi="ar"/>
              </w:rPr>
              <w:t>派潭镇邓路吓村村民委员会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w:t>
            </w:r>
            <w:r>
              <w:rPr>
                <w:rFonts w:hint="eastAsia" w:asciiTheme="minorEastAsia" w:hAnsiTheme="minorEastAsia" w:eastAsiaTheme="minorEastAsia" w:cstheme="minorEastAsia"/>
                <w:i w:val="0"/>
                <w:iCs w:val="0"/>
                <w:color w:val="auto"/>
                <w:kern w:val="0"/>
                <w:sz w:val="21"/>
                <w:szCs w:val="21"/>
                <w:u w:val="none"/>
                <w:lang w:val="en-US" w:eastAsia="zh-CN" w:bidi="ar"/>
              </w:rPr>
              <w:t>派潭镇应急管理办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100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邓路吓村应急避护场所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广州市增城区派潭镇邓路吓村大冚路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w:t>
            </w:r>
            <w:r>
              <w:rPr>
                <w:rFonts w:hint="eastAsia" w:asciiTheme="minorEastAsia" w:hAnsiTheme="minorEastAsia" w:eastAsiaTheme="minorEastAsia" w:cstheme="minorEastAsia"/>
                <w:i w:val="0"/>
                <w:iCs w:val="0"/>
                <w:color w:val="auto"/>
                <w:kern w:val="0"/>
                <w:sz w:val="21"/>
                <w:szCs w:val="21"/>
                <w:u w:val="none"/>
                <w:lang w:val="en-US" w:eastAsia="zh-CN" w:bidi="ar"/>
              </w:rPr>
              <w:t>派潭镇邓路吓村村民委员会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w:t>
            </w:r>
            <w:r>
              <w:rPr>
                <w:rFonts w:hint="eastAsia" w:asciiTheme="minorEastAsia" w:hAnsiTheme="minorEastAsia" w:eastAsiaTheme="minorEastAsia" w:cstheme="minorEastAsia"/>
                <w:i w:val="0"/>
                <w:iCs w:val="0"/>
                <w:color w:val="auto"/>
                <w:kern w:val="0"/>
                <w:sz w:val="21"/>
                <w:szCs w:val="21"/>
                <w:u w:val="none"/>
                <w:lang w:val="en-US" w:eastAsia="zh-CN" w:bidi="ar"/>
              </w:rPr>
              <w:t>派潭镇应急管理办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101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黄洞村应急避护场所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广州市增城区派潭镇黄洞村塘一路三巷</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w:t>
            </w:r>
            <w:r>
              <w:rPr>
                <w:rFonts w:hint="eastAsia" w:asciiTheme="minorEastAsia" w:hAnsiTheme="minorEastAsia" w:eastAsiaTheme="minorEastAsia" w:cstheme="minorEastAsia"/>
                <w:i w:val="0"/>
                <w:iCs w:val="0"/>
                <w:color w:val="auto"/>
                <w:kern w:val="0"/>
                <w:sz w:val="21"/>
                <w:szCs w:val="21"/>
                <w:u w:val="none"/>
                <w:lang w:val="en-US" w:eastAsia="zh-CN" w:bidi="ar"/>
              </w:rPr>
              <w:t>派潭镇黄洞村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w:t>
            </w:r>
            <w:r>
              <w:rPr>
                <w:rFonts w:hint="eastAsia" w:asciiTheme="minorEastAsia" w:hAnsiTheme="minorEastAsia" w:eastAsiaTheme="minorEastAsia" w:cstheme="minorEastAsia"/>
                <w:i w:val="0"/>
                <w:iCs w:val="0"/>
                <w:color w:val="auto"/>
                <w:kern w:val="0"/>
                <w:sz w:val="21"/>
                <w:szCs w:val="21"/>
                <w:u w:val="none"/>
                <w:lang w:val="en-US" w:eastAsia="zh-CN" w:bidi="ar"/>
              </w:rPr>
              <w:t>派潭镇应急管理办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102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黄洞小学</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应急</w:t>
            </w:r>
            <w:r>
              <w:rPr>
                <w:rFonts w:hint="eastAsia" w:asciiTheme="minorEastAsia" w:hAnsiTheme="minorEastAsia" w:eastAsiaTheme="minorEastAsia" w:cstheme="minorEastAsia"/>
                <w:i w:val="0"/>
                <w:iCs w:val="0"/>
                <w:color w:val="auto"/>
                <w:kern w:val="0"/>
                <w:sz w:val="21"/>
                <w:szCs w:val="21"/>
                <w:u w:val="none"/>
                <w:lang w:val="en-US" w:eastAsia="zh-CN" w:bidi="ar"/>
              </w:rPr>
              <w:t>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广州市增城区派潭镇黄洞村小学</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广州市增城区派潭镇黄洞小学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103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樟洞坑村</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应急</w:t>
            </w:r>
            <w:r>
              <w:rPr>
                <w:rFonts w:hint="eastAsia" w:asciiTheme="minorEastAsia" w:hAnsiTheme="minorEastAsia" w:eastAsiaTheme="minorEastAsia" w:cstheme="minorEastAsia"/>
                <w:i w:val="0"/>
                <w:iCs w:val="0"/>
                <w:color w:val="auto"/>
                <w:kern w:val="0"/>
                <w:sz w:val="21"/>
                <w:szCs w:val="21"/>
                <w:u w:val="none"/>
                <w:lang w:val="en-US" w:eastAsia="zh-CN" w:bidi="ar"/>
              </w:rPr>
              <w:t>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广州市增城区派潭镇樟洞坑村村委路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广州市增城区派潭镇樟洞坑村村民委员会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104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樟洞坑交易市场应急避护场所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广州市增城区派潭镇樟洞坑村委路</w:t>
            </w:r>
            <w:r>
              <w:rPr>
                <w:rFonts w:hint="eastAsia" w:ascii="Times New Roman" w:hAnsi="Times New Roman" w:eastAsiaTheme="minorEastAsia" w:cstheme="minorEastAsia"/>
                <w:i w:val="0"/>
                <w:iCs w:val="0"/>
                <w:color w:val="auto"/>
                <w:kern w:val="0"/>
                <w:sz w:val="21"/>
                <w:szCs w:val="21"/>
                <w:u w:val="none"/>
                <w:lang w:val="en-US" w:eastAsia="zh-CN" w:bidi="ar"/>
              </w:rPr>
              <w:t>5</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广州市增城区派潭镇樟洞坑村村民委员会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105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高埔小学应急避护场所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广州市增城区派潭镇高埔村小埔直巷</w:t>
            </w:r>
            <w:r>
              <w:rPr>
                <w:rFonts w:hint="eastAsia" w:ascii="Times New Roman" w:hAnsi="Times New Roman" w:eastAsiaTheme="minorEastAsia" w:cstheme="minorEastAsia"/>
                <w:i w:val="0"/>
                <w:iCs w:val="0"/>
                <w:color w:val="auto"/>
                <w:kern w:val="0"/>
                <w:sz w:val="21"/>
                <w:szCs w:val="21"/>
                <w:u w:val="none"/>
                <w:lang w:val="en-US" w:eastAsia="zh-CN" w:bidi="ar"/>
              </w:rPr>
              <w:t>37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广州市增城区派潭镇高埔小学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106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高埔村应急避护场所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广州市增城区派潭镇高埔村小埔直巷</w:t>
            </w:r>
            <w:r>
              <w:rPr>
                <w:rFonts w:hint="eastAsia" w:ascii="Times New Roman" w:hAnsi="Times New Roman" w:eastAsiaTheme="minorEastAsia" w:cstheme="minorEastAsia"/>
                <w:i w:val="0"/>
                <w:iCs w:val="0"/>
                <w:color w:val="auto"/>
                <w:kern w:val="0"/>
                <w:sz w:val="21"/>
                <w:szCs w:val="21"/>
                <w:u w:val="none"/>
                <w:lang w:val="en-US" w:eastAsia="zh-CN" w:bidi="ar"/>
              </w:rPr>
              <w:t>38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广州市增城区派潭镇高埔村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107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旧高埔村应急避护场所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广州市增城区派潭镇旧高埔村旧高埔小学</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广州市增城区派潭镇旧高埔村村民委员会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108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双头村应急避护场所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广州市增城区派潭镇双头村俄斗路</w:t>
            </w:r>
            <w:r>
              <w:rPr>
                <w:rFonts w:hint="eastAsia" w:ascii="Times New Roman" w:hAnsi="Times New Roman" w:eastAsiaTheme="minorEastAsia" w:cstheme="minorEastAsia"/>
                <w:i w:val="0"/>
                <w:iCs w:val="0"/>
                <w:color w:val="auto"/>
                <w:kern w:val="0"/>
                <w:sz w:val="21"/>
                <w:szCs w:val="21"/>
                <w:u w:val="none"/>
                <w:lang w:val="en-US" w:eastAsia="zh-CN" w:bidi="ar"/>
              </w:rPr>
              <w:t>3</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广州市增城区派潭镇双头村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1"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109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围园村应急避护场所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广州市增城区派潭镇围园村围园路</w:t>
            </w:r>
            <w:r>
              <w:rPr>
                <w:rFonts w:hint="eastAsia" w:ascii="Times New Roman" w:hAnsi="Times New Roman" w:eastAsiaTheme="minorEastAsia" w:cstheme="minorEastAsia"/>
                <w:i w:val="0"/>
                <w:iCs w:val="0"/>
                <w:color w:val="auto"/>
                <w:kern w:val="0"/>
                <w:sz w:val="21"/>
                <w:szCs w:val="21"/>
                <w:u w:val="none"/>
                <w:lang w:val="en-US" w:eastAsia="zh-CN" w:bidi="ar"/>
              </w:rPr>
              <w:t>5</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广州市增城区派潭镇围园村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110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鹅兜村应急避护场所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广州市增城区派潭镇鹅兜村民委员会（原鹅兜小学）</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广州市增城区派潭镇鹅兜村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111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广州市增城区派潭镇派潭村马一路三巷</w:t>
            </w:r>
            <w:r>
              <w:rPr>
                <w:rFonts w:hint="eastAsia" w:ascii="Times New Roman" w:hAnsi="Times New Roman" w:eastAsiaTheme="minorEastAsia" w:cstheme="minorEastAsia"/>
                <w:i w:val="0"/>
                <w:iCs w:val="0"/>
                <w:color w:val="auto"/>
                <w:kern w:val="0"/>
                <w:sz w:val="21"/>
                <w:szCs w:val="21"/>
                <w:u w:val="none"/>
                <w:lang w:val="en-US" w:eastAsia="zh-CN" w:bidi="ar"/>
              </w:rPr>
              <w:t>9</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广州市增城区派潭镇派潭村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112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大埔村</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广州市增城区派潭镇大埔村东头路</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广州市增城区派潭镇大埔村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113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汉湖村应急避护场所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广州市增城区汉湖村车田东公路边巷</w:t>
            </w:r>
            <w:r>
              <w:rPr>
                <w:rFonts w:hint="eastAsia" w:ascii="Times New Roman" w:hAnsi="Times New Roman" w:eastAsiaTheme="minorEastAsia" w:cstheme="minorEastAsia"/>
                <w:i w:val="0"/>
                <w:iCs w:val="0"/>
                <w:color w:val="auto"/>
                <w:kern w:val="0"/>
                <w:sz w:val="21"/>
                <w:szCs w:val="21"/>
                <w:u w:val="none"/>
                <w:lang w:val="en-US" w:eastAsia="zh-CN" w:bidi="ar"/>
              </w:rPr>
              <w:t>10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广州市增城区派潭镇汉湖村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114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万能村应急避护场所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广州市增城区派潭镇万能村知青场一巷</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广州市增城区派潭镇万能村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115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水口冚村应急避护场所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广州市增城区派潭镇水口冚村旧小学</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广州市增城区派潭镇水口冚村村民委员会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116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湾吓村应急避护场所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广州市增城区派潭镇湾吓村黄江头一巷</w:t>
            </w:r>
            <w:r>
              <w:rPr>
                <w:rFonts w:hint="eastAsia" w:ascii="Times New Roman" w:hAnsi="Times New Roman" w:eastAsiaTheme="minorEastAsia" w:cstheme="minorEastAsia"/>
                <w:i w:val="0"/>
                <w:iCs w:val="0"/>
                <w:color w:val="auto"/>
                <w:kern w:val="0"/>
                <w:sz w:val="21"/>
                <w:szCs w:val="21"/>
                <w:u w:val="none"/>
                <w:lang w:val="en-US" w:eastAsia="zh-CN" w:bidi="ar"/>
              </w:rPr>
              <w:t>18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广州市增城区派潭镇湾吓村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117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湴汾村应急避护场所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广州市增城区派潭镇湴汾村广场路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广州市增城区派潭镇湴汾村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118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广州市增城区派潭镇小迳村井头六巷</w:t>
            </w:r>
            <w:r>
              <w:rPr>
                <w:rFonts w:hint="eastAsia" w:ascii="Times New Roman" w:hAnsi="Times New Roman" w:eastAsiaTheme="minorEastAsia" w:cstheme="minorEastAsia"/>
                <w:i w:val="0"/>
                <w:iCs w:val="0"/>
                <w:color w:val="auto"/>
                <w:kern w:val="0"/>
                <w:sz w:val="21"/>
                <w:szCs w:val="21"/>
                <w:u w:val="none"/>
                <w:lang w:val="en-US" w:eastAsia="zh-CN" w:bidi="ar"/>
              </w:rPr>
              <w:t>16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广州市增城区派潭镇小迳村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119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邓村村应急避护场所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广州市增城区派潭镇邓村村石屋路</w:t>
            </w:r>
            <w:r>
              <w:rPr>
                <w:rFonts w:hint="eastAsia" w:ascii="Times New Roman" w:hAnsi="Times New Roman" w:eastAsiaTheme="minorEastAsia" w:cstheme="minorEastAsia"/>
                <w:i w:val="0"/>
                <w:iCs w:val="0"/>
                <w:color w:val="auto"/>
                <w:kern w:val="0"/>
                <w:sz w:val="21"/>
                <w:szCs w:val="21"/>
                <w:u w:val="none"/>
                <w:lang w:val="en-US" w:eastAsia="zh-CN" w:bidi="ar"/>
              </w:rPr>
              <w:t>28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广州市增城区派潭镇邓村村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120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利迳村应急避护场所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广州市增城区派潭镇利迳村新村委</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广州市增城区派潭镇利迳村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121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大田围村应急避护场所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广州市增城区派潭镇大田围村悦来南一巷</w:t>
            </w:r>
            <w:r>
              <w:rPr>
                <w:rFonts w:hint="eastAsia" w:ascii="Times New Roman" w:hAnsi="Times New Roman" w:eastAsiaTheme="minorEastAsia" w:cstheme="minorEastAsia"/>
                <w:i w:val="0"/>
                <w:iCs w:val="0"/>
                <w:color w:val="auto"/>
                <w:kern w:val="0"/>
                <w:sz w:val="21"/>
                <w:szCs w:val="21"/>
                <w:u w:val="none"/>
                <w:lang w:val="en-US" w:eastAsia="zh-CN" w:bidi="ar"/>
              </w:rPr>
              <w:t>17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广州市增城区派潭镇大田围村村民委员会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122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车洞村应急避护场所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广州市增城区派潭镇车洞村湖下一巷</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广州市增城区派潭镇车洞村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123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拖罗村应急避护场所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广州市增城区派潭镇拖罗村黄屋四巷</w:t>
            </w:r>
            <w:r>
              <w:rPr>
                <w:rFonts w:hint="eastAsia" w:ascii="Times New Roman" w:hAnsi="Times New Roman" w:eastAsiaTheme="minorEastAsia" w:cstheme="minorEastAsia"/>
                <w:i w:val="0"/>
                <w:iCs w:val="0"/>
                <w:color w:val="auto"/>
                <w:kern w:val="0"/>
                <w:sz w:val="21"/>
                <w:szCs w:val="21"/>
                <w:u w:val="none"/>
                <w:lang w:val="en-US" w:eastAsia="zh-CN" w:bidi="ar"/>
              </w:rPr>
              <w:t>32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广州市增城区派潭镇拖罗村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124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玉枕村应急避护场所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广州市增城区派潭镇玉枕村村民委员会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广州市增城区派潭镇玉枕村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125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派潭镇第二小学应急避护场所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广州市增城区派潭镇佳松岭村墩头坳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广州市增城区派潭镇第二小学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126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刘家村应急避护场所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广州市增城区派潭镇刘家村刘家六巷</w:t>
            </w:r>
            <w:r>
              <w:rPr>
                <w:rFonts w:hint="eastAsia" w:ascii="Times New Roman" w:hAnsi="Times New Roman" w:eastAsiaTheme="minorEastAsia" w:cstheme="minorEastAsia"/>
                <w:i w:val="0"/>
                <w:iCs w:val="0"/>
                <w:color w:val="auto"/>
                <w:kern w:val="0"/>
                <w:sz w:val="21"/>
                <w:szCs w:val="21"/>
                <w:u w:val="none"/>
                <w:lang w:val="en-US" w:eastAsia="zh-CN" w:bidi="ar"/>
              </w:rPr>
              <w:t>１</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广州市增城区派潭镇刘家村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127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密石村应急避护场所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广州市增城区派潭镇密石村密石路</w:t>
            </w:r>
            <w:r>
              <w:rPr>
                <w:rFonts w:hint="eastAsia" w:ascii="Times New Roman" w:hAnsi="Times New Roman" w:eastAsiaTheme="minorEastAsia" w:cstheme="minorEastAsia"/>
                <w:i w:val="0"/>
                <w:iCs w:val="0"/>
                <w:color w:val="auto"/>
                <w:kern w:val="0"/>
                <w:sz w:val="21"/>
                <w:szCs w:val="21"/>
                <w:u w:val="none"/>
                <w:lang w:val="en-US" w:eastAsia="zh-CN" w:bidi="ar"/>
              </w:rPr>
              <w:t>9</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广州市增城区派潭镇密石村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128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上九陂村应急避护场所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广州市增城区派潭镇上九陂村旧小学</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广州市增城区派潭镇上九陂村村民委员会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129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榕树吓村应急避护场所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广州市增城区派潭镇榕树吓村白水寨大道</w:t>
            </w:r>
            <w:r>
              <w:rPr>
                <w:rFonts w:hint="eastAsia" w:ascii="Times New Roman" w:hAnsi="Times New Roman" w:eastAsiaTheme="minorEastAsia" w:cstheme="minorEastAsia"/>
                <w:i w:val="0"/>
                <w:iCs w:val="0"/>
                <w:color w:val="auto"/>
                <w:kern w:val="0"/>
                <w:sz w:val="21"/>
                <w:szCs w:val="21"/>
                <w:u w:val="none"/>
                <w:lang w:val="en-US" w:eastAsia="zh-CN" w:bidi="ar"/>
              </w:rPr>
              <w:t>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广州市增城区派潭镇榕树吓村村民委员会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130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东洞村应急避护场所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广州市增城区派潭镇东洞村东洞路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号（旧村委楼）</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广州市增城区派潭镇东洞村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131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背阴村应急避护场所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广州市增城区派潭镇背阴村背阴路</w:t>
            </w:r>
            <w:r>
              <w:rPr>
                <w:rFonts w:hint="eastAsia" w:ascii="Times New Roman" w:hAnsi="Times New Roman" w:eastAsiaTheme="minorEastAsia" w:cstheme="minorEastAsia"/>
                <w:i w:val="0"/>
                <w:iCs w:val="0"/>
                <w:color w:val="auto"/>
                <w:kern w:val="0"/>
                <w:sz w:val="21"/>
                <w:szCs w:val="21"/>
                <w:u w:val="none"/>
                <w:lang w:val="en-US" w:eastAsia="zh-CN" w:bidi="ar"/>
              </w:rPr>
              <w:t>10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广州市增城区派潭镇背阴村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132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亚如冚村应急避护场所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广州市增城区派潭镇亚如冚村委路</w:t>
            </w:r>
            <w:r>
              <w:rPr>
                <w:rFonts w:hint="eastAsia" w:ascii="Times New Roman" w:hAnsi="Times New Roman" w:eastAsiaTheme="minorEastAsia" w:cstheme="minorEastAsia"/>
                <w:i w:val="0"/>
                <w:iCs w:val="0"/>
                <w:color w:val="auto"/>
                <w:kern w:val="0"/>
                <w:sz w:val="21"/>
                <w:szCs w:val="21"/>
                <w:u w:val="none"/>
                <w:lang w:val="en-US" w:eastAsia="zh-CN" w:bidi="ar"/>
              </w:rPr>
              <w:t>5</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广州市增城区派潭镇亚如冚村村民委员会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133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亚口冚村应急避护场所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广州市增城区派潭镇亚口冚村石塘吓社路口</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广州市增城区派潭镇亚口冚村村民委员会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134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双合寮村应急避护场所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广州市增城区派潭镇双合寮村双合寮路</w:t>
            </w:r>
            <w:r>
              <w:rPr>
                <w:rFonts w:hint="eastAsia" w:ascii="Times New Roman" w:hAnsi="Times New Roman" w:eastAsiaTheme="minorEastAsia" w:cstheme="minorEastAsia"/>
                <w:i w:val="0"/>
                <w:iCs w:val="0"/>
                <w:color w:val="auto"/>
                <w:kern w:val="0"/>
                <w:sz w:val="21"/>
                <w:szCs w:val="21"/>
                <w:u w:val="none"/>
                <w:lang w:val="en-US" w:eastAsia="zh-CN" w:bidi="ar"/>
              </w:rPr>
              <w:t>9</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广州市增城区派潭镇双合寮村村民委员会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135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七境小学应急避护场所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广州市增城区派潭镇何樟公路</w:t>
            </w:r>
            <w:r>
              <w:rPr>
                <w:rFonts w:hint="eastAsia" w:ascii="Times New Roman" w:hAnsi="Times New Roman" w:eastAsiaTheme="minorEastAsia" w:cstheme="minorEastAsia"/>
                <w:i w:val="0"/>
                <w:iCs w:val="0"/>
                <w:color w:val="auto"/>
                <w:kern w:val="0"/>
                <w:sz w:val="21"/>
                <w:szCs w:val="21"/>
                <w:u w:val="none"/>
                <w:lang w:val="en-US" w:eastAsia="zh-CN" w:bidi="ar"/>
              </w:rPr>
              <w:t>42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广州市增城区派潭镇七境小学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136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派潭镇敬老院应急避护场所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广州市增城区派潭镇文政西路</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广州市增城区派潭镇人民政府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137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石滩镇群众文化体育中心应急避护场所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pP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27940</wp:posOffset>
                  </wp:positionH>
                  <wp:positionV relativeFrom="paragraph">
                    <wp:posOffset>0</wp:posOffset>
                  </wp:positionV>
                  <wp:extent cx="149860" cy="254000"/>
                  <wp:effectExtent l="0" t="0" r="0" b="0"/>
                  <wp:wrapNone/>
                  <wp:docPr id="18" name="Picture_8_SpCnt_1"/>
                  <wp:cNvGraphicFramePr/>
                  <a:graphic xmlns:a="http://schemas.openxmlformats.org/drawingml/2006/main">
                    <a:graphicData uri="http://schemas.openxmlformats.org/drawingml/2006/picture">
                      <pic:pic xmlns:pic="http://schemas.openxmlformats.org/drawingml/2006/picture">
                        <pic:nvPicPr>
                          <pic:cNvPr id="18" name="Picture_8_SpCnt_1"/>
                          <pic:cNvPicPr/>
                        </pic:nvPicPr>
                        <pic:blipFill>
                          <a:blip r:embed="rId11"/>
                          <a:stretch>
                            <a:fillRect/>
                          </a:stretch>
                        </pic:blipFill>
                        <pic:spPr>
                          <a:xfrm>
                            <a:off x="0" y="0"/>
                            <a:ext cx="149860" cy="25400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158750</wp:posOffset>
                  </wp:positionH>
                  <wp:positionV relativeFrom="paragraph">
                    <wp:posOffset>590550</wp:posOffset>
                  </wp:positionV>
                  <wp:extent cx="76200" cy="252730"/>
                  <wp:effectExtent l="0" t="0" r="0" b="0"/>
                  <wp:wrapNone/>
                  <wp:docPr id="19" name="Picture_7"/>
                  <wp:cNvGraphicFramePr/>
                  <a:graphic xmlns:a="http://schemas.openxmlformats.org/drawingml/2006/main">
                    <a:graphicData uri="http://schemas.openxmlformats.org/drawingml/2006/picture">
                      <pic:pic xmlns:pic="http://schemas.openxmlformats.org/drawingml/2006/picture">
                        <pic:nvPicPr>
                          <pic:cNvPr id="19" name="Picture_7"/>
                          <pic:cNvPicPr/>
                        </pic:nvPicPr>
                        <pic:blipFill>
                          <a:blip r:embed="rId11"/>
                          <a:stretch>
                            <a:fillRect/>
                          </a:stretch>
                        </pic:blipFill>
                        <pic:spPr>
                          <a:xfrm>
                            <a:off x="0" y="0"/>
                            <a:ext cx="76200" cy="252730"/>
                          </a:xfrm>
                          <a:prstGeom prst="rect">
                            <a:avLst/>
                          </a:prstGeom>
                          <a:noFill/>
                          <a:ln>
                            <a:noFill/>
                          </a:ln>
                        </pic:spPr>
                      </pic:pic>
                    </a:graphicData>
                  </a:graphic>
                </wp:anchor>
              </w:drawing>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85725</wp:posOffset>
                  </wp:positionH>
                  <wp:positionV relativeFrom="paragraph">
                    <wp:posOffset>561975</wp:posOffset>
                  </wp:positionV>
                  <wp:extent cx="216535" cy="252730"/>
                  <wp:effectExtent l="0" t="0" r="0" b="0"/>
                  <wp:wrapNone/>
                  <wp:docPr id="20" name="Picture_1_SpCnt_1"/>
                  <wp:cNvGraphicFramePr/>
                  <a:graphic xmlns:a="http://schemas.openxmlformats.org/drawingml/2006/main">
                    <a:graphicData uri="http://schemas.openxmlformats.org/drawingml/2006/picture">
                      <pic:pic xmlns:pic="http://schemas.openxmlformats.org/drawingml/2006/picture">
                        <pic:nvPicPr>
                          <pic:cNvPr id="20" name="Picture_1_SpCnt_1"/>
                          <pic:cNvPicPr/>
                        </pic:nvPicPr>
                        <pic:blipFill>
                          <a:blip r:embed="rId12"/>
                          <a:stretch>
                            <a:fillRect/>
                          </a:stretch>
                        </pic:blipFill>
                        <pic:spPr>
                          <a:xfrm>
                            <a:off x="0" y="0"/>
                            <a:ext cx="216535" cy="25273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15900" cy="273050"/>
                  <wp:effectExtent l="0" t="0" r="0" b="0"/>
                  <wp:wrapNone/>
                  <wp:docPr id="5" name="Picture_5"/>
                  <wp:cNvGraphicFramePr/>
                  <a:graphic xmlns:a="http://schemas.openxmlformats.org/drawingml/2006/main">
                    <a:graphicData uri="http://schemas.openxmlformats.org/drawingml/2006/picture">
                      <pic:pic xmlns:pic="http://schemas.openxmlformats.org/drawingml/2006/picture">
                        <pic:nvPicPr>
                          <pic:cNvPr id="5" name="Picture_5"/>
                          <pic:cNvPicPr/>
                        </pic:nvPicPr>
                        <pic:blipFill>
                          <a:blip r:embed="rId10"/>
                          <a:stretch>
                            <a:fillRect/>
                          </a:stretch>
                        </pic:blipFill>
                        <pic:spPr>
                          <a:xfrm>
                            <a:off x="0" y="0"/>
                            <a:ext cx="215900" cy="27305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215900" cy="263525"/>
                  <wp:effectExtent l="0" t="0" r="0" b="0"/>
                  <wp:wrapNone/>
                  <wp:docPr id="6" name="Picture_18"/>
                  <wp:cNvGraphicFramePr/>
                  <a:graphic xmlns:a="http://schemas.openxmlformats.org/drawingml/2006/main">
                    <a:graphicData uri="http://schemas.openxmlformats.org/drawingml/2006/picture">
                      <pic:pic xmlns:pic="http://schemas.openxmlformats.org/drawingml/2006/picture">
                        <pic:nvPicPr>
                          <pic:cNvPr id="6" name="Picture_18"/>
                          <pic:cNvPicPr/>
                        </pic:nvPicPr>
                        <pic:blipFill>
                          <a:blip r:embed="rId13"/>
                          <a:stretch>
                            <a:fillRect/>
                          </a:stretch>
                        </pic:blipFill>
                        <pic:spPr>
                          <a:xfrm>
                            <a:off x="0" y="0"/>
                            <a:ext cx="215900" cy="26352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72390" cy="241935"/>
                  <wp:effectExtent l="0" t="0" r="0" b="0"/>
                  <wp:wrapNone/>
                  <wp:docPr id="7" name="Picture_15"/>
                  <wp:cNvGraphicFramePr/>
                  <a:graphic xmlns:a="http://schemas.openxmlformats.org/drawingml/2006/main">
                    <a:graphicData uri="http://schemas.openxmlformats.org/drawingml/2006/picture">
                      <pic:pic xmlns:pic="http://schemas.openxmlformats.org/drawingml/2006/picture">
                        <pic:nvPicPr>
                          <pic:cNvPr id="7" name="Picture_15"/>
                          <pic:cNvPicPr/>
                        </pic:nvPicPr>
                        <pic:blipFill>
                          <a:blip r:embed="rId14"/>
                          <a:stretch>
                            <a:fillRect/>
                          </a:stretch>
                        </pic:blipFill>
                        <pic:spPr>
                          <a:xfrm>
                            <a:off x="0" y="0"/>
                            <a:ext cx="72390" cy="2419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8890" cy="11430"/>
                  <wp:effectExtent l="0" t="0" r="0" b="0"/>
                  <wp:wrapNone/>
                  <wp:docPr id="8" name="Picture_10"/>
                  <wp:cNvGraphicFramePr/>
                  <a:graphic xmlns:a="http://schemas.openxmlformats.org/drawingml/2006/main">
                    <a:graphicData uri="http://schemas.openxmlformats.org/drawingml/2006/picture">
                      <pic:pic xmlns:pic="http://schemas.openxmlformats.org/drawingml/2006/picture">
                        <pic:nvPicPr>
                          <pic:cNvPr id="8" name="Picture_10"/>
                          <pic:cNvPicPr/>
                        </pic:nvPicPr>
                        <pic:blipFill>
                          <a:blip r:embed="rId15"/>
                          <a:stretch>
                            <a:fillRect/>
                          </a:stretch>
                        </pic:blipFill>
                        <pic:spPr>
                          <a:xfrm>
                            <a:off x="0" y="0"/>
                            <a:ext cx="8890" cy="1143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77800" cy="254000"/>
                  <wp:effectExtent l="0" t="0" r="0" b="0"/>
                  <wp:wrapNone/>
                  <wp:docPr id="9" name="Picture_14"/>
                  <wp:cNvGraphicFramePr/>
                  <a:graphic xmlns:a="http://schemas.openxmlformats.org/drawingml/2006/main">
                    <a:graphicData uri="http://schemas.openxmlformats.org/drawingml/2006/picture">
                      <pic:pic xmlns:pic="http://schemas.openxmlformats.org/drawingml/2006/picture">
                        <pic:nvPicPr>
                          <pic:cNvPr id="9" name="Picture_14"/>
                          <pic:cNvPicPr/>
                        </pic:nvPicPr>
                        <pic:blipFill>
                          <a:blip r:embed="rId11"/>
                          <a:stretch>
                            <a:fillRect/>
                          </a:stretch>
                        </pic:blipFill>
                        <pic:spPr>
                          <a:xfrm>
                            <a:off x="0" y="0"/>
                            <a:ext cx="177800" cy="25400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16535" cy="264160"/>
                  <wp:effectExtent l="0" t="0" r="0" b="0"/>
                  <wp:wrapNone/>
                  <wp:docPr id="10" name="Picture_18_SpCnt_1"/>
                  <wp:cNvGraphicFramePr/>
                  <a:graphic xmlns:a="http://schemas.openxmlformats.org/drawingml/2006/main">
                    <a:graphicData uri="http://schemas.openxmlformats.org/drawingml/2006/picture">
                      <pic:pic xmlns:pic="http://schemas.openxmlformats.org/drawingml/2006/picture">
                        <pic:nvPicPr>
                          <pic:cNvPr id="10" name="Picture_18_SpCnt_1"/>
                          <pic:cNvPicPr/>
                        </pic:nvPicPr>
                        <pic:blipFill>
                          <a:blip r:embed="rId13"/>
                          <a:stretch>
                            <a:fillRect/>
                          </a:stretch>
                        </pic:blipFill>
                        <pic:spPr>
                          <a:xfrm>
                            <a:off x="0" y="0"/>
                            <a:ext cx="216535" cy="26416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72390" cy="245745"/>
                  <wp:effectExtent l="0" t="0" r="0" b="0"/>
                  <wp:wrapNone/>
                  <wp:docPr id="11" name="Picture_15_SpCnt_1"/>
                  <wp:cNvGraphicFramePr/>
                  <a:graphic xmlns:a="http://schemas.openxmlformats.org/drawingml/2006/main">
                    <a:graphicData uri="http://schemas.openxmlformats.org/drawingml/2006/picture">
                      <pic:pic xmlns:pic="http://schemas.openxmlformats.org/drawingml/2006/picture">
                        <pic:nvPicPr>
                          <pic:cNvPr id="11" name="Picture_15_SpCnt_1"/>
                          <pic:cNvPicPr/>
                        </pic:nvPicPr>
                        <pic:blipFill>
                          <a:blip r:embed="rId14"/>
                          <a:stretch>
                            <a:fillRect/>
                          </a:stretch>
                        </pic:blipFill>
                        <pic:spPr>
                          <a:xfrm>
                            <a:off x="0" y="0"/>
                            <a:ext cx="72390" cy="24574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8255" cy="9525"/>
                  <wp:effectExtent l="0" t="0" r="0" b="0"/>
                  <wp:wrapNone/>
                  <wp:docPr id="12" name="Picture_10_SpCnt_1"/>
                  <wp:cNvGraphicFramePr/>
                  <a:graphic xmlns:a="http://schemas.openxmlformats.org/drawingml/2006/main">
                    <a:graphicData uri="http://schemas.openxmlformats.org/drawingml/2006/picture">
                      <pic:pic xmlns:pic="http://schemas.openxmlformats.org/drawingml/2006/picture">
                        <pic:nvPicPr>
                          <pic:cNvPr id="12" name="Picture_10_SpCnt_1"/>
                          <pic:cNvPicPr/>
                        </pic:nvPicPr>
                        <pic:blipFill>
                          <a:blip r:embed="rId16"/>
                          <a:stretch>
                            <a:fillRect/>
                          </a:stretch>
                        </pic:blipFill>
                        <pic:spPr>
                          <a:xfrm>
                            <a:off x="0" y="0"/>
                            <a:ext cx="8255" cy="952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77800" cy="252730"/>
                  <wp:effectExtent l="0" t="0" r="0" b="0"/>
                  <wp:wrapNone/>
                  <wp:docPr id="13" name="Picture_14_SpCnt_1"/>
                  <wp:cNvGraphicFramePr/>
                  <a:graphic xmlns:a="http://schemas.openxmlformats.org/drawingml/2006/main">
                    <a:graphicData uri="http://schemas.openxmlformats.org/drawingml/2006/picture">
                      <pic:pic xmlns:pic="http://schemas.openxmlformats.org/drawingml/2006/picture">
                        <pic:nvPicPr>
                          <pic:cNvPr id="13" name="Picture_14_SpCnt_1"/>
                          <pic:cNvPicPr/>
                        </pic:nvPicPr>
                        <pic:blipFill>
                          <a:blip r:embed="rId11"/>
                          <a:stretch>
                            <a:fillRect/>
                          </a:stretch>
                        </pic:blipFill>
                        <pic:spPr>
                          <a:xfrm>
                            <a:off x="0" y="0"/>
                            <a:ext cx="177800" cy="25273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215900" cy="254000"/>
                  <wp:effectExtent l="0" t="0" r="0" b="0"/>
                  <wp:wrapNone/>
                  <wp:docPr id="14" name="Picture_1"/>
                  <wp:cNvGraphicFramePr/>
                  <a:graphic xmlns:a="http://schemas.openxmlformats.org/drawingml/2006/main">
                    <a:graphicData uri="http://schemas.openxmlformats.org/drawingml/2006/picture">
                      <pic:pic xmlns:pic="http://schemas.openxmlformats.org/drawingml/2006/picture">
                        <pic:nvPicPr>
                          <pic:cNvPr id="14" name="Picture_1"/>
                          <pic:cNvPicPr/>
                        </pic:nvPicPr>
                        <pic:blipFill>
                          <a:blip r:embed="rId12"/>
                          <a:stretch>
                            <a:fillRect/>
                          </a:stretch>
                        </pic:blipFill>
                        <pic:spPr>
                          <a:xfrm>
                            <a:off x="0" y="0"/>
                            <a:ext cx="215900" cy="25400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11430"/>
                  <wp:effectExtent l="0" t="0" r="0" b="0"/>
                  <wp:wrapNone/>
                  <wp:docPr id="15" name="Picture_9"/>
                  <wp:cNvGraphicFramePr/>
                  <a:graphic xmlns:a="http://schemas.openxmlformats.org/drawingml/2006/main">
                    <a:graphicData uri="http://schemas.openxmlformats.org/drawingml/2006/picture">
                      <pic:pic xmlns:pic="http://schemas.openxmlformats.org/drawingml/2006/picture">
                        <pic:nvPicPr>
                          <pic:cNvPr id="15" name="Picture_9"/>
                          <pic:cNvPicPr/>
                        </pic:nvPicPr>
                        <pic:blipFill>
                          <a:blip r:embed="rId15"/>
                          <a:stretch>
                            <a:fillRect/>
                          </a:stretch>
                        </pic:blipFill>
                        <pic:spPr>
                          <a:xfrm>
                            <a:off x="0" y="0"/>
                            <a:ext cx="8890" cy="1143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8255" cy="9525"/>
                  <wp:effectExtent l="0" t="0" r="0" b="0"/>
                  <wp:wrapNone/>
                  <wp:docPr id="16" name="Picture_9_SpCnt_1"/>
                  <wp:cNvGraphicFramePr/>
                  <a:graphic xmlns:a="http://schemas.openxmlformats.org/drawingml/2006/main">
                    <a:graphicData uri="http://schemas.openxmlformats.org/drawingml/2006/picture">
                      <pic:pic xmlns:pic="http://schemas.openxmlformats.org/drawingml/2006/picture">
                        <pic:nvPicPr>
                          <pic:cNvPr id="16" name="Picture_9_SpCnt_1"/>
                          <pic:cNvPicPr/>
                        </pic:nvPicPr>
                        <pic:blipFill>
                          <a:blip r:embed="rId16"/>
                          <a:stretch>
                            <a:fillRect/>
                          </a:stretch>
                        </pic:blipFill>
                        <pic:spPr>
                          <a:xfrm>
                            <a:off x="0" y="0"/>
                            <a:ext cx="8255" cy="952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77800" cy="252730"/>
                  <wp:effectExtent l="0" t="0" r="0" b="0"/>
                  <wp:wrapNone/>
                  <wp:docPr id="17" name="Picture_8"/>
                  <wp:cNvGraphicFramePr/>
                  <a:graphic xmlns:a="http://schemas.openxmlformats.org/drawingml/2006/main">
                    <a:graphicData uri="http://schemas.openxmlformats.org/drawingml/2006/picture">
                      <pic:pic xmlns:pic="http://schemas.openxmlformats.org/drawingml/2006/picture">
                        <pic:nvPicPr>
                          <pic:cNvPr id="17" name="Picture_8"/>
                          <pic:cNvPicPr/>
                        </pic:nvPicPr>
                        <pic:blipFill>
                          <a:blip r:embed="rId11"/>
                          <a:stretch>
                            <a:fillRect/>
                          </a:stretch>
                        </pic:blipFill>
                        <pic:spPr>
                          <a:xfrm>
                            <a:off x="0" y="0"/>
                            <a:ext cx="177800" cy="25273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227965</wp:posOffset>
                  </wp:positionH>
                  <wp:positionV relativeFrom="paragraph">
                    <wp:posOffset>0</wp:posOffset>
                  </wp:positionV>
                  <wp:extent cx="215265" cy="254000"/>
                  <wp:effectExtent l="0" t="0" r="0" b="0"/>
                  <wp:wrapNone/>
                  <wp:docPr id="21" name="Picture_2_SpCnt_2"/>
                  <wp:cNvGraphicFramePr/>
                  <a:graphic xmlns:a="http://schemas.openxmlformats.org/drawingml/2006/main">
                    <a:graphicData uri="http://schemas.openxmlformats.org/drawingml/2006/picture">
                      <pic:pic xmlns:pic="http://schemas.openxmlformats.org/drawingml/2006/picture">
                        <pic:nvPicPr>
                          <pic:cNvPr id="21" name="Picture_2_SpCnt_2"/>
                          <pic:cNvPicPr/>
                        </pic:nvPicPr>
                        <pic:blipFill>
                          <a:blip r:embed="rId12"/>
                          <a:stretch>
                            <a:fillRect/>
                          </a:stretch>
                        </pic:blipFill>
                        <pic:spPr>
                          <a:xfrm>
                            <a:off x="0" y="0"/>
                            <a:ext cx="215265" cy="25400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227965</wp:posOffset>
                  </wp:positionH>
                  <wp:positionV relativeFrom="paragraph">
                    <wp:posOffset>0</wp:posOffset>
                  </wp:positionV>
                  <wp:extent cx="215265" cy="273050"/>
                  <wp:effectExtent l="0" t="0" r="0" b="0"/>
                  <wp:wrapNone/>
                  <wp:docPr id="22" name="Picture_6_SpCnt_2"/>
                  <wp:cNvGraphicFramePr/>
                  <a:graphic xmlns:a="http://schemas.openxmlformats.org/drawingml/2006/main">
                    <a:graphicData uri="http://schemas.openxmlformats.org/drawingml/2006/picture">
                      <pic:pic xmlns:pic="http://schemas.openxmlformats.org/drawingml/2006/picture">
                        <pic:nvPicPr>
                          <pic:cNvPr id="22" name="Picture_6_SpCnt_2"/>
                          <pic:cNvPicPr/>
                        </pic:nvPicPr>
                        <pic:blipFill>
                          <a:blip r:embed="rId10"/>
                          <a:stretch>
                            <a:fillRect/>
                          </a:stretch>
                        </pic:blipFill>
                        <pic:spPr>
                          <a:xfrm>
                            <a:off x="0" y="0"/>
                            <a:ext cx="215265" cy="27305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227965</wp:posOffset>
                  </wp:positionH>
                  <wp:positionV relativeFrom="paragraph">
                    <wp:posOffset>0</wp:posOffset>
                  </wp:positionV>
                  <wp:extent cx="215265" cy="263525"/>
                  <wp:effectExtent l="0" t="0" r="0" b="0"/>
                  <wp:wrapNone/>
                  <wp:docPr id="23" name="Picture_19"/>
                  <wp:cNvGraphicFramePr/>
                  <a:graphic xmlns:a="http://schemas.openxmlformats.org/drawingml/2006/main">
                    <a:graphicData uri="http://schemas.openxmlformats.org/drawingml/2006/picture">
                      <pic:pic xmlns:pic="http://schemas.openxmlformats.org/drawingml/2006/picture">
                        <pic:nvPicPr>
                          <pic:cNvPr id="23" name="Picture_19"/>
                          <pic:cNvPicPr/>
                        </pic:nvPicPr>
                        <pic:blipFill>
                          <a:blip r:embed="rId13"/>
                          <a:stretch>
                            <a:fillRect/>
                          </a:stretch>
                        </pic:blipFill>
                        <pic:spPr>
                          <a:xfrm>
                            <a:off x="0" y="0"/>
                            <a:ext cx="215265" cy="26352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228600</wp:posOffset>
                  </wp:positionH>
                  <wp:positionV relativeFrom="paragraph">
                    <wp:posOffset>0</wp:posOffset>
                  </wp:positionV>
                  <wp:extent cx="215265" cy="264160"/>
                  <wp:effectExtent l="0" t="0" r="0" b="0"/>
                  <wp:wrapNone/>
                  <wp:docPr id="24" name="Picture_19_SpCnt_1"/>
                  <wp:cNvGraphicFramePr/>
                  <a:graphic xmlns:a="http://schemas.openxmlformats.org/drawingml/2006/main">
                    <a:graphicData uri="http://schemas.openxmlformats.org/drawingml/2006/picture">
                      <pic:pic xmlns:pic="http://schemas.openxmlformats.org/drawingml/2006/picture">
                        <pic:nvPicPr>
                          <pic:cNvPr id="24" name="Picture_19_SpCnt_1"/>
                          <pic:cNvPicPr/>
                        </pic:nvPicPr>
                        <pic:blipFill>
                          <a:blip r:embed="rId13"/>
                          <a:stretch>
                            <a:fillRect/>
                          </a:stretch>
                        </pic:blipFill>
                        <pic:spPr>
                          <a:xfrm>
                            <a:off x="0" y="0"/>
                            <a:ext cx="215265" cy="26416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228600</wp:posOffset>
                  </wp:positionH>
                  <wp:positionV relativeFrom="paragraph">
                    <wp:posOffset>0</wp:posOffset>
                  </wp:positionV>
                  <wp:extent cx="215265" cy="272415"/>
                  <wp:effectExtent l="0" t="0" r="0" b="0"/>
                  <wp:wrapNone/>
                  <wp:docPr id="25" name="Picture_6_SpCnt_3"/>
                  <wp:cNvGraphicFramePr/>
                  <a:graphic xmlns:a="http://schemas.openxmlformats.org/drawingml/2006/main">
                    <a:graphicData uri="http://schemas.openxmlformats.org/drawingml/2006/picture">
                      <pic:pic xmlns:pic="http://schemas.openxmlformats.org/drawingml/2006/picture">
                        <pic:nvPicPr>
                          <pic:cNvPr id="25" name="Picture_6_SpCnt_3"/>
                          <pic:cNvPicPr/>
                        </pic:nvPicPr>
                        <pic:blipFill>
                          <a:blip r:embed="rId10"/>
                          <a:stretch>
                            <a:fillRect/>
                          </a:stretch>
                        </pic:blipFill>
                        <pic:spPr>
                          <a:xfrm>
                            <a:off x="0" y="0"/>
                            <a:ext cx="215265" cy="27241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228600</wp:posOffset>
                  </wp:positionH>
                  <wp:positionV relativeFrom="paragraph">
                    <wp:posOffset>0</wp:posOffset>
                  </wp:positionV>
                  <wp:extent cx="215265" cy="252730"/>
                  <wp:effectExtent l="0" t="0" r="0" b="0"/>
                  <wp:wrapNone/>
                  <wp:docPr id="26" name="Picture_2_SpCnt_3"/>
                  <wp:cNvGraphicFramePr/>
                  <a:graphic xmlns:a="http://schemas.openxmlformats.org/drawingml/2006/main">
                    <a:graphicData uri="http://schemas.openxmlformats.org/drawingml/2006/picture">
                      <pic:pic xmlns:pic="http://schemas.openxmlformats.org/drawingml/2006/picture">
                        <pic:nvPicPr>
                          <pic:cNvPr id="26" name="Picture_2_SpCnt_3"/>
                          <pic:cNvPicPr/>
                        </pic:nvPicPr>
                        <pic:blipFill>
                          <a:blip r:embed="rId12"/>
                          <a:stretch>
                            <a:fillRect/>
                          </a:stretch>
                        </pic:blipFill>
                        <pic:spPr>
                          <a:xfrm>
                            <a:off x="0" y="0"/>
                            <a:ext cx="215265" cy="25273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广州市增城区石滩镇文体中心篮球馆</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广州市增城区石滩镇公共服务办</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138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广州市增城区石滩镇石顺大道石滩广场</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广州市增城区石滩镇城乡发展服务中心</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139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石滩镇中心小学应急避护场所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广州市增城区石滩镇红荔路楼贝新街</w:t>
            </w:r>
            <w:r>
              <w:rPr>
                <w:rFonts w:hint="eastAsia" w:ascii="Times New Roman" w:hAnsi="Times New Roman" w:eastAsiaTheme="minorEastAsia" w:cstheme="minorEastAsia"/>
                <w:i w:val="0"/>
                <w:iCs w:val="0"/>
                <w:color w:val="auto"/>
                <w:kern w:val="0"/>
                <w:sz w:val="21"/>
                <w:szCs w:val="21"/>
                <w:u w:val="none"/>
                <w:lang w:val="en-US" w:eastAsia="zh-CN" w:bidi="ar"/>
              </w:rPr>
              <w:t>18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广州市增城区石滩镇中心小学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140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港桥中学应急避护场所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广州市增城区石滩镇红荔中路</w:t>
            </w:r>
            <w:r>
              <w:rPr>
                <w:rFonts w:hint="eastAsia" w:ascii="Times New Roman" w:hAnsi="Times New Roman" w:eastAsiaTheme="minorEastAsia" w:cstheme="minorEastAsia"/>
                <w:i w:val="0"/>
                <w:iCs w:val="0"/>
                <w:color w:val="auto"/>
                <w:kern w:val="0"/>
                <w:sz w:val="21"/>
                <w:szCs w:val="21"/>
                <w:u w:val="none"/>
                <w:lang w:val="en-US" w:eastAsia="zh-CN" w:bidi="ar"/>
              </w:rPr>
              <w:t>49</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广州市增城区港侨中学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141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三江中学南校区应急避护场所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广州市增城区石滩镇三江沿江路</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广州市增城区三江中学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142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三江中学北校区应急避护场所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广州市增城区石滩镇三江教育路</w:t>
            </w:r>
            <w:r>
              <w:rPr>
                <w:rFonts w:hint="eastAsia" w:ascii="Times New Roman" w:hAnsi="Times New Roman" w:eastAsiaTheme="minorEastAsia" w:cstheme="minorEastAsia"/>
                <w:i w:val="0"/>
                <w:iCs w:val="0"/>
                <w:color w:val="auto"/>
                <w:kern w:val="0"/>
                <w:sz w:val="21"/>
                <w:szCs w:val="21"/>
                <w:u w:val="none"/>
                <w:lang w:val="en-US" w:eastAsia="zh-CN" w:bidi="ar"/>
              </w:rPr>
              <w:t>26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0" cy="254635"/>
                  <wp:effectExtent l="0" t="0" r="0" b="0"/>
                  <wp:wrapNone/>
                  <wp:docPr id="27" name="Picture_2_SpCnt_4"/>
                  <wp:cNvGraphicFramePr/>
                  <a:graphic xmlns:a="http://schemas.openxmlformats.org/drawingml/2006/main">
                    <a:graphicData uri="http://schemas.openxmlformats.org/drawingml/2006/picture">
                      <pic:pic xmlns:pic="http://schemas.openxmlformats.org/drawingml/2006/picture">
                        <pic:nvPicPr>
                          <pic:cNvPr id="27" name="Picture_2_SpCnt_4"/>
                          <pic:cNvPicPr/>
                        </pic:nvPicPr>
                        <pic:blipFill>
                          <a:blip r:embed="rId12"/>
                          <a:stretch>
                            <a:fillRect/>
                          </a:stretch>
                        </pic:blipFill>
                        <pic:spPr>
                          <a:xfrm>
                            <a:off x="0" y="0"/>
                            <a:ext cx="215900" cy="2546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15900" cy="272415"/>
                  <wp:effectExtent l="0" t="0" r="0" b="0"/>
                  <wp:wrapNone/>
                  <wp:docPr id="28" name="Picture_6_SpCnt_15"/>
                  <wp:cNvGraphicFramePr/>
                  <a:graphic xmlns:a="http://schemas.openxmlformats.org/drawingml/2006/main">
                    <a:graphicData uri="http://schemas.openxmlformats.org/drawingml/2006/picture">
                      <pic:pic xmlns:pic="http://schemas.openxmlformats.org/drawingml/2006/picture">
                        <pic:nvPicPr>
                          <pic:cNvPr id="28" name="Picture_6_SpCnt_15"/>
                          <pic:cNvPicPr/>
                        </pic:nvPicPr>
                        <pic:blipFill>
                          <a:blip r:embed="rId10"/>
                          <a:stretch>
                            <a:fillRect/>
                          </a:stretch>
                        </pic:blipFill>
                        <pic:spPr>
                          <a:xfrm>
                            <a:off x="0" y="0"/>
                            <a:ext cx="215900" cy="27241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广州市增城区三江中学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143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元美村应急避护场所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广州市增城区石滩镇元美村村委会饭堂村前路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广州市增城区石滩镇元美村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144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葵湖村应急避护场所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广州市增城区石滩镇葵湖村葵湖路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广州市增城区石滩镇葵湖村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145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凰埔村应急避护场所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广州市增城区石滩镇凰埔村环村路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广州市增城区石滩镇凰埔村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146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新山吓村应急避护场所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广州市增城区石滩镇新山吓村东石街</w:t>
            </w:r>
            <w:r>
              <w:rPr>
                <w:rFonts w:hint="eastAsia" w:ascii="Times New Roman" w:hAnsi="Times New Roman" w:eastAsiaTheme="minorEastAsia" w:cstheme="minorEastAsia"/>
                <w:i w:val="0"/>
                <w:iCs w:val="0"/>
                <w:color w:val="auto"/>
                <w:kern w:val="0"/>
                <w:sz w:val="21"/>
                <w:szCs w:val="21"/>
                <w:u w:val="none"/>
                <w:lang w:val="en-US" w:eastAsia="zh-CN" w:bidi="ar"/>
              </w:rPr>
              <w:t>31</w:t>
            </w:r>
            <w:r>
              <w:rPr>
                <w:rFonts w:hint="eastAsia" w:asciiTheme="minorEastAsia" w:hAnsiTheme="minorEastAsia" w:eastAsiaTheme="minorEastAsia" w:cstheme="minorEastAsia"/>
                <w:i w:val="0"/>
                <w:iCs w:val="0"/>
                <w:color w:val="auto"/>
                <w:kern w:val="0"/>
                <w:sz w:val="21"/>
                <w:szCs w:val="21"/>
                <w:u w:val="none"/>
                <w:lang w:val="en-US" w:eastAsia="zh-CN" w:bidi="ar"/>
              </w:rPr>
              <w:t>号之</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（新山吓礼堂）</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广州市增城区石滩镇新山吓村村民委员会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147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水龙村应急避护场所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广州市增城区石滩镇水龙村村前路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广州市增城区石滩镇水龙村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148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沙尾村应急避护场所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广州市增城区石滩镇沙尾村马石路</w:t>
            </w:r>
            <w:r>
              <w:rPr>
                <w:rFonts w:hint="eastAsia" w:ascii="Times New Roman" w:hAnsi="Times New Roman" w:eastAsiaTheme="minorEastAsia" w:cstheme="minorEastAsia"/>
                <w:i w:val="0"/>
                <w:iCs w:val="0"/>
                <w:color w:val="auto"/>
                <w:kern w:val="0"/>
                <w:sz w:val="21"/>
                <w:szCs w:val="21"/>
                <w:u w:val="none"/>
                <w:lang w:val="en-US" w:eastAsia="zh-CN" w:bidi="ar"/>
              </w:rPr>
              <w:t>52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广州市增城区石滩镇沙尾村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149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塘头村应急避护场所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广州市增城区石滩镇塘头村塘头路</w:t>
            </w:r>
            <w:r>
              <w:rPr>
                <w:rFonts w:hint="eastAsia" w:ascii="Times New Roman" w:hAnsi="Times New Roman" w:eastAsiaTheme="minorEastAsia" w:cstheme="minorEastAsia"/>
                <w:i w:val="0"/>
                <w:iCs w:val="0"/>
                <w:color w:val="auto"/>
                <w:kern w:val="0"/>
                <w:sz w:val="21"/>
                <w:szCs w:val="21"/>
                <w:u w:val="none"/>
                <w:lang w:val="en-US" w:eastAsia="zh-CN" w:bidi="ar"/>
              </w:rPr>
              <w:t>17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广州市增城区石滩镇塘头村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150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塘口村应急避护场所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广州市增城区塘口村东北大街</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广州市增城区石滩镇塘口村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1"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151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豪园社区应急避护场所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广州市增城区石滩镇新城大道碧桂园豪园生活会馆四楼</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广州市增城区石滩镇豪园社区居民委员会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4"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152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元岗村应急避护场所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广州市增城区元岗村村委路</w:t>
            </w:r>
            <w:r>
              <w:rPr>
                <w:rFonts w:hint="eastAsia" w:ascii="Times New Roman" w:hAnsi="Times New Roman" w:eastAsiaTheme="minorEastAsia" w:cstheme="minorEastAsia"/>
                <w:i w:val="0"/>
                <w:iCs w:val="0"/>
                <w:color w:val="auto"/>
                <w:kern w:val="0"/>
                <w:sz w:val="21"/>
                <w:szCs w:val="21"/>
                <w:u w:val="none"/>
                <w:lang w:val="en-US" w:eastAsia="zh-CN" w:bidi="ar"/>
              </w:rPr>
              <w:t>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广州市增城区石滩镇元岗村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153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高门村应急避护场所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广州市增城区石滩镇高门村街前路</w:t>
            </w:r>
            <w:r>
              <w:rPr>
                <w:rFonts w:hint="eastAsia" w:ascii="Times New Roman" w:hAnsi="Times New Roman" w:eastAsiaTheme="minorEastAsia" w:cstheme="minorEastAsia"/>
                <w:i w:val="0"/>
                <w:iCs w:val="0"/>
                <w:color w:val="auto"/>
                <w:kern w:val="0"/>
                <w:sz w:val="21"/>
                <w:szCs w:val="21"/>
                <w:u w:val="none"/>
                <w:lang w:val="en-US" w:eastAsia="zh-CN" w:bidi="ar"/>
              </w:rPr>
              <w:t>17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广州市增城区石滩镇高门村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154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金兰寺村应急避护场所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广州市增城区石滩镇金兰寺村凤山一巷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广州市增城区石滩镇金兰寺村村民委员会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155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旧山吓村应急避护场所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广州市增城区石滩镇旧山吓村山东路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广州市增城区石滩镇旧山吓村村民委员会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156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龙地村应急避护场所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广州市增城区石滩镇龙地村沿江东路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广州市增城区石滩镇龙地村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157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麻车村应急避护场所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广州市增城区石滩镇麻车村环村路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号党群服务中心</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广州市增城区石滩镇麻车村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158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南坣村应急避护场所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广州市增城区石滩镇南坣村石新路</w:t>
            </w:r>
            <w:r>
              <w:rPr>
                <w:rFonts w:hint="eastAsia" w:ascii="Times New Roman" w:hAnsi="Times New Roman" w:eastAsiaTheme="minorEastAsia" w:cstheme="minorEastAsia"/>
                <w:i w:val="0"/>
                <w:iCs w:val="0"/>
                <w:color w:val="auto"/>
                <w:kern w:val="0"/>
                <w:sz w:val="21"/>
                <w:szCs w:val="21"/>
                <w:u w:val="none"/>
                <w:lang w:val="en-US" w:eastAsia="zh-CN" w:bidi="ar"/>
              </w:rPr>
              <w:t>38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广州市增城区石滩镇南坣村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159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桥头村应急避护场所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广州市增城区石滩镇桥头村桥头路</w:t>
            </w:r>
            <w:r>
              <w:rPr>
                <w:rFonts w:hint="eastAsia" w:ascii="Times New Roman" w:hAnsi="Times New Roman" w:eastAsiaTheme="minorEastAsia" w:cstheme="minorEastAsia"/>
                <w:i w:val="0"/>
                <w:iCs w:val="0"/>
                <w:color w:val="auto"/>
                <w:kern w:val="0"/>
                <w:sz w:val="21"/>
                <w:szCs w:val="21"/>
                <w:u w:val="none"/>
                <w:lang w:val="en-US" w:eastAsia="zh-CN" w:bidi="ar"/>
              </w:rPr>
              <w:t>18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广州市增城区石滩镇桥头村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160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沙陇村应急避护场所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广州市增城区石滩镇沙陇村甘淡巷</w:t>
            </w:r>
            <w:r>
              <w:rPr>
                <w:rFonts w:hint="eastAsia" w:ascii="Times New Roman" w:hAnsi="Times New Roman" w:eastAsiaTheme="minorEastAsia" w:cstheme="minorEastAsia"/>
                <w:i w:val="0"/>
                <w:iCs w:val="0"/>
                <w:color w:val="auto"/>
                <w:kern w:val="0"/>
                <w:sz w:val="21"/>
                <w:szCs w:val="21"/>
                <w:u w:val="none"/>
                <w:lang w:val="en-US" w:eastAsia="zh-CN" w:bidi="ar"/>
              </w:rPr>
              <w:t>4</w:t>
            </w: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imes New Roman" w:hAnsi="Times New Roman" w:eastAsiaTheme="minorEastAsia" w:cstheme="minorEastAsia"/>
                <w:i w:val="0"/>
                <w:iCs w:val="0"/>
                <w:color w:val="auto"/>
                <w:kern w:val="0"/>
                <w:sz w:val="21"/>
                <w:szCs w:val="21"/>
                <w:u w:val="none"/>
                <w:lang w:val="en-US" w:eastAsia="zh-CN" w:bidi="ar"/>
              </w:rPr>
              <w:t>1</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广州市增城区石滩镇沙陇村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161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沙头村应急避护场所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广州市增城区石滩镇沙头村南中路口街</w:t>
            </w:r>
            <w:r>
              <w:rPr>
                <w:rFonts w:hint="eastAsia" w:ascii="Times New Roman" w:hAnsi="Times New Roman" w:eastAsiaTheme="minorEastAsia" w:cstheme="minorEastAsia"/>
                <w:i w:val="0"/>
                <w:iCs w:val="0"/>
                <w:color w:val="auto"/>
                <w:kern w:val="0"/>
                <w:sz w:val="21"/>
                <w:szCs w:val="21"/>
                <w:u w:val="none"/>
                <w:lang w:val="en-US" w:eastAsia="zh-CN" w:bidi="ar"/>
              </w:rPr>
              <w:t>17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广州市增城区石滩镇沙头村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162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上塘村应急避护场所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广州市增城区石滩镇上塘村陈屋大街</w:t>
            </w:r>
            <w:r>
              <w:rPr>
                <w:rFonts w:hint="eastAsia" w:ascii="Times New Roman" w:hAnsi="Times New Roman" w:eastAsiaTheme="minorEastAsia" w:cstheme="minorEastAsia"/>
                <w:i w:val="0"/>
                <w:iCs w:val="0"/>
                <w:color w:val="auto"/>
                <w:kern w:val="0"/>
                <w:sz w:val="21"/>
                <w:szCs w:val="21"/>
                <w:u w:val="none"/>
                <w:lang w:val="en-US" w:eastAsia="zh-CN" w:bidi="ar"/>
              </w:rPr>
              <w:t>10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广州市增城区石滩镇上塘村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163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石湖村应急避护场所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广州市增城区石滩镇石湖村石湖街</w:t>
            </w:r>
            <w:r>
              <w:rPr>
                <w:rFonts w:hint="eastAsia" w:ascii="Times New Roman" w:hAnsi="Times New Roman" w:eastAsiaTheme="minorEastAsia" w:cstheme="minorEastAsia"/>
                <w:i w:val="0"/>
                <w:iCs w:val="0"/>
                <w:color w:val="auto"/>
                <w:kern w:val="0"/>
                <w:sz w:val="21"/>
                <w:szCs w:val="21"/>
                <w:u w:val="none"/>
                <w:lang w:val="en-US" w:eastAsia="zh-CN" w:bidi="ar"/>
              </w:rPr>
              <w:t>35</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广州市增城区石滩镇石湖村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164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白江村应急避护场所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广州市增城区石滩镇白江村竹山路</w:t>
            </w:r>
            <w:r>
              <w:rPr>
                <w:rFonts w:hint="eastAsia" w:ascii="Times New Roman" w:hAnsi="Times New Roman" w:eastAsiaTheme="minorEastAsia" w:cstheme="minorEastAsia"/>
                <w:i w:val="0"/>
                <w:iCs w:val="0"/>
                <w:color w:val="auto"/>
                <w:kern w:val="0"/>
                <w:sz w:val="21"/>
                <w:szCs w:val="21"/>
                <w:u w:val="none"/>
                <w:lang w:val="en-US" w:eastAsia="zh-CN" w:bidi="ar"/>
              </w:rPr>
              <w:t>14</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广州市增城区石滩镇白江村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165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碧江村应急避护场所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广州市增城区石滩镇碧江村前进南路</w:t>
            </w:r>
            <w:r>
              <w:rPr>
                <w:rFonts w:hint="eastAsia" w:ascii="Times New Roman" w:hAnsi="Times New Roman" w:eastAsiaTheme="minorEastAsia" w:cstheme="minorEastAsia"/>
                <w:i w:val="0"/>
                <w:iCs w:val="0"/>
                <w:color w:val="auto"/>
                <w:kern w:val="0"/>
                <w:sz w:val="21"/>
                <w:szCs w:val="21"/>
                <w:u w:val="none"/>
                <w:lang w:val="en-US" w:eastAsia="zh-CN" w:bidi="ar"/>
              </w:rPr>
              <w:t>128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广州市增城区石滩镇碧江村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166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灯坣村应急避护场所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广州市增城区石滩镇灯坣村灯头文化娱乐中心</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广州市增城区石滩镇灯坣村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167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岗尾村应急避护场所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广州市增城区岗尾村南境塘仔路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广州市增城区石滩镇岗尾村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168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田桥村应急避护场所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广州市增城区石滩镇田桥村田桥大路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广州市增城区石滩镇田桥村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169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田心村应急避护场所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广州市增城区石滩镇田心村麻石中巷东一横</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广州市增城区石滩镇田心村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170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土江村应急避护场所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广州市增城区石滩镇土江村卜氏文化中心</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广州市增城区石滩镇土江村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171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溪头村应急避护场所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广州市增城区石滩镇溪头村路</w:t>
            </w:r>
            <w:r>
              <w:rPr>
                <w:rFonts w:hint="eastAsia" w:ascii="Times New Roman" w:hAnsi="Times New Roman" w:eastAsiaTheme="minorEastAsia" w:cstheme="minorEastAsia"/>
                <w:i w:val="0"/>
                <w:iCs w:val="0"/>
                <w:color w:val="auto"/>
                <w:kern w:val="0"/>
                <w:sz w:val="21"/>
                <w:szCs w:val="21"/>
                <w:u w:val="none"/>
                <w:lang w:val="en-US" w:eastAsia="zh-CN" w:bidi="ar"/>
              </w:rPr>
              <w:t>9</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广州市增城区石滩镇溪头村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172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下围村应急避护场所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广州市增城区石滩镇下围村江龙大道中</w:t>
            </w:r>
            <w:r>
              <w:rPr>
                <w:rFonts w:hint="eastAsia" w:ascii="Times New Roman" w:hAnsi="Times New Roman" w:eastAsiaTheme="minorEastAsia" w:cstheme="minorEastAsia"/>
                <w:i w:val="0"/>
                <w:iCs w:val="0"/>
                <w:color w:val="auto"/>
                <w:kern w:val="0"/>
                <w:sz w:val="21"/>
                <w:szCs w:val="21"/>
                <w:u w:val="none"/>
                <w:lang w:val="en-US" w:eastAsia="zh-CN" w:bidi="ar"/>
              </w:rPr>
              <w:t>107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广州市增城区石滩镇下围村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173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吓岗村应急避护场所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广州市增城区石滩镇吓岗村委会（龙腾路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号隔壁）</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广州市增城区石滩镇吓岗村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174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广州市增城区石滩镇仙塘村旧村委（自编门牌：仙塘二路</w:t>
            </w:r>
            <w:r>
              <w:rPr>
                <w:rFonts w:hint="eastAsia" w:ascii="Times New Roman" w:hAnsi="Times New Roman" w:eastAsiaTheme="minorEastAsia" w:cstheme="minorEastAsia"/>
                <w:i w:val="0"/>
                <w:iCs w:val="0"/>
                <w:color w:val="auto"/>
                <w:kern w:val="0"/>
                <w:sz w:val="21"/>
                <w:szCs w:val="21"/>
                <w:u w:val="none"/>
                <w:lang w:val="en-US" w:eastAsia="zh-CN" w:bidi="ar"/>
              </w:rPr>
              <w:t>16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广州市增城区石滩镇仙塘村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4"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175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元洲村应急避护场所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广州市增城区石滩镇元洲村亦园路</w:t>
            </w:r>
            <w:r>
              <w:rPr>
                <w:rFonts w:hint="eastAsia" w:ascii="Times New Roman" w:hAnsi="Times New Roman" w:eastAsiaTheme="minorEastAsia" w:cstheme="minorEastAsia"/>
                <w:i w:val="0"/>
                <w:iCs w:val="0"/>
                <w:color w:val="auto"/>
                <w:kern w:val="0"/>
                <w:sz w:val="21"/>
                <w:szCs w:val="21"/>
                <w:u w:val="none"/>
                <w:lang w:val="en-US" w:eastAsia="zh-CN" w:bidi="ar"/>
              </w:rPr>
              <w:t>98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广州市增城区石滩镇元洲村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176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岳埔村应急避护场所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广州市增城区石滩镇岳埔村洲水新村北街</w:t>
            </w:r>
            <w:r>
              <w:rPr>
                <w:rFonts w:hint="eastAsia" w:ascii="Times New Roman" w:hAnsi="Times New Roman" w:eastAsiaTheme="minorEastAsia" w:cstheme="minorEastAsia"/>
                <w:i w:val="0"/>
                <w:iCs w:val="0"/>
                <w:color w:val="auto"/>
                <w:kern w:val="0"/>
                <w:sz w:val="21"/>
                <w:szCs w:val="21"/>
                <w:u w:val="none"/>
                <w:lang w:val="en-US" w:eastAsia="zh-CN" w:bidi="ar"/>
              </w:rPr>
              <w:t>140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广州市增城区石滩镇岳埔村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177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郑田村应急避护场所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广州市增城区石滩镇郑田村环村中路一巷</w:t>
            </w:r>
            <w:r>
              <w:rPr>
                <w:rFonts w:hint="eastAsia" w:ascii="Times New Roman" w:hAnsi="Times New Roman" w:eastAsiaTheme="minorEastAsia" w:cstheme="minorEastAsia"/>
                <w:i w:val="0"/>
                <w:iCs w:val="0"/>
                <w:color w:val="auto"/>
                <w:kern w:val="0"/>
                <w:sz w:val="21"/>
                <w:szCs w:val="21"/>
                <w:u w:val="none"/>
                <w:lang w:val="en-US" w:eastAsia="zh-CN" w:bidi="ar"/>
              </w:rPr>
              <w:t>30</w:t>
            </w:r>
            <w:r>
              <w:rPr>
                <w:rFonts w:hint="eastAsia" w:asciiTheme="minorEastAsia" w:hAnsiTheme="minorEastAsia" w:eastAsiaTheme="minorEastAsia" w:cstheme="minorEastAsia"/>
                <w:i w:val="0"/>
                <w:iCs w:val="0"/>
                <w:color w:val="auto"/>
                <w:kern w:val="0"/>
                <w:sz w:val="21"/>
                <w:szCs w:val="21"/>
                <w:u w:val="none"/>
                <w:lang w:val="en-US" w:eastAsia="zh-CN" w:bidi="ar"/>
              </w:rPr>
              <w:t>号对面</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广州市增城区石滩镇郑田村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1"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178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石厦村应急避护场所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广州市增城区石滩镇石厦村下南饭堂</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广州市增城区石滩镇石厦村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1"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179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广州市增城区石滩镇石头村民委员会（何屋新宅路</w:t>
            </w:r>
            <w:r>
              <w:rPr>
                <w:rFonts w:hint="eastAsia" w:ascii="Times New Roman" w:hAnsi="Times New Roman" w:eastAsiaTheme="minorEastAsia" w:cstheme="minorEastAsia"/>
                <w:i w:val="0"/>
                <w:iCs w:val="0"/>
                <w:color w:val="auto"/>
                <w:kern w:val="0"/>
                <w:sz w:val="21"/>
                <w:szCs w:val="21"/>
                <w:u w:val="none"/>
                <w:lang w:val="en-US" w:eastAsia="zh-CN" w:bidi="ar"/>
              </w:rPr>
              <w:t>8</w:t>
            </w:r>
            <w:r>
              <w:rPr>
                <w:rFonts w:hint="eastAsia" w:asciiTheme="minorEastAsia" w:hAnsiTheme="minorEastAsia" w:eastAsiaTheme="minorEastAsia" w:cstheme="minorEastAsia"/>
                <w:i w:val="0"/>
                <w:iCs w:val="0"/>
                <w:color w:val="auto"/>
                <w:kern w:val="0"/>
                <w:sz w:val="21"/>
                <w:szCs w:val="21"/>
                <w:u w:val="none"/>
                <w:lang w:val="en-US" w:eastAsia="zh-CN" w:bidi="ar"/>
              </w:rPr>
              <w:t>号隔壁）</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广州市增城区石滩镇石头村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180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街心村应急避护场所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广州市增城区石滩镇街心村前进路</w:t>
            </w:r>
            <w:r>
              <w:rPr>
                <w:rFonts w:hint="eastAsia" w:ascii="Times New Roman" w:hAnsi="Times New Roman" w:eastAsiaTheme="minorEastAsia" w:cstheme="minorEastAsia"/>
                <w:i w:val="0"/>
                <w:iCs w:val="0"/>
                <w:color w:val="auto"/>
                <w:kern w:val="0"/>
                <w:sz w:val="21"/>
                <w:szCs w:val="21"/>
                <w:u w:val="none"/>
                <w:lang w:val="en-US" w:eastAsia="zh-CN" w:bidi="ar"/>
              </w:rPr>
              <w:t>48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广州市增城区石滩镇街心村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181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岗贝村应急避护场所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广州市增城区石滩镇岗贝村同福路</w:t>
            </w:r>
            <w:r>
              <w:rPr>
                <w:rFonts w:hint="eastAsia" w:ascii="Times New Roman" w:hAnsi="Times New Roman" w:eastAsiaTheme="minorEastAsia" w:cstheme="minorEastAsia"/>
                <w:i w:val="0"/>
                <w:iCs w:val="0"/>
                <w:color w:val="auto"/>
                <w:kern w:val="0"/>
                <w:sz w:val="21"/>
                <w:szCs w:val="21"/>
                <w:u w:val="none"/>
                <w:lang w:val="en-US" w:eastAsia="zh-CN" w:bidi="ar"/>
              </w:rPr>
              <w:t>4</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广州市增城区石滩镇岗贝村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182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谢屋村应急避护场所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广州市增城区石滩镇谢屋村泉湖中路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广州市增城区石滩镇谢屋村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183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广州市增城区石滩镇增塘路</w:t>
            </w:r>
            <w:r>
              <w:rPr>
                <w:rFonts w:hint="eastAsia" w:ascii="Times New Roman" w:hAnsi="Times New Roman" w:eastAsiaTheme="minorEastAsia" w:cstheme="minorEastAsia"/>
                <w:i w:val="0"/>
                <w:iCs w:val="0"/>
                <w:color w:val="auto"/>
                <w:kern w:val="0"/>
                <w:sz w:val="21"/>
                <w:szCs w:val="21"/>
                <w:u w:val="none"/>
                <w:lang w:val="en-US" w:eastAsia="zh-CN" w:bidi="ar"/>
              </w:rPr>
              <w:t>33</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广州市增城区石滩镇增塘村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184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顾屋村应急避护场所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广州市增城区石滩镇顾屋村向南路</w:t>
            </w:r>
            <w:r>
              <w:rPr>
                <w:rFonts w:hint="eastAsia" w:ascii="Times New Roman" w:hAnsi="Times New Roman" w:eastAsiaTheme="minorEastAsia" w:cstheme="minorEastAsia"/>
                <w:i w:val="0"/>
                <w:iCs w:val="0"/>
                <w:color w:val="auto"/>
                <w:kern w:val="0"/>
                <w:sz w:val="21"/>
                <w:szCs w:val="21"/>
                <w:u w:val="none"/>
                <w:lang w:val="en-US" w:eastAsia="zh-CN" w:bidi="ar"/>
              </w:rPr>
              <w:t>88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广州市增城区石滩镇顾屋村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185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横岭村应急避护场所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广州市增城区石滩镇横岭村文化路</w:t>
            </w:r>
            <w:r>
              <w:rPr>
                <w:rFonts w:hint="eastAsia" w:ascii="Times New Roman" w:hAnsi="Times New Roman" w:eastAsiaTheme="minorEastAsia" w:cstheme="minorEastAsia"/>
                <w:i w:val="0"/>
                <w:iCs w:val="0"/>
                <w:color w:val="auto"/>
                <w:kern w:val="0"/>
                <w:sz w:val="21"/>
                <w:szCs w:val="21"/>
                <w:u w:val="none"/>
                <w:lang w:val="en-US" w:eastAsia="zh-CN" w:bidi="ar"/>
              </w:rPr>
              <w:t>24</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广州市增城区石滩镇横岭村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186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红荔社区应急避护场所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广州市增城区石滩镇行政文体活动中心</w:t>
            </w:r>
            <w:r>
              <w:rPr>
                <w:rFonts w:hint="eastAsia" w:ascii="Times New Roman" w:hAnsi="Times New Roman" w:eastAsiaTheme="minorEastAsia" w:cstheme="minorEastAsia"/>
                <w:i w:val="0"/>
                <w:iCs w:val="0"/>
                <w:color w:val="auto"/>
                <w:kern w:val="0"/>
                <w:sz w:val="21"/>
                <w:szCs w:val="21"/>
                <w:u w:val="none"/>
                <w:lang w:val="en-US" w:eastAsia="zh-CN" w:bidi="ar"/>
              </w:rPr>
              <w:t>8</w:t>
            </w:r>
            <w:r>
              <w:rPr>
                <w:rFonts w:hint="eastAsia" w:asciiTheme="minorEastAsia" w:hAnsiTheme="minorEastAsia" w:eastAsiaTheme="minorEastAsia" w:cstheme="minorEastAsia"/>
                <w:i w:val="0"/>
                <w:iCs w:val="0"/>
                <w:color w:val="auto"/>
                <w:kern w:val="0"/>
                <w:sz w:val="21"/>
                <w:szCs w:val="21"/>
                <w:u w:val="none"/>
                <w:lang w:val="en-US" w:eastAsia="zh-CN" w:bidi="ar"/>
              </w:rPr>
              <w:t>号楼</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广州市增城区石滩镇红荔社区居民委员会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187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前进社区应急避护场所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广州市增城区石滩镇前进路</w:t>
            </w:r>
            <w:r>
              <w:rPr>
                <w:rFonts w:hint="eastAsia" w:ascii="Times New Roman" w:hAnsi="Times New Roman" w:eastAsiaTheme="minorEastAsia" w:cstheme="minorEastAsia"/>
                <w:i w:val="0"/>
                <w:iCs w:val="0"/>
                <w:color w:val="auto"/>
                <w:kern w:val="0"/>
                <w:sz w:val="21"/>
                <w:szCs w:val="21"/>
                <w:u w:val="none"/>
                <w:lang w:val="en-US" w:eastAsia="zh-CN" w:bidi="ar"/>
              </w:rPr>
              <w:t>50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广州市增城区石滩镇前进社区居民委员会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188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三江社区应急避护场所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广州市增城区石滩镇三江中山中路</w:t>
            </w:r>
            <w:r>
              <w:rPr>
                <w:rFonts w:hint="eastAsia" w:ascii="Times New Roman" w:hAnsi="Times New Roman" w:eastAsiaTheme="minorEastAsia" w:cstheme="minorEastAsia"/>
                <w:i w:val="0"/>
                <w:iCs w:val="0"/>
                <w:color w:val="auto"/>
                <w:kern w:val="0"/>
                <w:sz w:val="21"/>
                <w:szCs w:val="21"/>
                <w:u w:val="none"/>
                <w:lang w:val="en-US" w:eastAsia="zh-CN" w:bidi="ar"/>
              </w:rPr>
              <w:t>19</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广州市增城区石滩镇三江社区居民委员会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189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沙庄社区应急避护场所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广州市增城区石滩镇沙庄府前路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广州市增城区石滩镇沙庄社区居民委员会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190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豪园第二社区应急避护场所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广州市增城区石滩镇碧桂园豪园水岸花园水新一街</w:t>
            </w:r>
            <w:r>
              <w:rPr>
                <w:rFonts w:hint="eastAsia" w:ascii="Times New Roman" w:hAnsi="Times New Roman" w:eastAsiaTheme="minorEastAsia" w:cstheme="minorEastAsia"/>
                <w:i w:val="0"/>
                <w:iCs w:val="0"/>
                <w:color w:val="auto"/>
                <w:kern w:val="0"/>
                <w:sz w:val="21"/>
                <w:szCs w:val="21"/>
                <w:u w:val="none"/>
                <w:lang w:val="en-US" w:eastAsia="zh-CN" w:bidi="ar"/>
              </w:rPr>
              <w:t>4</w:t>
            </w:r>
            <w:r>
              <w:rPr>
                <w:rFonts w:hint="eastAsia" w:asciiTheme="minorEastAsia" w:hAnsiTheme="minorEastAsia" w:eastAsiaTheme="minorEastAsia" w:cstheme="minorEastAsia"/>
                <w:i w:val="0"/>
                <w:iCs w:val="0"/>
                <w:color w:val="auto"/>
                <w:kern w:val="0"/>
                <w:sz w:val="21"/>
                <w:szCs w:val="21"/>
                <w:u w:val="none"/>
                <w:lang w:val="en-US" w:eastAsia="zh-CN" w:bidi="ar"/>
              </w:rPr>
              <w:t>号</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楼</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广州市增城区石滩镇豪园第二社区居民委员会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191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马修村应急避护场所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广州市增城区石滩镇原马修小学</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广州市增城区石滩镇马修村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192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田边村应急避护场所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广州市增城区石滩镇田边村街前路</w:t>
            </w:r>
            <w:r>
              <w:rPr>
                <w:rFonts w:hint="eastAsia" w:ascii="Times New Roman" w:hAnsi="Times New Roman" w:eastAsiaTheme="minorEastAsia" w:cstheme="minorEastAsia"/>
                <w:i w:val="0"/>
                <w:iCs w:val="0"/>
                <w:color w:val="auto"/>
                <w:kern w:val="0"/>
                <w:sz w:val="21"/>
                <w:szCs w:val="21"/>
                <w:u w:val="none"/>
                <w:lang w:val="en-US" w:eastAsia="zh-CN" w:bidi="ar"/>
              </w:rPr>
              <w:t>38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广州市增城区石滩镇田边村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193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石滩镇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绿湖社区应急避护场所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广州市增城区石滩镇绿湖社区绿湖中路</w:t>
            </w:r>
            <w:r>
              <w:rPr>
                <w:rFonts w:hint="eastAsia" w:ascii="Times New Roman" w:hAnsi="Times New Roman" w:eastAsiaTheme="minorEastAsia" w:cstheme="minorEastAsia"/>
                <w:i w:val="0"/>
                <w:iCs w:val="0"/>
                <w:color w:val="auto"/>
                <w:kern w:val="0"/>
                <w:sz w:val="21"/>
                <w:szCs w:val="21"/>
                <w:u w:val="none"/>
                <w:lang w:val="en-US" w:eastAsia="zh-CN" w:bidi="ar"/>
              </w:rPr>
              <w:t>55</w:t>
            </w:r>
            <w:r>
              <w:rPr>
                <w:rFonts w:hint="eastAsia" w:asciiTheme="minorEastAsia" w:hAnsiTheme="minorEastAsia" w:eastAsiaTheme="minorEastAsia" w:cstheme="minorEastAsia"/>
                <w:i w:val="0"/>
                <w:iCs w:val="0"/>
                <w:color w:val="auto"/>
                <w:kern w:val="0"/>
                <w:sz w:val="21"/>
                <w:szCs w:val="21"/>
                <w:u w:val="none"/>
                <w:lang w:val="en-US" w:eastAsia="zh-CN" w:bidi="ar"/>
              </w:rPr>
              <w:t>号（运动公园）</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广州市增城区石滩镇绿湖社区居民委员会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广州市增城区石滩镇人民政府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194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仙村中学应急避护场所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广州市增城区仙村镇仙村大道</w:t>
            </w:r>
            <w:r>
              <w:rPr>
                <w:rFonts w:hint="eastAsia" w:ascii="Times New Roman" w:hAnsi="Times New Roman" w:eastAsiaTheme="minorEastAsia" w:cstheme="minorEastAsia"/>
                <w:i w:val="0"/>
                <w:iCs w:val="0"/>
                <w:color w:val="auto"/>
                <w:kern w:val="0"/>
                <w:sz w:val="21"/>
                <w:szCs w:val="21"/>
                <w:u w:val="none"/>
                <w:lang w:val="en-US" w:eastAsia="zh-CN" w:bidi="ar"/>
              </w:rPr>
              <w:t>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广州市增城区仙村中学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195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广州市增城区仙村镇运河西路</w:t>
            </w:r>
            <w:r>
              <w:rPr>
                <w:rFonts w:hint="eastAsia" w:ascii="Times New Roman" w:hAnsi="Times New Roman" w:eastAsiaTheme="minorEastAsia" w:cstheme="minorEastAsia"/>
                <w:i w:val="0"/>
                <w:iCs w:val="0"/>
                <w:color w:val="auto"/>
                <w:kern w:val="0"/>
                <w:sz w:val="21"/>
                <w:szCs w:val="21"/>
                <w:u w:val="none"/>
                <w:lang w:val="en-US" w:eastAsia="zh-CN" w:bidi="ar"/>
              </w:rPr>
              <w:t>65</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196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沙头村小学应急避护场所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广州市增城区仙村镇沙头村小学</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广州市增城区仙村镇沙头村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w:t>
            </w: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197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蓝山村应急避护场所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广州市增城区仙村镇蓝山村小学路</w:t>
            </w:r>
            <w:r>
              <w:rPr>
                <w:rFonts w:hint="eastAsia" w:ascii="Times New Roman" w:hAnsi="Times New Roman" w:eastAsiaTheme="minorEastAsia" w:cstheme="minorEastAsia"/>
                <w:i w:val="0"/>
                <w:iCs w:val="0"/>
                <w:color w:val="auto"/>
                <w:kern w:val="0"/>
                <w:sz w:val="21"/>
                <w:szCs w:val="21"/>
                <w:u w:val="none"/>
                <w:lang w:val="en-US" w:eastAsia="zh-CN" w:bidi="ar"/>
              </w:rPr>
              <w:t>36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广州市增城区仙村镇蓝山村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198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沙滘村应急避护场所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广州市增城区仙村镇沙滘村兰新街</w:t>
            </w:r>
            <w:r>
              <w:rPr>
                <w:rFonts w:hint="eastAsia" w:ascii="Times New Roman" w:hAnsi="Times New Roman" w:eastAsiaTheme="minorEastAsia" w:cstheme="minorEastAsia"/>
                <w:i w:val="0"/>
                <w:iCs w:val="0"/>
                <w:color w:val="auto"/>
                <w:kern w:val="0"/>
                <w:sz w:val="21"/>
                <w:szCs w:val="21"/>
                <w:u w:val="none"/>
                <w:lang w:val="en-US" w:eastAsia="zh-CN" w:bidi="ar"/>
              </w:rPr>
              <w:t>9</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广州市增城区仙村镇沙滘村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199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沙角村应急避护场所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广州市增城区仙村镇沙角村北街一巷</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广州市增城区仙村镇沙角村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200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潮山村应急避护场所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广州市增城区仙村镇潮山村委会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广州市增城区仙村镇潮山村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201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十字滘村应急避护场所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广州市增城区仙村镇十字滘村小学</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广州市增城区仙村镇十字滘村村民委员会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202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碧潭村应急避护场所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广州市增城区仙村镇原碧潭村小学</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广州市增城区仙村镇碧潭村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203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岳湖村应急避护场所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广州市增城区仙村镇岳湖村上围学校路</w:t>
            </w:r>
            <w:r>
              <w:rPr>
                <w:rFonts w:hint="eastAsia" w:ascii="Times New Roman" w:hAnsi="Times New Roman" w:eastAsiaTheme="minorEastAsia" w:cstheme="minorEastAsia"/>
                <w:i w:val="0"/>
                <w:iCs w:val="0"/>
                <w:color w:val="auto"/>
                <w:kern w:val="0"/>
                <w:sz w:val="21"/>
                <w:szCs w:val="21"/>
                <w:u w:val="none"/>
                <w:lang w:val="en-US" w:eastAsia="zh-CN" w:bidi="ar"/>
              </w:rPr>
              <w:t>30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广州市增城区仙村镇岳湖村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204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巷头村应急避护场所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广州市增城区仙村镇巷头村委会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广州市增城区仙村镇巷头村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205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竹园村应急避护场所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广州市增城区仙村镇竹园村委会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广州市增城区仙村镇竹园村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206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深涌村应急避护场所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广州市增城区仙村镇深涌村会民路</w:t>
            </w:r>
            <w:r>
              <w:rPr>
                <w:rFonts w:hint="eastAsia" w:ascii="Times New Roman" w:hAnsi="Times New Roman" w:eastAsiaTheme="minorEastAsia" w:cstheme="minorEastAsia"/>
                <w:i w:val="0"/>
                <w:iCs w:val="0"/>
                <w:color w:val="auto"/>
                <w:kern w:val="0"/>
                <w:sz w:val="21"/>
                <w:szCs w:val="21"/>
                <w:u w:val="none"/>
                <w:lang w:val="en-US" w:eastAsia="zh-CN" w:bidi="ar"/>
              </w:rPr>
              <w:t>3</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广州市增城区仙村镇深涌村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207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沙头村应急避护场所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广州市增城区仙村镇沙头村委会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广州市增城区仙村镇沙头村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208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下境村应急避护场所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广州市增城区仙村镇下境村塘面大街</w:t>
            </w:r>
            <w:r>
              <w:rPr>
                <w:rFonts w:hint="eastAsia" w:ascii="Times New Roman" w:hAnsi="Times New Roman" w:eastAsiaTheme="minorEastAsia" w:cstheme="minorEastAsia"/>
                <w:i w:val="0"/>
                <w:iCs w:val="0"/>
                <w:color w:val="auto"/>
                <w:kern w:val="0"/>
                <w:sz w:val="21"/>
                <w:szCs w:val="21"/>
                <w:u w:val="none"/>
                <w:lang w:val="en-US" w:eastAsia="zh-CN" w:bidi="ar"/>
              </w:rPr>
              <w:t>20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广州市增城区仙村镇下境村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209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第二社区应急避护场所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广州市增城区仙村镇沿江北路</w:t>
            </w:r>
            <w:r>
              <w:rPr>
                <w:rFonts w:hint="eastAsia" w:ascii="Times New Roman" w:hAnsi="Times New Roman" w:eastAsiaTheme="minorEastAsia" w:cstheme="minorEastAsia"/>
                <w:i w:val="0"/>
                <w:iCs w:val="0"/>
                <w:color w:val="auto"/>
                <w:kern w:val="0"/>
                <w:sz w:val="21"/>
                <w:szCs w:val="21"/>
                <w:u w:val="none"/>
                <w:lang w:val="en-US" w:eastAsia="zh-CN" w:bidi="ar"/>
              </w:rPr>
              <w:t>12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广州市增城区仙村镇第二社区居民委员会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210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下基村应急避护场所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广州市增城区仙村镇下基村文善街</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广州市增城区仙村镇下基村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211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第一社区应急避护场所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广州市增城区仙村镇仙村一路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广州市增城区仙村镇第一社区居民委员会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212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仙村镇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西南村应急避护场所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广州市增城区仙村镇西南村西方街</w:t>
            </w:r>
            <w:r>
              <w:rPr>
                <w:rFonts w:hint="eastAsia" w:ascii="Times New Roman" w:hAnsi="Times New Roman" w:eastAsiaTheme="minorEastAsia" w:cstheme="minorEastAsia"/>
                <w:i w:val="0"/>
                <w:iCs w:val="0"/>
                <w:color w:val="auto"/>
                <w:kern w:val="0"/>
                <w:sz w:val="21"/>
                <w:szCs w:val="21"/>
                <w:u w:val="none"/>
                <w:lang w:val="en-US" w:eastAsia="zh-CN" w:bidi="ar"/>
              </w:rPr>
              <w:t>10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广州市增城区仙村镇西南村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广州市增城区仙村镇人民政府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213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增城体育馆应急避护场所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广州市增城区增江街教育路</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广州市增城区文广旅游局</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广州市增城区文广旅游局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214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广州市增城区增江街塔山大道</w:t>
            </w:r>
            <w:r>
              <w:rPr>
                <w:rFonts w:hint="eastAsia" w:ascii="Times New Roman" w:hAnsi="Times New Roman" w:eastAsiaTheme="minorEastAsia" w:cstheme="minorEastAsia"/>
                <w:i w:val="0"/>
                <w:iCs w:val="0"/>
                <w:color w:val="auto"/>
                <w:kern w:val="0"/>
                <w:sz w:val="21"/>
                <w:szCs w:val="21"/>
                <w:u w:val="none"/>
                <w:lang w:val="en-US" w:eastAsia="zh-CN" w:bidi="ar"/>
              </w:rPr>
              <w:t>183</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广州市增城区增江街增江小学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215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增江街中心小学应急避护场所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广州市增城区增江街增江大道南</w:t>
            </w:r>
            <w:r>
              <w:rPr>
                <w:rFonts w:hint="eastAsia" w:ascii="Times New Roman" w:hAnsi="Times New Roman" w:eastAsiaTheme="minorEastAsia" w:cstheme="minorEastAsia"/>
                <w:i w:val="0"/>
                <w:iCs w:val="0"/>
                <w:color w:val="auto"/>
                <w:kern w:val="0"/>
                <w:sz w:val="21"/>
                <w:szCs w:val="21"/>
                <w:u w:val="none"/>
                <w:lang w:val="en-US" w:eastAsia="zh-CN" w:bidi="ar"/>
              </w:rPr>
              <w:t>200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广州市增城区增江街中心小学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216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增城区救助管理站应急避护场所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广州市增城区增江街东桥东路</w:t>
            </w:r>
            <w:r>
              <w:rPr>
                <w:rFonts w:hint="eastAsia" w:ascii="Times New Roman" w:hAnsi="Times New Roman" w:eastAsiaTheme="minorEastAsia" w:cstheme="minorEastAsia"/>
                <w:i w:val="0"/>
                <w:iCs w:val="0"/>
                <w:color w:val="auto"/>
                <w:kern w:val="0"/>
                <w:sz w:val="21"/>
                <w:szCs w:val="21"/>
                <w:u w:val="none"/>
                <w:lang w:val="en-US" w:eastAsia="zh-CN" w:bidi="ar"/>
              </w:rPr>
              <w:t>67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广州市增城区民政局</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217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东湖社区应急避护场所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广州市增城区增江街东桥东路</w:t>
            </w:r>
            <w:r>
              <w:rPr>
                <w:rFonts w:hint="eastAsia" w:ascii="Times New Roman" w:hAnsi="Times New Roman" w:eastAsiaTheme="minorEastAsia" w:cstheme="minorEastAsia"/>
                <w:i w:val="0"/>
                <w:iCs w:val="0"/>
                <w:color w:val="auto"/>
                <w:kern w:val="0"/>
                <w:sz w:val="21"/>
                <w:szCs w:val="21"/>
                <w:u w:val="none"/>
                <w:lang w:val="en-US" w:eastAsia="zh-CN" w:bidi="ar"/>
              </w:rPr>
              <w:t>37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广州市增城区增江街东湖社区居民委员会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增江街应急指挥中心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218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增江街第二小学应急避护场所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广州市增城区增江街东山路</w:t>
            </w:r>
            <w:r>
              <w:rPr>
                <w:rFonts w:hint="eastAsia" w:ascii="Times New Roman" w:hAnsi="Times New Roman" w:eastAsiaTheme="minorEastAsia" w:cstheme="minorEastAsia"/>
                <w:i w:val="0"/>
                <w:iCs w:val="0"/>
                <w:color w:val="auto"/>
                <w:kern w:val="0"/>
                <w:sz w:val="21"/>
                <w:szCs w:val="21"/>
                <w:u w:val="none"/>
                <w:lang w:val="en-US" w:eastAsia="zh-CN" w:bidi="ar"/>
              </w:rPr>
              <w:t>18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广州市增城区增江街第二小学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219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大埔围村应急避护场所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广州市增城区增江街大埔路与致富路交叉路口往东北约</w:t>
            </w:r>
            <w:r>
              <w:rPr>
                <w:rFonts w:hint="eastAsia" w:ascii="Times New Roman" w:hAnsi="Times New Roman" w:eastAsiaTheme="minorEastAsia" w:cstheme="minorEastAsia"/>
                <w:i w:val="0"/>
                <w:iCs w:val="0"/>
                <w:color w:val="auto"/>
                <w:kern w:val="0"/>
                <w:sz w:val="21"/>
                <w:szCs w:val="21"/>
                <w:u w:val="none"/>
                <w:lang w:val="en-US" w:eastAsia="zh-CN" w:bidi="ar"/>
              </w:rPr>
              <w:t>80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广州市增城区增江街大埔围村村民委员会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增江街应急指挥中心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220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光辉村应急避护场所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广州市增城区增江街增正路</w:t>
            </w:r>
            <w:r>
              <w:rPr>
                <w:rFonts w:hint="eastAsia" w:ascii="Times New Roman" w:hAnsi="Times New Roman" w:eastAsiaTheme="minorEastAsia" w:cstheme="minorEastAsia"/>
                <w:i w:val="0"/>
                <w:iCs w:val="0"/>
                <w:color w:val="auto"/>
                <w:kern w:val="0"/>
                <w:sz w:val="21"/>
                <w:szCs w:val="21"/>
                <w:u w:val="none"/>
                <w:lang w:val="en-US" w:eastAsia="zh-CN" w:bidi="ar"/>
              </w:rPr>
              <w:t>108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广州市增城区增江街光辉村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增江街应急指挥中心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221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四丰小学应急避护场所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广州市增城区增江街四丰村广汕公路</w:t>
            </w:r>
            <w:r>
              <w:rPr>
                <w:rFonts w:hint="eastAsia" w:ascii="Times New Roman" w:hAnsi="Times New Roman" w:eastAsiaTheme="minorEastAsia" w:cstheme="minorEastAsia"/>
                <w:i w:val="0"/>
                <w:iCs w:val="0"/>
                <w:color w:val="auto"/>
                <w:kern w:val="0"/>
                <w:sz w:val="21"/>
                <w:szCs w:val="21"/>
                <w:u w:val="none"/>
                <w:lang w:val="en-US" w:eastAsia="zh-CN" w:bidi="ar"/>
              </w:rPr>
              <w:t>55</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广州市增城区增江街四丰小学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222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白湖小学应急避护场所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广州市增城区增江街白湖村湖溪路</w:t>
            </w:r>
            <w:r>
              <w:rPr>
                <w:rFonts w:hint="eastAsia" w:ascii="Times New Roman" w:hAnsi="Times New Roman" w:eastAsiaTheme="minorEastAsia" w:cstheme="minorEastAsia"/>
                <w:i w:val="0"/>
                <w:iCs w:val="0"/>
                <w:color w:val="auto"/>
                <w:kern w:val="0"/>
                <w:sz w:val="21"/>
                <w:szCs w:val="21"/>
                <w:u w:val="none"/>
                <w:lang w:val="en-US" w:eastAsia="zh-CN" w:bidi="ar"/>
              </w:rPr>
              <w:t>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广州市增城区增江街白湖小学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223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陆村村应急避护场所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广州市增城区陆村中路与增江街南路交叉路口往西约</w:t>
            </w:r>
            <w:r>
              <w:rPr>
                <w:rFonts w:hint="eastAsia" w:ascii="Times New Roman" w:hAnsi="Times New Roman" w:eastAsiaTheme="minorEastAsia" w:cstheme="minorEastAsia"/>
                <w:i w:val="0"/>
                <w:iCs w:val="0"/>
                <w:color w:val="auto"/>
                <w:kern w:val="0"/>
                <w:sz w:val="21"/>
                <w:szCs w:val="21"/>
                <w:u w:val="none"/>
                <w:lang w:val="en-US" w:eastAsia="zh-CN" w:bidi="ar"/>
              </w:rPr>
              <w:t>120</w:t>
            </w:r>
            <w:r>
              <w:rPr>
                <w:rFonts w:hint="eastAsia" w:asciiTheme="minorEastAsia" w:hAnsiTheme="minorEastAsia" w:eastAsiaTheme="minorEastAsia" w:cstheme="minorEastAsia"/>
                <w:i w:val="0"/>
                <w:iCs w:val="0"/>
                <w:color w:val="auto"/>
                <w:kern w:val="0"/>
                <w:sz w:val="21"/>
                <w:szCs w:val="21"/>
                <w:u w:val="none"/>
                <w:lang w:val="en-US" w:eastAsia="zh-CN" w:bidi="ar"/>
              </w:rPr>
              <w:t>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广州市增城区增江街陆村村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增江街应急指挥中心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224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初溪小学应急避护场所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广州市增城区增江街初溪村东岳路</w:t>
            </w:r>
            <w:r>
              <w:rPr>
                <w:rFonts w:hint="eastAsia" w:ascii="Times New Roman" w:hAnsi="Times New Roman" w:eastAsiaTheme="minorEastAsia" w:cstheme="minorEastAsia"/>
                <w:i w:val="0"/>
                <w:iCs w:val="0"/>
                <w:color w:val="auto"/>
                <w:kern w:val="0"/>
                <w:sz w:val="21"/>
                <w:szCs w:val="21"/>
                <w:u w:val="none"/>
                <w:lang w:val="en-US" w:eastAsia="zh-CN" w:bidi="ar"/>
              </w:rPr>
              <w:t>616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广州市增城区增江街初溪小学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225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联益村应急避护场所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广州市增城区增江街道联益村村民委员会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广州市增城区增江街联益村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增江街应急指挥中心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226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光耀村应急避护场所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广州市增城区增江街光耀村委</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广州市增城区增江街光耀村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增江街应急指挥中心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227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五星村应急避护场所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广州市增城区增江街田心路</w:t>
            </w:r>
            <w:r>
              <w:rPr>
                <w:rFonts w:hint="eastAsia" w:ascii="Times New Roman" w:hAnsi="Times New Roman" w:eastAsiaTheme="minorEastAsia" w:cstheme="minorEastAsia"/>
                <w:i w:val="0"/>
                <w:iCs w:val="0"/>
                <w:color w:val="auto"/>
                <w:kern w:val="0"/>
                <w:sz w:val="21"/>
                <w:szCs w:val="21"/>
                <w:u w:val="none"/>
                <w:lang w:val="en-US" w:eastAsia="zh-CN" w:bidi="ar"/>
              </w:rPr>
              <w:t>68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广州市增城区增江街五星村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增江街应急指挥中心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228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天恩双语学校应急避护场所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广州市增城区增江街培正路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广州市增城区天恩双语学校</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229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增江街综合服务中心应急避护场所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广州市增城区增江大道南</w:t>
            </w:r>
            <w:r>
              <w:rPr>
                <w:rFonts w:hint="eastAsia" w:ascii="Times New Roman" w:hAnsi="Times New Roman" w:eastAsiaTheme="minorEastAsia" w:cstheme="minorEastAsia"/>
                <w:i w:val="0"/>
                <w:iCs w:val="0"/>
                <w:color w:val="auto"/>
                <w:kern w:val="0"/>
                <w:sz w:val="21"/>
                <w:szCs w:val="21"/>
                <w:u w:val="none"/>
                <w:lang w:val="en-US" w:eastAsia="zh-CN" w:bidi="ar"/>
              </w:rPr>
              <w:t>32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广州市增城区增江街应急指挥中心</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增江街应急指挥中心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230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正果中学应急避护场所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广州市增城区正果镇正果大道</w:t>
            </w:r>
            <w:r>
              <w:rPr>
                <w:rFonts w:hint="eastAsia" w:ascii="Times New Roman" w:hAnsi="Times New Roman" w:eastAsiaTheme="minorEastAsia" w:cstheme="minorEastAsia"/>
                <w:i w:val="0"/>
                <w:iCs w:val="0"/>
                <w:color w:val="auto"/>
                <w:kern w:val="0"/>
                <w:sz w:val="21"/>
                <w:szCs w:val="21"/>
                <w:u w:val="none"/>
                <w:lang w:val="en-US" w:eastAsia="zh-CN" w:bidi="ar"/>
              </w:rPr>
              <w:t>73</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广州市增城区正果中学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231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正果镇文体活动中心应急避护场所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广州市增城区正果镇九峰山</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232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正果广场-正果寺应急避护场所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广州市增城区正果镇正桥路</w:t>
            </w:r>
            <w:r>
              <w:rPr>
                <w:rFonts w:hint="eastAsia" w:ascii="Times New Roman" w:hAnsi="Times New Roman" w:eastAsiaTheme="minorEastAsia" w:cstheme="minorEastAsia"/>
                <w:i w:val="0"/>
                <w:iCs w:val="0"/>
                <w:color w:val="auto"/>
                <w:kern w:val="0"/>
                <w:sz w:val="21"/>
                <w:szCs w:val="21"/>
                <w:u w:val="none"/>
                <w:lang w:val="en-US" w:eastAsia="zh-CN" w:bidi="ar"/>
              </w:rPr>
              <w:t>18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233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锦绣星河小区应急避护场所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广州市增城区正果镇锦绣星河</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广州市增城区正果镇锦绣星河小区居民委员会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234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白面石村应急避护场所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广州市增城区正果镇白面石村村民委员会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广州市增城区正果镇白面石村村民委员会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235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池田村应急避护场所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广州市增城区正果镇池田村村民委员会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广州市增城区正果镇池田村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236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大冚村应急避护场所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广州市增城区正果镇大冚村村民委员会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广州市增城区正果镇大冚村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237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到蔚村应急避护场所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广州市增城区正果镇到蔚村村民委员会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广州市增城区正果镇到蔚村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238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东汾村应急避护场所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广州市增城区正果镇东汾村村民委员会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广州市增城区正果镇东汾村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239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番丰村应急避护场所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广州市增城区正果镇番丰村村民委员会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广州市增城区正果镇番丰村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240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圭湖村应急避护场所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广州市增城区正果镇圭湖村村民委员会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广州市增城区正果镇圭湖村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241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合水店村应急避护场所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广州市增城区正果镇合水店村村民委员会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广州市增城区正果镇合水店村村民委员会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242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何屋村应急避护场所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广州市增城区正果镇何屋村村民委员会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广州市增城区正果镇何屋村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243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和平村应急避护场所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广州市增城区正果镇和平村村民委员会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广州市增城区正果镇和平村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244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花园村应急避护场所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广州市增城区正果镇花园村村民委员会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广州市增城区正果镇花园村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245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黄塘村应急避护场所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广州市增城区正果镇黄塘村村民委员会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广州市增城区正果镇黄塘村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246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黄屋村应急避护场所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广州市增城区正果镇黄屋村村民委员会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广州市增城区正果镇黄屋村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247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兰溪村应急避护场所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广州市增城区正果镇兰溪村村民委员会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广州市增城区正果镇兰溪村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248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浪拔村应急避护场所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广州市增城区正果镇浪拔村村民委员会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广州市增城区正果镇浪拔村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249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亮星村应急避护场所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广州市增城区正果镇亮星村村民委员会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广州市增城区正果镇亮星村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250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麻冚村应急避护场所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广州市增城区正果镇麻冚村村民委员会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广州市增城区正果镇麻冚村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251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麦村村应急避护场所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广州市增城区正果镇麦村村民委员会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广州市增城区正果镇麦村村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252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蒙花布村应急避护场所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广州市增城区正果镇蒙花布村村民委员会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广州市增城区正果镇蒙花布村村民委员会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253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庙尾村应急避护场所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广州市增城区正果镇庙尾村村民委员会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广州市增城区正果镇庙尾村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254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畲族村应急避护场所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广州市增城区正果镇畲族村村民委员会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广州市增城区正果镇畲族村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255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石溪村应急避护场所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广州市增城区正果镇石溪村村民委员会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广州市增城区正果镇石溪村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256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水口村应急避护场所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广州市增城区正果镇水口村村民委员会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广州市增城区正果镇水口村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257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水围村应急避护场所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广州市增城区正果镇水围村村民委员会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广州市增城区正果镇水围村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258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汀塘村应急避护场所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广州市增城区正果镇汀塘村村民委员会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广州市增城区正果镇汀塘村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259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乌头石村应急避护场所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广州市增城区正果镇乌头石村村民委员会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广州市增城区正果镇乌头石村村民委员会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260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西湖滩村应急避护场所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广州市增城区正果镇西湖滩村村民委员会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广州市增城区正果镇西湖滩村村民委员会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261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银场村应急避护场所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广州市增城区正果镇银场村村民委员会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广州市增城区正果镇银场村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262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岳村村应急避护场所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广州市增城区正果镇岳村村村民委员会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广州市增城区正果镇岳村村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263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正果洋村应急避护场所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广州市增城区正果镇正果洋村村民委员会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广州市增城区正果镇正果洋村村民委员会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264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正果镇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中西村应急避护场所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广州市增城区正果镇中西村村民委员会</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室内外兼有</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广州市增城区正果镇中西村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广州市增城区正果镇人民政府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265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中新中学应急避护场所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7620" cy="11430"/>
                  <wp:effectExtent l="0" t="0" r="0" b="0"/>
                  <wp:wrapNone/>
                  <wp:docPr id="29" name="Picture_10_SpCnt_2"/>
                  <wp:cNvGraphicFramePr/>
                  <a:graphic xmlns:a="http://schemas.openxmlformats.org/drawingml/2006/main">
                    <a:graphicData uri="http://schemas.openxmlformats.org/drawingml/2006/picture">
                      <pic:pic xmlns:pic="http://schemas.openxmlformats.org/drawingml/2006/picture">
                        <pic:nvPicPr>
                          <pic:cNvPr id="29" name="Picture_10_SpCnt_2"/>
                          <pic:cNvPicPr/>
                        </pic:nvPicPr>
                        <pic:blipFill>
                          <a:blip r:embed="rId15"/>
                          <a:stretch>
                            <a:fillRect/>
                          </a:stretch>
                        </pic:blipFill>
                        <pic:spPr>
                          <a:xfrm>
                            <a:off x="0" y="0"/>
                            <a:ext cx="7620" cy="1143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14630" cy="273685"/>
                  <wp:effectExtent l="0" t="0" r="0" b="0"/>
                  <wp:wrapNone/>
                  <wp:docPr id="30" name="Picture_5_SpCnt_2"/>
                  <wp:cNvGraphicFramePr/>
                  <a:graphic xmlns:a="http://schemas.openxmlformats.org/drawingml/2006/main">
                    <a:graphicData uri="http://schemas.openxmlformats.org/drawingml/2006/picture">
                      <pic:pic xmlns:pic="http://schemas.openxmlformats.org/drawingml/2006/picture">
                        <pic:nvPicPr>
                          <pic:cNvPr id="30" name="Picture_5_SpCnt_2"/>
                          <pic:cNvPicPr/>
                        </pic:nvPicPr>
                        <pic:blipFill>
                          <a:blip r:embed="rId10"/>
                          <a:stretch>
                            <a:fillRect/>
                          </a:stretch>
                        </pic:blipFill>
                        <pic:spPr>
                          <a:xfrm>
                            <a:off x="0" y="0"/>
                            <a:ext cx="214630" cy="27368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213995" cy="254000"/>
                  <wp:effectExtent l="0" t="0" r="0" b="0"/>
                  <wp:wrapNone/>
                  <wp:docPr id="31" name="Picture_1_SpCnt_2"/>
                  <wp:cNvGraphicFramePr/>
                  <a:graphic xmlns:a="http://schemas.openxmlformats.org/drawingml/2006/main">
                    <a:graphicData uri="http://schemas.openxmlformats.org/drawingml/2006/picture">
                      <pic:pic xmlns:pic="http://schemas.openxmlformats.org/drawingml/2006/picture">
                        <pic:nvPicPr>
                          <pic:cNvPr id="31" name="Picture_1_SpCnt_2"/>
                          <pic:cNvPicPr/>
                        </pic:nvPicPr>
                        <pic:blipFill>
                          <a:blip r:embed="rId12"/>
                          <a:stretch>
                            <a:fillRect/>
                          </a:stretch>
                        </pic:blipFill>
                        <pic:spPr>
                          <a:xfrm>
                            <a:off x="0" y="0"/>
                            <a:ext cx="213995" cy="25400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7620" cy="11430"/>
                  <wp:effectExtent l="0" t="0" r="0" b="0"/>
                  <wp:wrapNone/>
                  <wp:docPr id="32" name="Picture_9_SpCnt_2"/>
                  <wp:cNvGraphicFramePr/>
                  <a:graphic xmlns:a="http://schemas.openxmlformats.org/drawingml/2006/main">
                    <a:graphicData uri="http://schemas.openxmlformats.org/drawingml/2006/picture">
                      <pic:pic xmlns:pic="http://schemas.openxmlformats.org/drawingml/2006/picture">
                        <pic:nvPicPr>
                          <pic:cNvPr id="32" name="Picture_9_SpCnt_2"/>
                          <pic:cNvPicPr/>
                        </pic:nvPicPr>
                        <pic:blipFill>
                          <a:blip r:embed="rId15"/>
                          <a:stretch>
                            <a:fillRect/>
                          </a:stretch>
                        </pic:blipFill>
                        <pic:spPr>
                          <a:xfrm>
                            <a:off x="0" y="0"/>
                            <a:ext cx="7620" cy="1143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176530" cy="253365"/>
                  <wp:effectExtent l="0" t="0" r="0" b="0"/>
                  <wp:wrapNone/>
                  <wp:docPr id="33" name="Picture_14_SpCnt_2"/>
                  <wp:cNvGraphicFramePr/>
                  <a:graphic xmlns:a="http://schemas.openxmlformats.org/drawingml/2006/main">
                    <a:graphicData uri="http://schemas.openxmlformats.org/drawingml/2006/picture">
                      <pic:pic xmlns:pic="http://schemas.openxmlformats.org/drawingml/2006/picture">
                        <pic:nvPicPr>
                          <pic:cNvPr id="33" name="Picture_14_SpCnt_2"/>
                          <pic:cNvPicPr/>
                        </pic:nvPicPr>
                        <pic:blipFill>
                          <a:blip r:embed="rId11"/>
                          <a:stretch>
                            <a:fillRect/>
                          </a:stretch>
                        </pic:blipFill>
                        <pic:spPr>
                          <a:xfrm>
                            <a:off x="0" y="0"/>
                            <a:ext cx="176530" cy="25336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176530" cy="254635"/>
                  <wp:effectExtent l="0" t="0" r="0" b="0"/>
                  <wp:wrapNone/>
                  <wp:docPr id="34" name="Picture_8_SpCnt_2"/>
                  <wp:cNvGraphicFramePr/>
                  <a:graphic xmlns:a="http://schemas.openxmlformats.org/drawingml/2006/main">
                    <a:graphicData uri="http://schemas.openxmlformats.org/drawingml/2006/picture">
                      <pic:pic xmlns:pic="http://schemas.openxmlformats.org/drawingml/2006/picture">
                        <pic:nvPicPr>
                          <pic:cNvPr id="34" name="Picture_8_SpCnt_2"/>
                          <pic:cNvPicPr/>
                        </pic:nvPicPr>
                        <pic:blipFill>
                          <a:blip r:embed="rId11"/>
                          <a:stretch>
                            <a:fillRect/>
                          </a:stretch>
                        </pic:blipFill>
                        <pic:spPr>
                          <a:xfrm>
                            <a:off x="0" y="0"/>
                            <a:ext cx="176530" cy="25463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175895" cy="254000"/>
                  <wp:effectExtent l="0" t="0" r="0" b="0"/>
                  <wp:wrapNone/>
                  <wp:docPr id="35" name="Picture_7_SpCnt_2"/>
                  <wp:cNvGraphicFramePr/>
                  <a:graphic xmlns:a="http://schemas.openxmlformats.org/drawingml/2006/main">
                    <a:graphicData uri="http://schemas.openxmlformats.org/drawingml/2006/picture">
                      <pic:pic xmlns:pic="http://schemas.openxmlformats.org/drawingml/2006/picture">
                        <pic:nvPicPr>
                          <pic:cNvPr id="35" name="Picture_7_SpCnt_2"/>
                          <pic:cNvPicPr/>
                        </pic:nvPicPr>
                        <pic:blipFill>
                          <a:blip r:embed="rId11"/>
                          <a:stretch>
                            <a:fillRect/>
                          </a:stretch>
                        </pic:blipFill>
                        <pic:spPr>
                          <a:xfrm>
                            <a:off x="0" y="0"/>
                            <a:ext cx="175895" cy="25400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6985" cy="9525"/>
                  <wp:effectExtent l="0" t="0" r="0" b="0"/>
                  <wp:wrapNone/>
                  <wp:docPr id="36" name="Picture_9_SpCnt_3"/>
                  <wp:cNvGraphicFramePr/>
                  <a:graphic xmlns:a="http://schemas.openxmlformats.org/drawingml/2006/main">
                    <a:graphicData uri="http://schemas.openxmlformats.org/drawingml/2006/picture">
                      <pic:pic xmlns:pic="http://schemas.openxmlformats.org/drawingml/2006/picture">
                        <pic:nvPicPr>
                          <pic:cNvPr id="36" name="Picture_9_SpCnt_3"/>
                          <pic:cNvPicPr/>
                        </pic:nvPicPr>
                        <pic:blipFill>
                          <a:blip r:embed="rId16"/>
                          <a:stretch>
                            <a:fillRect/>
                          </a:stretch>
                        </pic:blipFill>
                        <pic:spPr>
                          <a:xfrm>
                            <a:off x="0" y="0"/>
                            <a:ext cx="6985" cy="952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76530" cy="253365"/>
                  <wp:effectExtent l="0" t="0" r="0" b="0"/>
                  <wp:wrapNone/>
                  <wp:docPr id="37" name="Picture_8_SpCnt_3"/>
                  <wp:cNvGraphicFramePr/>
                  <a:graphic xmlns:a="http://schemas.openxmlformats.org/drawingml/2006/main">
                    <a:graphicData uri="http://schemas.openxmlformats.org/drawingml/2006/picture">
                      <pic:pic xmlns:pic="http://schemas.openxmlformats.org/drawingml/2006/picture">
                        <pic:nvPicPr>
                          <pic:cNvPr id="37" name="Picture_8_SpCnt_3"/>
                          <pic:cNvPicPr/>
                        </pic:nvPicPr>
                        <pic:blipFill>
                          <a:blip r:embed="rId11"/>
                          <a:stretch>
                            <a:fillRect/>
                          </a:stretch>
                        </pic:blipFill>
                        <pic:spPr>
                          <a:xfrm>
                            <a:off x="0" y="0"/>
                            <a:ext cx="176530" cy="25336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176530" cy="253365"/>
                  <wp:effectExtent l="0" t="0" r="0" b="0"/>
                  <wp:wrapNone/>
                  <wp:docPr id="38" name="Picture_7_SpCnt_3"/>
                  <wp:cNvGraphicFramePr/>
                  <a:graphic xmlns:a="http://schemas.openxmlformats.org/drawingml/2006/main">
                    <a:graphicData uri="http://schemas.openxmlformats.org/drawingml/2006/picture">
                      <pic:pic xmlns:pic="http://schemas.openxmlformats.org/drawingml/2006/picture">
                        <pic:nvPicPr>
                          <pic:cNvPr id="38" name="Picture_7_SpCnt_3"/>
                          <pic:cNvPicPr/>
                        </pic:nvPicPr>
                        <pic:blipFill>
                          <a:blip r:embed="rId11"/>
                          <a:stretch>
                            <a:fillRect/>
                          </a:stretch>
                        </pic:blipFill>
                        <pic:spPr>
                          <a:xfrm>
                            <a:off x="0" y="0"/>
                            <a:ext cx="176530" cy="25336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76530" cy="254635"/>
                  <wp:effectExtent l="0" t="0" r="0" b="0"/>
                  <wp:wrapNone/>
                  <wp:docPr id="39" name="Picture_7_SpCnt_4"/>
                  <wp:cNvGraphicFramePr/>
                  <a:graphic xmlns:a="http://schemas.openxmlformats.org/drawingml/2006/main">
                    <a:graphicData uri="http://schemas.openxmlformats.org/drawingml/2006/picture">
                      <pic:pic xmlns:pic="http://schemas.openxmlformats.org/drawingml/2006/picture">
                        <pic:nvPicPr>
                          <pic:cNvPr id="39" name="Picture_7_SpCnt_4"/>
                          <pic:cNvPicPr/>
                        </pic:nvPicPr>
                        <pic:blipFill>
                          <a:blip r:embed="rId11"/>
                          <a:stretch>
                            <a:fillRect/>
                          </a:stretch>
                        </pic:blipFill>
                        <pic:spPr>
                          <a:xfrm>
                            <a:off x="0" y="0"/>
                            <a:ext cx="176530" cy="25463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215265" cy="253365"/>
                  <wp:effectExtent l="0" t="0" r="0" b="0"/>
                  <wp:wrapNone/>
                  <wp:docPr id="40" name="Picture_1_SpCnt_3"/>
                  <wp:cNvGraphicFramePr/>
                  <a:graphic xmlns:a="http://schemas.openxmlformats.org/drawingml/2006/main">
                    <a:graphicData uri="http://schemas.openxmlformats.org/drawingml/2006/picture">
                      <pic:pic xmlns:pic="http://schemas.openxmlformats.org/drawingml/2006/picture">
                        <pic:nvPicPr>
                          <pic:cNvPr id="40" name="Picture_1_SpCnt_3"/>
                          <pic:cNvPicPr/>
                        </pic:nvPicPr>
                        <pic:blipFill>
                          <a:blip r:embed="rId12"/>
                          <a:stretch>
                            <a:fillRect/>
                          </a:stretch>
                        </pic:blipFill>
                        <pic:spPr>
                          <a:xfrm>
                            <a:off x="0" y="0"/>
                            <a:ext cx="215265" cy="25336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214630" cy="254635"/>
                  <wp:effectExtent l="0" t="0" r="0" b="0"/>
                  <wp:wrapNone/>
                  <wp:docPr id="41" name="Picture_1_SpCnt_4"/>
                  <wp:cNvGraphicFramePr/>
                  <a:graphic xmlns:a="http://schemas.openxmlformats.org/drawingml/2006/main">
                    <a:graphicData uri="http://schemas.openxmlformats.org/drawingml/2006/picture">
                      <pic:pic xmlns:pic="http://schemas.openxmlformats.org/drawingml/2006/picture">
                        <pic:nvPicPr>
                          <pic:cNvPr id="41" name="Picture_1_SpCnt_4"/>
                          <pic:cNvPicPr/>
                        </pic:nvPicPr>
                        <pic:blipFill>
                          <a:blip r:embed="rId12"/>
                          <a:stretch>
                            <a:fillRect/>
                          </a:stretch>
                        </pic:blipFill>
                        <pic:spPr>
                          <a:xfrm>
                            <a:off x="0" y="0"/>
                            <a:ext cx="214630" cy="25463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175895" cy="254000"/>
                  <wp:effectExtent l="0" t="0" r="0" b="0"/>
                  <wp:wrapNone/>
                  <wp:docPr id="42" name="Picture_8_SpCnt_4"/>
                  <wp:cNvGraphicFramePr/>
                  <a:graphic xmlns:a="http://schemas.openxmlformats.org/drawingml/2006/main">
                    <a:graphicData uri="http://schemas.openxmlformats.org/drawingml/2006/picture">
                      <pic:pic xmlns:pic="http://schemas.openxmlformats.org/drawingml/2006/picture">
                        <pic:nvPicPr>
                          <pic:cNvPr id="42" name="Picture_8_SpCnt_4"/>
                          <pic:cNvPicPr/>
                        </pic:nvPicPr>
                        <pic:blipFill>
                          <a:blip r:embed="rId11"/>
                          <a:stretch>
                            <a:fillRect/>
                          </a:stretch>
                        </pic:blipFill>
                        <pic:spPr>
                          <a:xfrm>
                            <a:off x="0" y="0"/>
                            <a:ext cx="175895" cy="25400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71120" cy="242570"/>
                  <wp:effectExtent l="0" t="0" r="0" b="0"/>
                  <wp:wrapNone/>
                  <wp:docPr id="43" name="Picture_15_SpCnt_2"/>
                  <wp:cNvGraphicFramePr/>
                  <a:graphic xmlns:a="http://schemas.openxmlformats.org/drawingml/2006/main">
                    <a:graphicData uri="http://schemas.openxmlformats.org/drawingml/2006/picture">
                      <pic:pic xmlns:pic="http://schemas.openxmlformats.org/drawingml/2006/picture">
                        <pic:nvPicPr>
                          <pic:cNvPr id="43" name="Picture_15_SpCnt_2"/>
                          <pic:cNvPicPr/>
                        </pic:nvPicPr>
                        <pic:blipFill>
                          <a:blip r:embed="rId14"/>
                          <a:stretch>
                            <a:fillRect/>
                          </a:stretch>
                        </pic:blipFill>
                        <pic:spPr>
                          <a:xfrm>
                            <a:off x="0" y="0"/>
                            <a:ext cx="71120" cy="24257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176530" cy="254635"/>
                  <wp:effectExtent l="0" t="0" r="0" b="0"/>
                  <wp:wrapNone/>
                  <wp:docPr id="44" name="Picture_14_SpCnt_3"/>
                  <wp:cNvGraphicFramePr/>
                  <a:graphic xmlns:a="http://schemas.openxmlformats.org/drawingml/2006/main">
                    <a:graphicData uri="http://schemas.openxmlformats.org/drawingml/2006/picture">
                      <pic:pic xmlns:pic="http://schemas.openxmlformats.org/drawingml/2006/picture">
                        <pic:nvPicPr>
                          <pic:cNvPr id="44" name="Picture_14_SpCnt_3"/>
                          <pic:cNvPicPr/>
                        </pic:nvPicPr>
                        <pic:blipFill>
                          <a:blip r:embed="rId11"/>
                          <a:stretch>
                            <a:fillRect/>
                          </a:stretch>
                        </pic:blipFill>
                        <pic:spPr>
                          <a:xfrm>
                            <a:off x="0" y="0"/>
                            <a:ext cx="176530" cy="25463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70485" cy="241935"/>
                  <wp:effectExtent l="0" t="0" r="0" b="0"/>
                  <wp:wrapNone/>
                  <wp:docPr id="45" name="Picture_15_SpCnt_3"/>
                  <wp:cNvGraphicFramePr/>
                  <a:graphic xmlns:a="http://schemas.openxmlformats.org/drawingml/2006/main">
                    <a:graphicData uri="http://schemas.openxmlformats.org/drawingml/2006/picture">
                      <pic:pic xmlns:pic="http://schemas.openxmlformats.org/drawingml/2006/picture">
                        <pic:nvPicPr>
                          <pic:cNvPr id="45" name="Picture_15_SpCnt_3"/>
                          <pic:cNvPicPr/>
                        </pic:nvPicPr>
                        <pic:blipFill>
                          <a:blip r:embed="rId14"/>
                          <a:stretch>
                            <a:fillRect/>
                          </a:stretch>
                        </pic:blipFill>
                        <pic:spPr>
                          <a:xfrm>
                            <a:off x="0" y="0"/>
                            <a:ext cx="70485" cy="24193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175895" cy="254000"/>
                  <wp:effectExtent l="0" t="0" r="0" b="0"/>
                  <wp:wrapNone/>
                  <wp:docPr id="46" name="Picture_14_SpCnt_4"/>
                  <wp:cNvGraphicFramePr/>
                  <a:graphic xmlns:a="http://schemas.openxmlformats.org/drawingml/2006/main">
                    <a:graphicData uri="http://schemas.openxmlformats.org/drawingml/2006/picture">
                      <pic:pic xmlns:pic="http://schemas.openxmlformats.org/drawingml/2006/picture">
                        <pic:nvPicPr>
                          <pic:cNvPr id="46" name="Picture_14_SpCnt_4"/>
                          <pic:cNvPicPr/>
                        </pic:nvPicPr>
                        <pic:blipFill>
                          <a:blip r:embed="rId11"/>
                          <a:stretch>
                            <a:fillRect/>
                          </a:stretch>
                        </pic:blipFill>
                        <pic:spPr>
                          <a:xfrm>
                            <a:off x="0" y="0"/>
                            <a:ext cx="175895" cy="25400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70485" cy="245745"/>
                  <wp:effectExtent l="0" t="0" r="0" b="0"/>
                  <wp:wrapNone/>
                  <wp:docPr id="47" name="Picture_15_SpCnt_4"/>
                  <wp:cNvGraphicFramePr/>
                  <a:graphic xmlns:a="http://schemas.openxmlformats.org/drawingml/2006/main">
                    <a:graphicData uri="http://schemas.openxmlformats.org/drawingml/2006/picture">
                      <pic:pic xmlns:pic="http://schemas.openxmlformats.org/drawingml/2006/picture">
                        <pic:nvPicPr>
                          <pic:cNvPr id="47" name="Picture_15_SpCnt_4"/>
                          <pic:cNvPicPr/>
                        </pic:nvPicPr>
                        <pic:blipFill>
                          <a:blip r:embed="rId14"/>
                          <a:stretch>
                            <a:fillRect/>
                          </a:stretch>
                        </pic:blipFill>
                        <pic:spPr>
                          <a:xfrm>
                            <a:off x="0" y="0"/>
                            <a:ext cx="70485" cy="24574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72390" cy="247015"/>
                  <wp:effectExtent l="0" t="0" r="0" b="0"/>
                  <wp:wrapNone/>
                  <wp:docPr id="48" name="Picture_15_SpCnt_5"/>
                  <wp:cNvGraphicFramePr/>
                  <a:graphic xmlns:a="http://schemas.openxmlformats.org/drawingml/2006/main">
                    <a:graphicData uri="http://schemas.openxmlformats.org/drawingml/2006/picture">
                      <pic:pic xmlns:pic="http://schemas.openxmlformats.org/drawingml/2006/picture">
                        <pic:nvPicPr>
                          <pic:cNvPr id="48" name="Picture_15_SpCnt_5"/>
                          <pic:cNvPicPr/>
                        </pic:nvPicPr>
                        <pic:blipFill>
                          <a:blip r:embed="rId14"/>
                          <a:stretch>
                            <a:fillRect/>
                          </a:stretch>
                        </pic:blipFill>
                        <pic:spPr>
                          <a:xfrm>
                            <a:off x="0" y="0"/>
                            <a:ext cx="72390" cy="24701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77800" cy="254635"/>
                  <wp:effectExtent l="0" t="0" r="0" b="0"/>
                  <wp:wrapNone/>
                  <wp:docPr id="49" name="Picture_14_SpCnt_5"/>
                  <wp:cNvGraphicFramePr/>
                  <a:graphic xmlns:a="http://schemas.openxmlformats.org/drawingml/2006/main">
                    <a:graphicData uri="http://schemas.openxmlformats.org/drawingml/2006/picture">
                      <pic:pic xmlns:pic="http://schemas.openxmlformats.org/drawingml/2006/picture">
                        <pic:nvPicPr>
                          <pic:cNvPr id="49" name="Picture_14_SpCnt_5"/>
                          <pic:cNvPicPr/>
                        </pic:nvPicPr>
                        <pic:blipFill>
                          <a:blip r:embed="rId11"/>
                          <a:stretch>
                            <a:fillRect/>
                          </a:stretch>
                        </pic:blipFill>
                        <pic:spPr>
                          <a:xfrm>
                            <a:off x="0" y="0"/>
                            <a:ext cx="177800" cy="25463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8255" cy="9525"/>
                  <wp:effectExtent l="0" t="0" r="0" b="0"/>
                  <wp:wrapNone/>
                  <wp:docPr id="50" name="Picture_10_SpCnt_3"/>
                  <wp:cNvGraphicFramePr/>
                  <a:graphic xmlns:a="http://schemas.openxmlformats.org/drawingml/2006/main">
                    <a:graphicData uri="http://schemas.openxmlformats.org/drawingml/2006/picture">
                      <pic:pic xmlns:pic="http://schemas.openxmlformats.org/drawingml/2006/picture">
                        <pic:nvPicPr>
                          <pic:cNvPr id="50" name="Picture_10_SpCnt_3"/>
                          <pic:cNvPicPr/>
                        </pic:nvPicPr>
                        <pic:blipFill>
                          <a:blip r:embed="rId16"/>
                          <a:stretch>
                            <a:fillRect/>
                          </a:stretch>
                        </pic:blipFill>
                        <pic:spPr>
                          <a:xfrm>
                            <a:off x="0" y="0"/>
                            <a:ext cx="8255" cy="952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214630" cy="264160"/>
                  <wp:effectExtent l="0" t="0" r="0" b="0"/>
                  <wp:wrapNone/>
                  <wp:docPr id="51" name="Picture_18_SpCnt_2"/>
                  <wp:cNvGraphicFramePr/>
                  <a:graphic xmlns:a="http://schemas.openxmlformats.org/drawingml/2006/main">
                    <a:graphicData uri="http://schemas.openxmlformats.org/drawingml/2006/picture">
                      <pic:pic xmlns:pic="http://schemas.openxmlformats.org/drawingml/2006/picture">
                        <pic:nvPicPr>
                          <pic:cNvPr id="51" name="Picture_18_SpCnt_2"/>
                          <pic:cNvPicPr/>
                        </pic:nvPicPr>
                        <pic:blipFill>
                          <a:blip r:embed="rId13"/>
                          <a:stretch>
                            <a:fillRect/>
                          </a:stretch>
                        </pic:blipFill>
                        <pic:spPr>
                          <a:xfrm>
                            <a:off x="0" y="0"/>
                            <a:ext cx="214630" cy="26416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216535" cy="266065"/>
                  <wp:effectExtent l="0" t="0" r="0" b="0"/>
                  <wp:wrapNone/>
                  <wp:docPr id="52" name="Picture_18_SpCnt_3"/>
                  <wp:cNvGraphicFramePr/>
                  <a:graphic xmlns:a="http://schemas.openxmlformats.org/drawingml/2006/main">
                    <a:graphicData uri="http://schemas.openxmlformats.org/drawingml/2006/picture">
                      <pic:pic xmlns:pic="http://schemas.openxmlformats.org/drawingml/2006/picture">
                        <pic:nvPicPr>
                          <pic:cNvPr id="52" name="Picture_18_SpCnt_3"/>
                          <pic:cNvPicPr/>
                        </pic:nvPicPr>
                        <pic:blipFill>
                          <a:blip r:embed="rId13"/>
                          <a:stretch>
                            <a:fillRect/>
                          </a:stretch>
                        </pic:blipFill>
                        <pic:spPr>
                          <a:xfrm>
                            <a:off x="0" y="0"/>
                            <a:ext cx="216535" cy="26606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8255" cy="9525"/>
                  <wp:effectExtent l="0" t="0" r="0" b="0"/>
                  <wp:wrapNone/>
                  <wp:docPr id="53" name="Picture_9_SpCnt_4"/>
                  <wp:cNvGraphicFramePr/>
                  <a:graphic xmlns:a="http://schemas.openxmlformats.org/drawingml/2006/main">
                    <a:graphicData uri="http://schemas.openxmlformats.org/drawingml/2006/picture">
                      <pic:pic xmlns:pic="http://schemas.openxmlformats.org/drawingml/2006/picture">
                        <pic:nvPicPr>
                          <pic:cNvPr id="53" name="Picture_9_SpCnt_4"/>
                          <pic:cNvPicPr/>
                        </pic:nvPicPr>
                        <pic:blipFill>
                          <a:blip r:embed="rId16"/>
                          <a:stretch>
                            <a:fillRect/>
                          </a:stretch>
                        </pic:blipFill>
                        <pic:spPr>
                          <a:xfrm>
                            <a:off x="0" y="0"/>
                            <a:ext cx="8255" cy="952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177800" cy="254635"/>
                  <wp:effectExtent l="0" t="0" r="0" b="0"/>
                  <wp:wrapNone/>
                  <wp:docPr id="54" name="Picture_8_SpCnt_5"/>
                  <wp:cNvGraphicFramePr/>
                  <a:graphic xmlns:a="http://schemas.openxmlformats.org/drawingml/2006/main">
                    <a:graphicData uri="http://schemas.openxmlformats.org/drawingml/2006/picture">
                      <pic:pic xmlns:pic="http://schemas.openxmlformats.org/drawingml/2006/picture">
                        <pic:nvPicPr>
                          <pic:cNvPr id="54" name="Picture_8_SpCnt_5"/>
                          <pic:cNvPicPr/>
                        </pic:nvPicPr>
                        <pic:blipFill>
                          <a:blip r:embed="rId11"/>
                          <a:stretch>
                            <a:fillRect/>
                          </a:stretch>
                        </pic:blipFill>
                        <pic:spPr>
                          <a:xfrm>
                            <a:off x="0" y="0"/>
                            <a:ext cx="177800" cy="25463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6350" cy="9525"/>
                  <wp:effectExtent l="0" t="0" r="0" b="0"/>
                  <wp:wrapNone/>
                  <wp:docPr id="55" name="Picture_10_SpCnt_4"/>
                  <wp:cNvGraphicFramePr/>
                  <a:graphic xmlns:a="http://schemas.openxmlformats.org/drawingml/2006/main">
                    <a:graphicData uri="http://schemas.openxmlformats.org/drawingml/2006/picture">
                      <pic:pic xmlns:pic="http://schemas.openxmlformats.org/drawingml/2006/picture">
                        <pic:nvPicPr>
                          <pic:cNvPr id="55" name="Picture_10_SpCnt_4"/>
                          <pic:cNvPicPr/>
                        </pic:nvPicPr>
                        <pic:blipFill>
                          <a:blip r:embed="rId16"/>
                          <a:stretch>
                            <a:fillRect/>
                          </a:stretch>
                        </pic:blipFill>
                        <pic:spPr>
                          <a:xfrm>
                            <a:off x="0" y="0"/>
                            <a:ext cx="6350" cy="952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13536" behindDoc="0" locked="0" layoutInCell="1" allowOverlap="1">
                  <wp:simplePos x="0" y="0"/>
                  <wp:positionH relativeFrom="column">
                    <wp:posOffset>0</wp:posOffset>
                  </wp:positionH>
                  <wp:positionV relativeFrom="paragraph">
                    <wp:posOffset>0</wp:posOffset>
                  </wp:positionV>
                  <wp:extent cx="177800" cy="254635"/>
                  <wp:effectExtent l="0" t="0" r="0" b="0"/>
                  <wp:wrapNone/>
                  <wp:docPr id="56" name="Picture_7_SpCnt_5"/>
                  <wp:cNvGraphicFramePr/>
                  <a:graphic xmlns:a="http://schemas.openxmlformats.org/drawingml/2006/main">
                    <a:graphicData uri="http://schemas.openxmlformats.org/drawingml/2006/picture">
                      <pic:pic xmlns:pic="http://schemas.openxmlformats.org/drawingml/2006/picture">
                        <pic:nvPicPr>
                          <pic:cNvPr id="56" name="Picture_7_SpCnt_5"/>
                          <pic:cNvPicPr/>
                        </pic:nvPicPr>
                        <pic:blipFill>
                          <a:blip r:embed="rId11"/>
                          <a:stretch>
                            <a:fillRect/>
                          </a:stretch>
                        </pic:blipFill>
                        <pic:spPr>
                          <a:xfrm>
                            <a:off x="0" y="0"/>
                            <a:ext cx="177800" cy="25463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214630" cy="272415"/>
                  <wp:effectExtent l="0" t="0" r="0" b="0"/>
                  <wp:wrapNone/>
                  <wp:docPr id="57" name="Picture_5_SpCnt_3"/>
                  <wp:cNvGraphicFramePr/>
                  <a:graphic xmlns:a="http://schemas.openxmlformats.org/drawingml/2006/main">
                    <a:graphicData uri="http://schemas.openxmlformats.org/drawingml/2006/picture">
                      <pic:pic xmlns:pic="http://schemas.openxmlformats.org/drawingml/2006/picture">
                        <pic:nvPicPr>
                          <pic:cNvPr id="57" name="Picture_5_SpCnt_3"/>
                          <pic:cNvPicPr/>
                        </pic:nvPicPr>
                        <pic:blipFill>
                          <a:blip r:embed="rId10"/>
                          <a:stretch>
                            <a:fillRect/>
                          </a:stretch>
                        </pic:blipFill>
                        <pic:spPr>
                          <a:xfrm>
                            <a:off x="0" y="0"/>
                            <a:ext cx="214630" cy="27241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216535" cy="274320"/>
                  <wp:effectExtent l="0" t="0" r="0" b="0"/>
                  <wp:wrapNone/>
                  <wp:docPr id="58" name="Picture_5_SpCnt_4"/>
                  <wp:cNvGraphicFramePr/>
                  <a:graphic xmlns:a="http://schemas.openxmlformats.org/drawingml/2006/main">
                    <a:graphicData uri="http://schemas.openxmlformats.org/drawingml/2006/picture">
                      <pic:pic xmlns:pic="http://schemas.openxmlformats.org/drawingml/2006/picture">
                        <pic:nvPicPr>
                          <pic:cNvPr id="58" name="Picture_5_SpCnt_4"/>
                          <pic:cNvPicPr/>
                        </pic:nvPicPr>
                        <pic:blipFill>
                          <a:blip r:embed="rId10"/>
                          <a:stretch>
                            <a:fillRect/>
                          </a:stretch>
                        </pic:blipFill>
                        <pic:spPr>
                          <a:xfrm>
                            <a:off x="0" y="0"/>
                            <a:ext cx="216535" cy="27432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16608" behindDoc="0" locked="0" layoutInCell="1" allowOverlap="1">
                  <wp:simplePos x="0" y="0"/>
                  <wp:positionH relativeFrom="column">
                    <wp:posOffset>0</wp:posOffset>
                  </wp:positionH>
                  <wp:positionV relativeFrom="paragraph">
                    <wp:posOffset>0</wp:posOffset>
                  </wp:positionV>
                  <wp:extent cx="214630" cy="252730"/>
                  <wp:effectExtent l="0" t="0" r="0" b="0"/>
                  <wp:wrapNone/>
                  <wp:docPr id="59" name="Picture_1_SpCnt_5"/>
                  <wp:cNvGraphicFramePr/>
                  <a:graphic xmlns:a="http://schemas.openxmlformats.org/drawingml/2006/main">
                    <a:graphicData uri="http://schemas.openxmlformats.org/drawingml/2006/picture">
                      <pic:pic xmlns:pic="http://schemas.openxmlformats.org/drawingml/2006/picture">
                        <pic:nvPicPr>
                          <pic:cNvPr id="59" name="Picture_1_SpCnt_5"/>
                          <pic:cNvPicPr/>
                        </pic:nvPicPr>
                        <pic:blipFill>
                          <a:blip r:embed="rId12"/>
                          <a:stretch>
                            <a:fillRect/>
                          </a:stretch>
                        </pic:blipFill>
                        <pic:spPr>
                          <a:xfrm>
                            <a:off x="0" y="0"/>
                            <a:ext cx="214630" cy="25273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213995" cy="263525"/>
                  <wp:effectExtent l="0" t="0" r="0" b="0"/>
                  <wp:wrapNone/>
                  <wp:docPr id="60" name="Picture_18_SpCnt_4"/>
                  <wp:cNvGraphicFramePr/>
                  <a:graphic xmlns:a="http://schemas.openxmlformats.org/drawingml/2006/main">
                    <a:graphicData uri="http://schemas.openxmlformats.org/drawingml/2006/picture">
                      <pic:pic xmlns:pic="http://schemas.openxmlformats.org/drawingml/2006/picture">
                        <pic:nvPicPr>
                          <pic:cNvPr id="60" name="Picture_18_SpCnt_4"/>
                          <pic:cNvPicPr/>
                        </pic:nvPicPr>
                        <pic:blipFill>
                          <a:blip r:embed="rId13"/>
                          <a:stretch>
                            <a:fillRect/>
                          </a:stretch>
                        </pic:blipFill>
                        <pic:spPr>
                          <a:xfrm>
                            <a:off x="0" y="0"/>
                            <a:ext cx="213995" cy="26352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216535" cy="254635"/>
                  <wp:effectExtent l="0" t="0" r="0" b="0"/>
                  <wp:wrapNone/>
                  <wp:docPr id="61" name="Picture_1_SpCnt_6"/>
                  <wp:cNvGraphicFramePr/>
                  <a:graphic xmlns:a="http://schemas.openxmlformats.org/drawingml/2006/main">
                    <a:graphicData uri="http://schemas.openxmlformats.org/drawingml/2006/picture">
                      <pic:pic xmlns:pic="http://schemas.openxmlformats.org/drawingml/2006/picture">
                        <pic:nvPicPr>
                          <pic:cNvPr id="61" name="Picture_1_SpCnt_6"/>
                          <pic:cNvPicPr/>
                        </pic:nvPicPr>
                        <pic:blipFill>
                          <a:blip r:embed="rId12"/>
                          <a:stretch>
                            <a:fillRect/>
                          </a:stretch>
                        </pic:blipFill>
                        <pic:spPr>
                          <a:xfrm>
                            <a:off x="0" y="0"/>
                            <a:ext cx="216535" cy="25463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19680" behindDoc="0" locked="0" layoutInCell="1" allowOverlap="1">
                  <wp:simplePos x="0" y="0"/>
                  <wp:positionH relativeFrom="column">
                    <wp:posOffset>0</wp:posOffset>
                  </wp:positionH>
                  <wp:positionV relativeFrom="paragraph">
                    <wp:posOffset>0</wp:posOffset>
                  </wp:positionV>
                  <wp:extent cx="6985" cy="10795"/>
                  <wp:effectExtent l="0" t="0" r="0" b="0"/>
                  <wp:wrapNone/>
                  <wp:docPr id="62" name="Picture_9_SpCnt_5"/>
                  <wp:cNvGraphicFramePr/>
                  <a:graphic xmlns:a="http://schemas.openxmlformats.org/drawingml/2006/main">
                    <a:graphicData uri="http://schemas.openxmlformats.org/drawingml/2006/picture">
                      <pic:pic xmlns:pic="http://schemas.openxmlformats.org/drawingml/2006/picture">
                        <pic:nvPicPr>
                          <pic:cNvPr id="62" name="Picture_9_SpCnt_5"/>
                          <pic:cNvPicPr/>
                        </pic:nvPicPr>
                        <pic:blipFill>
                          <a:blip r:embed="rId15"/>
                          <a:stretch>
                            <a:fillRect/>
                          </a:stretch>
                        </pic:blipFill>
                        <pic:spPr>
                          <a:xfrm>
                            <a:off x="0" y="0"/>
                            <a:ext cx="6985" cy="1079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20704" behindDoc="0" locked="0" layoutInCell="1" allowOverlap="1">
                  <wp:simplePos x="0" y="0"/>
                  <wp:positionH relativeFrom="column">
                    <wp:posOffset>0</wp:posOffset>
                  </wp:positionH>
                  <wp:positionV relativeFrom="paragraph">
                    <wp:posOffset>0</wp:posOffset>
                  </wp:positionV>
                  <wp:extent cx="6985" cy="10795"/>
                  <wp:effectExtent l="0" t="0" r="0" b="0"/>
                  <wp:wrapNone/>
                  <wp:docPr id="63" name="Picture_10_SpCnt_5"/>
                  <wp:cNvGraphicFramePr/>
                  <a:graphic xmlns:a="http://schemas.openxmlformats.org/drawingml/2006/main">
                    <a:graphicData uri="http://schemas.openxmlformats.org/drawingml/2006/picture">
                      <pic:pic xmlns:pic="http://schemas.openxmlformats.org/drawingml/2006/picture">
                        <pic:nvPicPr>
                          <pic:cNvPr id="63" name="Picture_10_SpCnt_5"/>
                          <pic:cNvPicPr/>
                        </pic:nvPicPr>
                        <pic:blipFill>
                          <a:blip r:embed="rId15"/>
                          <a:stretch>
                            <a:fillRect/>
                          </a:stretch>
                        </pic:blipFill>
                        <pic:spPr>
                          <a:xfrm>
                            <a:off x="0" y="0"/>
                            <a:ext cx="6985" cy="1079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21728" behindDoc="0" locked="0" layoutInCell="1" allowOverlap="1">
                  <wp:simplePos x="0" y="0"/>
                  <wp:positionH relativeFrom="column">
                    <wp:posOffset>0</wp:posOffset>
                  </wp:positionH>
                  <wp:positionV relativeFrom="paragraph">
                    <wp:posOffset>0</wp:posOffset>
                  </wp:positionV>
                  <wp:extent cx="175895" cy="252730"/>
                  <wp:effectExtent l="0" t="0" r="0" b="0"/>
                  <wp:wrapNone/>
                  <wp:docPr id="64" name="Picture_14_SpCnt_6"/>
                  <wp:cNvGraphicFramePr/>
                  <a:graphic xmlns:a="http://schemas.openxmlformats.org/drawingml/2006/main">
                    <a:graphicData uri="http://schemas.openxmlformats.org/drawingml/2006/picture">
                      <pic:pic xmlns:pic="http://schemas.openxmlformats.org/drawingml/2006/picture">
                        <pic:nvPicPr>
                          <pic:cNvPr id="64" name="Picture_14_SpCnt_6"/>
                          <pic:cNvPicPr/>
                        </pic:nvPicPr>
                        <pic:blipFill>
                          <a:blip r:embed="rId11"/>
                          <a:stretch>
                            <a:fillRect/>
                          </a:stretch>
                        </pic:blipFill>
                        <pic:spPr>
                          <a:xfrm>
                            <a:off x="0" y="0"/>
                            <a:ext cx="175895" cy="25273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22752" behindDoc="0" locked="0" layoutInCell="1" allowOverlap="1">
                  <wp:simplePos x="0" y="0"/>
                  <wp:positionH relativeFrom="column">
                    <wp:posOffset>0</wp:posOffset>
                  </wp:positionH>
                  <wp:positionV relativeFrom="paragraph">
                    <wp:posOffset>0</wp:posOffset>
                  </wp:positionV>
                  <wp:extent cx="215900" cy="265430"/>
                  <wp:effectExtent l="0" t="0" r="0" b="0"/>
                  <wp:wrapNone/>
                  <wp:docPr id="65" name="Picture_18_SpCnt_5"/>
                  <wp:cNvGraphicFramePr/>
                  <a:graphic xmlns:a="http://schemas.openxmlformats.org/drawingml/2006/main">
                    <a:graphicData uri="http://schemas.openxmlformats.org/drawingml/2006/picture">
                      <pic:pic xmlns:pic="http://schemas.openxmlformats.org/drawingml/2006/picture">
                        <pic:nvPicPr>
                          <pic:cNvPr id="65" name="Picture_18_SpCnt_5"/>
                          <pic:cNvPicPr/>
                        </pic:nvPicPr>
                        <pic:blipFill>
                          <a:blip r:embed="rId13"/>
                          <a:stretch>
                            <a:fillRect/>
                          </a:stretch>
                        </pic:blipFill>
                        <pic:spPr>
                          <a:xfrm>
                            <a:off x="0" y="0"/>
                            <a:ext cx="215900" cy="26543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23776" behindDoc="0" locked="0" layoutInCell="1" allowOverlap="1">
                  <wp:simplePos x="0" y="0"/>
                  <wp:positionH relativeFrom="column">
                    <wp:posOffset>0</wp:posOffset>
                  </wp:positionH>
                  <wp:positionV relativeFrom="paragraph">
                    <wp:posOffset>0</wp:posOffset>
                  </wp:positionV>
                  <wp:extent cx="72390" cy="243840"/>
                  <wp:effectExtent l="0" t="0" r="0" b="0"/>
                  <wp:wrapNone/>
                  <wp:docPr id="66" name="Picture_15_SpCnt_6"/>
                  <wp:cNvGraphicFramePr/>
                  <a:graphic xmlns:a="http://schemas.openxmlformats.org/drawingml/2006/main">
                    <a:graphicData uri="http://schemas.openxmlformats.org/drawingml/2006/picture">
                      <pic:pic xmlns:pic="http://schemas.openxmlformats.org/drawingml/2006/picture">
                        <pic:nvPicPr>
                          <pic:cNvPr id="66" name="Picture_15_SpCnt_6"/>
                          <pic:cNvPicPr/>
                        </pic:nvPicPr>
                        <pic:blipFill>
                          <a:blip r:embed="rId14"/>
                          <a:stretch>
                            <a:fillRect/>
                          </a:stretch>
                        </pic:blipFill>
                        <pic:spPr>
                          <a:xfrm>
                            <a:off x="0" y="0"/>
                            <a:ext cx="72390" cy="24384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24800" behindDoc="0" locked="0" layoutInCell="1" allowOverlap="1">
                  <wp:simplePos x="0" y="0"/>
                  <wp:positionH relativeFrom="column">
                    <wp:posOffset>0</wp:posOffset>
                  </wp:positionH>
                  <wp:positionV relativeFrom="paragraph">
                    <wp:posOffset>0</wp:posOffset>
                  </wp:positionV>
                  <wp:extent cx="213995" cy="273050"/>
                  <wp:effectExtent l="0" t="0" r="0" b="0"/>
                  <wp:wrapNone/>
                  <wp:docPr id="67" name="Picture_5_SpCnt_5"/>
                  <wp:cNvGraphicFramePr/>
                  <a:graphic xmlns:a="http://schemas.openxmlformats.org/drawingml/2006/main">
                    <a:graphicData uri="http://schemas.openxmlformats.org/drawingml/2006/picture">
                      <pic:pic xmlns:pic="http://schemas.openxmlformats.org/drawingml/2006/picture">
                        <pic:nvPicPr>
                          <pic:cNvPr id="67" name="Picture_5_SpCnt_5"/>
                          <pic:cNvPicPr/>
                        </pic:nvPicPr>
                        <pic:blipFill>
                          <a:blip r:embed="rId10"/>
                          <a:stretch>
                            <a:fillRect/>
                          </a:stretch>
                        </pic:blipFill>
                        <pic:spPr>
                          <a:xfrm>
                            <a:off x="0" y="0"/>
                            <a:ext cx="213995" cy="273050"/>
                          </a:xfrm>
                          <a:prstGeom prst="rect">
                            <a:avLst/>
                          </a:prstGeom>
                          <a:noFill/>
                          <a:ln>
                            <a:noFill/>
                          </a:ln>
                        </pic:spPr>
                      </pic:pic>
                    </a:graphicData>
                  </a:graphic>
                </wp:anchor>
              </w:drawing>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25824" behindDoc="0" locked="0" layoutInCell="1" allowOverlap="1">
                  <wp:simplePos x="0" y="0"/>
                  <wp:positionH relativeFrom="column">
                    <wp:posOffset>0</wp:posOffset>
                  </wp:positionH>
                  <wp:positionV relativeFrom="paragraph">
                    <wp:posOffset>0</wp:posOffset>
                  </wp:positionV>
                  <wp:extent cx="6985" cy="9525"/>
                  <wp:effectExtent l="0" t="0" r="0" b="0"/>
                  <wp:wrapNone/>
                  <wp:docPr id="68" name="Picture_10_SpCnt_6"/>
                  <wp:cNvGraphicFramePr/>
                  <a:graphic xmlns:a="http://schemas.openxmlformats.org/drawingml/2006/main">
                    <a:graphicData uri="http://schemas.openxmlformats.org/drawingml/2006/picture">
                      <pic:pic xmlns:pic="http://schemas.openxmlformats.org/drawingml/2006/picture">
                        <pic:nvPicPr>
                          <pic:cNvPr id="68" name="Picture_10_SpCnt_6"/>
                          <pic:cNvPicPr/>
                        </pic:nvPicPr>
                        <pic:blipFill>
                          <a:blip r:embed="rId16"/>
                          <a:stretch>
                            <a:fillRect/>
                          </a:stretch>
                        </pic:blipFill>
                        <pic:spPr>
                          <a:xfrm>
                            <a:off x="0" y="0"/>
                            <a:ext cx="6985" cy="952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26848" behindDoc="0" locked="0" layoutInCell="1" allowOverlap="1">
                  <wp:simplePos x="0" y="0"/>
                  <wp:positionH relativeFrom="column">
                    <wp:posOffset>0</wp:posOffset>
                  </wp:positionH>
                  <wp:positionV relativeFrom="paragraph">
                    <wp:posOffset>0</wp:posOffset>
                  </wp:positionV>
                  <wp:extent cx="8890" cy="11430"/>
                  <wp:effectExtent l="0" t="0" r="0" b="0"/>
                  <wp:wrapNone/>
                  <wp:docPr id="69" name="Picture_10_SpCnt_7"/>
                  <wp:cNvGraphicFramePr/>
                  <a:graphic xmlns:a="http://schemas.openxmlformats.org/drawingml/2006/main">
                    <a:graphicData uri="http://schemas.openxmlformats.org/drawingml/2006/picture">
                      <pic:pic xmlns:pic="http://schemas.openxmlformats.org/drawingml/2006/picture">
                        <pic:nvPicPr>
                          <pic:cNvPr id="69" name="Picture_10_SpCnt_7"/>
                          <pic:cNvPicPr/>
                        </pic:nvPicPr>
                        <pic:blipFill>
                          <a:blip r:embed="rId15"/>
                          <a:stretch>
                            <a:fillRect/>
                          </a:stretch>
                        </pic:blipFill>
                        <pic:spPr>
                          <a:xfrm>
                            <a:off x="0" y="0"/>
                            <a:ext cx="8890" cy="1143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8890" cy="11430"/>
                  <wp:effectExtent l="0" t="0" r="0" b="0"/>
                  <wp:wrapNone/>
                  <wp:docPr id="70" name="Picture_9_SpCnt_6"/>
                  <wp:cNvGraphicFramePr/>
                  <a:graphic xmlns:a="http://schemas.openxmlformats.org/drawingml/2006/main">
                    <a:graphicData uri="http://schemas.openxmlformats.org/drawingml/2006/picture">
                      <pic:pic xmlns:pic="http://schemas.openxmlformats.org/drawingml/2006/picture">
                        <pic:nvPicPr>
                          <pic:cNvPr id="70" name="Picture_9_SpCnt_6"/>
                          <pic:cNvPicPr/>
                        </pic:nvPicPr>
                        <pic:blipFill>
                          <a:blip r:embed="rId15"/>
                          <a:stretch>
                            <a:fillRect/>
                          </a:stretch>
                        </pic:blipFill>
                        <pic:spPr>
                          <a:xfrm>
                            <a:off x="0" y="0"/>
                            <a:ext cx="8890" cy="1143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28896" behindDoc="0" locked="0" layoutInCell="1" allowOverlap="1">
                  <wp:simplePos x="0" y="0"/>
                  <wp:positionH relativeFrom="column">
                    <wp:posOffset>0</wp:posOffset>
                  </wp:positionH>
                  <wp:positionV relativeFrom="paragraph">
                    <wp:posOffset>0</wp:posOffset>
                  </wp:positionV>
                  <wp:extent cx="6350" cy="9525"/>
                  <wp:effectExtent l="0" t="0" r="0" b="0"/>
                  <wp:wrapNone/>
                  <wp:docPr id="71" name="Picture_9_SpCnt_7"/>
                  <wp:cNvGraphicFramePr/>
                  <a:graphic xmlns:a="http://schemas.openxmlformats.org/drawingml/2006/main">
                    <a:graphicData uri="http://schemas.openxmlformats.org/drawingml/2006/picture">
                      <pic:pic xmlns:pic="http://schemas.openxmlformats.org/drawingml/2006/picture">
                        <pic:nvPicPr>
                          <pic:cNvPr id="71" name="Picture_9_SpCnt_7"/>
                          <pic:cNvPicPr/>
                        </pic:nvPicPr>
                        <pic:blipFill>
                          <a:blip r:embed="rId16"/>
                          <a:stretch>
                            <a:fillRect/>
                          </a:stretch>
                        </pic:blipFill>
                        <pic:spPr>
                          <a:xfrm>
                            <a:off x="0" y="0"/>
                            <a:ext cx="6350" cy="952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u w:val="none"/>
                <w:lang w:val="en-US" w:eastAsia="zh-CN" w:bidi="ar"/>
              </w:rPr>
              <w:t>广州市增城区</w:t>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29920" behindDoc="0" locked="0" layoutInCell="1" allowOverlap="1">
                  <wp:simplePos x="0" y="0"/>
                  <wp:positionH relativeFrom="column">
                    <wp:posOffset>227965</wp:posOffset>
                  </wp:positionH>
                  <wp:positionV relativeFrom="paragraph">
                    <wp:posOffset>0</wp:posOffset>
                  </wp:positionV>
                  <wp:extent cx="215265" cy="274955"/>
                  <wp:effectExtent l="0" t="0" r="0" b="0"/>
                  <wp:wrapNone/>
                  <wp:docPr id="72" name="Picture_6_SpCnt_16"/>
                  <wp:cNvGraphicFramePr/>
                  <a:graphic xmlns:a="http://schemas.openxmlformats.org/drawingml/2006/main">
                    <a:graphicData uri="http://schemas.openxmlformats.org/drawingml/2006/picture">
                      <pic:pic xmlns:pic="http://schemas.openxmlformats.org/drawingml/2006/picture">
                        <pic:nvPicPr>
                          <pic:cNvPr id="72" name="Picture_6_SpCnt_16"/>
                          <pic:cNvPicPr/>
                        </pic:nvPicPr>
                        <pic:blipFill>
                          <a:blip r:embed="rId10"/>
                          <a:stretch>
                            <a:fillRect/>
                          </a:stretch>
                        </pic:blipFill>
                        <pic:spPr>
                          <a:xfrm>
                            <a:off x="0" y="0"/>
                            <a:ext cx="215265" cy="27495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30944" behindDoc="0" locked="0" layoutInCell="1" allowOverlap="1">
                  <wp:simplePos x="0" y="0"/>
                  <wp:positionH relativeFrom="column">
                    <wp:posOffset>227965</wp:posOffset>
                  </wp:positionH>
                  <wp:positionV relativeFrom="paragraph">
                    <wp:posOffset>0</wp:posOffset>
                  </wp:positionV>
                  <wp:extent cx="213995" cy="264160"/>
                  <wp:effectExtent l="0" t="0" r="0" b="0"/>
                  <wp:wrapNone/>
                  <wp:docPr id="73" name="Picture_19_SpCnt_2"/>
                  <wp:cNvGraphicFramePr/>
                  <a:graphic xmlns:a="http://schemas.openxmlformats.org/drawingml/2006/main">
                    <a:graphicData uri="http://schemas.openxmlformats.org/drawingml/2006/picture">
                      <pic:pic xmlns:pic="http://schemas.openxmlformats.org/drawingml/2006/picture">
                        <pic:nvPicPr>
                          <pic:cNvPr id="73" name="Picture_19_SpCnt_2"/>
                          <pic:cNvPicPr/>
                        </pic:nvPicPr>
                        <pic:blipFill>
                          <a:blip r:embed="rId13"/>
                          <a:stretch>
                            <a:fillRect/>
                          </a:stretch>
                        </pic:blipFill>
                        <pic:spPr>
                          <a:xfrm>
                            <a:off x="0" y="0"/>
                            <a:ext cx="213995" cy="26416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31968" behindDoc="0" locked="0" layoutInCell="1" allowOverlap="1">
                  <wp:simplePos x="0" y="0"/>
                  <wp:positionH relativeFrom="column">
                    <wp:posOffset>227965</wp:posOffset>
                  </wp:positionH>
                  <wp:positionV relativeFrom="paragraph">
                    <wp:posOffset>0</wp:posOffset>
                  </wp:positionV>
                  <wp:extent cx="213995" cy="273685"/>
                  <wp:effectExtent l="0" t="0" r="0" b="0"/>
                  <wp:wrapNone/>
                  <wp:docPr id="74" name="Picture_6_SpCnt_17"/>
                  <wp:cNvGraphicFramePr/>
                  <a:graphic xmlns:a="http://schemas.openxmlformats.org/drawingml/2006/main">
                    <a:graphicData uri="http://schemas.openxmlformats.org/drawingml/2006/picture">
                      <pic:pic xmlns:pic="http://schemas.openxmlformats.org/drawingml/2006/picture">
                        <pic:nvPicPr>
                          <pic:cNvPr id="74" name="Picture_6_SpCnt_17"/>
                          <pic:cNvPicPr/>
                        </pic:nvPicPr>
                        <pic:blipFill>
                          <a:blip r:embed="rId10"/>
                          <a:stretch>
                            <a:fillRect/>
                          </a:stretch>
                        </pic:blipFill>
                        <pic:spPr>
                          <a:xfrm>
                            <a:off x="0" y="0"/>
                            <a:ext cx="213995" cy="27368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32992" behindDoc="0" locked="0" layoutInCell="1" allowOverlap="1">
                  <wp:simplePos x="0" y="0"/>
                  <wp:positionH relativeFrom="column">
                    <wp:posOffset>227965</wp:posOffset>
                  </wp:positionH>
                  <wp:positionV relativeFrom="paragraph">
                    <wp:posOffset>0</wp:posOffset>
                  </wp:positionV>
                  <wp:extent cx="213360" cy="273050"/>
                  <wp:effectExtent l="0" t="0" r="0" b="0"/>
                  <wp:wrapNone/>
                  <wp:docPr id="75" name="Picture_6_SpCnt_18"/>
                  <wp:cNvGraphicFramePr/>
                  <a:graphic xmlns:a="http://schemas.openxmlformats.org/drawingml/2006/main">
                    <a:graphicData uri="http://schemas.openxmlformats.org/drawingml/2006/picture">
                      <pic:pic xmlns:pic="http://schemas.openxmlformats.org/drawingml/2006/picture">
                        <pic:nvPicPr>
                          <pic:cNvPr id="75" name="Picture_6_SpCnt_18"/>
                          <pic:cNvPicPr/>
                        </pic:nvPicPr>
                        <pic:blipFill>
                          <a:blip r:embed="rId10"/>
                          <a:stretch>
                            <a:fillRect/>
                          </a:stretch>
                        </pic:blipFill>
                        <pic:spPr>
                          <a:xfrm>
                            <a:off x="0" y="0"/>
                            <a:ext cx="213360" cy="27305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34016" behindDoc="0" locked="0" layoutInCell="1" allowOverlap="1">
                  <wp:simplePos x="0" y="0"/>
                  <wp:positionH relativeFrom="column">
                    <wp:posOffset>227965</wp:posOffset>
                  </wp:positionH>
                  <wp:positionV relativeFrom="paragraph">
                    <wp:posOffset>0</wp:posOffset>
                  </wp:positionV>
                  <wp:extent cx="213360" cy="254000"/>
                  <wp:effectExtent l="0" t="0" r="0" b="0"/>
                  <wp:wrapNone/>
                  <wp:docPr id="76" name="Picture_2_SpCnt_5"/>
                  <wp:cNvGraphicFramePr/>
                  <a:graphic xmlns:a="http://schemas.openxmlformats.org/drawingml/2006/main">
                    <a:graphicData uri="http://schemas.openxmlformats.org/drawingml/2006/picture">
                      <pic:pic xmlns:pic="http://schemas.openxmlformats.org/drawingml/2006/picture">
                        <pic:nvPicPr>
                          <pic:cNvPr id="76" name="Picture_2_SpCnt_5"/>
                          <pic:cNvPicPr/>
                        </pic:nvPicPr>
                        <pic:blipFill>
                          <a:blip r:embed="rId12"/>
                          <a:stretch>
                            <a:fillRect/>
                          </a:stretch>
                        </pic:blipFill>
                        <pic:spPr>
                          <a:xfrm>
                            <a:off x="0" y="0"/>
                            <a:ext cx="213360" cy="25400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35040" behindDoc="0" locked="0" layoutInCell="1" allowOverlap="1">
                  <wp:simplePos x="0" y="0"/>
                  <wp:positionH relativeFrom="column">
                    <wp:posOffset>227965</wp:posOffset>
                  </wp:positionH>
                  <wp:positionV relativeFrom="paragraph">
                    <wp:posOffset>0</wp:posOffset>
                  </wp:positionV>
                  <wp:extent cx="213995" cy="254635"/>
                  <wp:effectExtent l="0" t="0" r="0" b="0"/>
                  <wp:wrapNone/>
                  <wp:docPr id="77" name="Picture_2_SpCnt_6"/>
                  <wp:cNvGraphicFramePr/>
                  <a:graphic xmlns:a="http://schemas.openxmlformats.org/drawingml/2006/main">
                    <a:graphicData uri="http://schemas.openxmlformats.org/drawingml/2006/picture">
                      <pic:pic xmlns:pic="http://schemas.openxmlformats.org/drawingml/2006/picture">
                        <pic:nvPicPr>
                          <pic:cNvPr id="77" name="Picture_2_SpCnt_6"/>
                          <pic:cNvPicPr/>
                        </pic:nvPicPr>
                        <pic:blipFill>
                          <a:blip r:embed="rId12"/>
                          <a:stretch>
                            <a:fillRect/>
                          </a:stretch>
                        </pic:blipFill>
                        <pic:spPr>
                          <a:xfrm>
                            <a:off x="0" y="0"/>
                            <a:ext cx="213995" cy="25463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36064" behindDoc="0" locked="0" layoutInCell="1" allowOverlap="1">
                  <wp:simplePos x="0" y="0"/>
                  <wp:positionH relativeFrom="column">
                    <wp:posOffset>227965</wp:posOffset>
                  </wp:positionH>
                  <wp:positionV relativeFrom="paragraph">
                    <wp:posOffset>0</wp:posOffset>
                  </wp:positionV>
                  <wp:extent cx="213360" cy="263525"/>
                  <wp:effectExtent l="0" t="0" r="0" b="0"/>
                  <wp:wrapNone/>
                  <wp:docPr id="78" name="Picture_19_SpCnt_3"/>
                  <wp:cNvGraphicFramePr/>
                  <a:graphic xmlns:a="http://schemas.openxmlformats.org/drawingml/2006/main">
                    <a:graphicData uri="http://schemas.openxmlformats.org/drawingml/2006/picture">
                      <pic:pic xmlns:pic="http://schemas.openxmlformats.org/drawingml/2006/picture">
                        <pic:nvPicPr>
                          <pic:cNvPr id="78" name="Picture_19_SpCnt_3"/>
                          <pic:cNvPicPr/>
                        </pic:nvPicPr>
                        <pic:blipFill>
                          <a:blip r:embed="rId13"/>
                          <a:stretch>
                            <a:fillRect/>
                          </a:stretch>
                        </pic:blipFill>
                        <pic:spPr>
                          <a:xfrm>
                            <a:off x="0" y="0"/>
                            <a:ext cx="213360" cy="26352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37088" behindDoc="0" locked="0" layoutInCell="1" allowOverlap="1">
                  <wp:simplePos x="0" y="0"/>
                  <wp:positionH relativeFrom="column">
                    <wp:posOffset>227965</wp:posOffset>
                  </wp:positionH>
                  <wp:positionV relativeFrom="paragraph">
                    <wp:posOffset>0</wp:posOffset>
                  </wp:positionV>
                  <wp:extent cx="215265" cy="255905"/>
                  <wp:effectExtent l="0" t="0" r="0" b="0"/>
                  <wp:wrapNone/>
                  <wp:docPr id="79" name="Picture_2_SpCnt_7"/>
                  <wp:cNvGraphicFramePr/>
                  <a:graphic xmlns:a="http://schemas.openxmlformats.org/drawingml/2006/main">
                    <a:graphicData uri="http://schemas.openxmlformats.org/drawingml/2006/picture">
                      <pic:pic xmlns:pic="http://schemas.openxmlformats.org/drawingml/2006/picture">
                        <pic:nvPicPr>
                          <pic:cNvPr id="79" name="Picture_2_SpCnt_7"/>
                          <pic:cNvPicPr/>
                        </pic:nvPicPr>
                        <pic:blipFill>
                          <a:blip r:embed="rId12"/>
                          <a:stretch>
                            <a:fillRect/>
                          </a:stretch>
                        </pic:blipFill>
                        <pic:spPr>
                          <a:xfrm>
                            <a:off x="0" y="0"/>
                            <a:ext cx="215265" cy="25590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38112" behindDoc="0" locked="0" layoutInCell="1" allowOverlap="1">
                  <wp:simplePos x="0" y="0"/>
                  <wp:positionH relativeFrom="column">
                    <wp:posOffset>227965</wp:posOffset>
                  </wp:positionH>
                  <wp:positionV relativeFrom="paragraph">
                    <wp:posOffset>0</wp:posOffset>
                  </wp:positionV>
                  <wp:extent cx="215265" cy="265430"/>
                  <wp:effectExtent l="0" t="0" r="0" b="0"/>
                  <wp:wrapNone/>
                  <wp:docPr id="80" name="Picture_19_SpCnt_4"/>
                  <wp:cNvGraphicFramePr/>
                  <a:graphic xmlns:a="http://schemas.openxmlformats.org/drawingml/2006/main">
                    <a:graphicData uri="http://schemas.openxmlformats.org/drawingml/2006/picture">
                      <pic:pic xmlns:pic="http://schemas.openxmlformats.org/drawingml/2006/picture">
                        <pic:nvPicPr>
                          <pic:cNvPr id="80" name="Picture_19_SpCnt_4"/>
                          <pic:cNvPicPr/>
                        </pic:nvPicPr>
                        <pic:blipFill>
                          <a:blip r:embed="rId13"/>
                          <a:stretch>
                            <a:fillRect/>
                          </a:stretch>
                        </pic:blipFill>
                        <pic:spPr>
                          <a:xfrm>
                            <a:off x="0" y="0"/>
                            <a:ext cx="215265" cy="26543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39136" behindDoc="0" locked="0" layoutInCell="1" allowOverlap="1">
                  <wp:simplePos x="0" y="0"/>
                  <wp:positionH relativeFrom="column">
                    <wp:posOffset>228600</wp:posOffset>
                  </wp:positionH>
                  <wp:positionV relativeFrom="paragraph">
                    <wp:posOffset>0</wp:posOffset>
                  </wp:positionV>
                  <wp:extent cx="215265" cy="274320"/>
                  <wp:effectExtent l="0" t="0" r="0" b="0"/>
                  <wp:wrapNone/>
                  <wp:docPr id="81" name="Picture_6_SpCnt_19"/>
                  <wp:cNvGraphicFramePr/>
                  <a:graphic xmlns:a="http://schemas.openxmlformats.org/drawingml/2006/main">
                    <a:graphicData uri="http://schemas.openxmlformats.org/drawingml/2006/picture">
                      <pic:pic xmlns:pic="http://schemas.openxmlformats.org/drawingml/2006/picture">
                        <pic:nvPicPr>
                          <pic:cNvPr id="81" name="Picture_6_SpCnt_19"/>
                          <pic:cNvPicPr/>
                        </pic:nvPicPr>
                        <pic:blipFill>
                          <a:blip r:embed="rId10"/>
                          <a:stretch>
                            <a:fillRect/>
                          </a:stretch>
                        </pic:blipFill>
                        <pic:spPr>
                          <a:xfrm>
                            <a:off x="0" y="0"/>
                            <a:ext cx="215265" cy="27432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40160" behindDoc="0" locked="0" layoutInCell="1" allowOverlap="1">
                  <wp:simplePos x="0" y="0"/>
                  <wp:positionH relativeFrom="column">
                    <wp:posOffset>228600</wp:posOffset>
                  </wp:positionH>
                  <wp:positionV relativeFrom="paragraph">
                    <wp:posOffset>0</wp:posOffset>
                  </wp:positionV>
                  <wp:extent cx="213360" cy="264160"/>
                  <wp:effectExtent l="0" t="0" r="0" b="0"/>
                  <wp:wrapNone/>
                  <wp:docPr id="82" name="Picture_19_SpCnt_5"/>
                  <wp:cNvGraphicFramePr/>
                  <a:graphic xmlns:a="http://schemas.openxmlformats.org/drawingml/2006/main">
                    <a:graphicData uri="http://schemas.openxmlformats.org/drawingml/2006/picture">
                      <pic:pic xmlns:pic="http://schemas.openxmlformats.org/drawingml/2006/picture">
                        <pic:nvPicPr>
                          <pic:cNvPr id="82" name="Picture_19_SpCnt_5"/>
                          <pic:cNvPicPr/>
                        </pic:nvPicPr>
                        <pic:blipFill>
                          <a:blip r:embed="rId13"/>
                          <a:stretch>
                            <a:fillRect/>
                          </a:stretch>
                        </pic:blipFill>
                        <pic:spPr>
                          <a:xfrm>
                            <a:off x="0" y="0"/>
                            <a:ext cx="213360" cy="26416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41184" behindDoc="0" locked="0" layoutInCell="1" allowOverlap="1">
                  <wp:simplePos x="0" y="0"/>
                  <wp:positionH relativeFrom="column">
                    <wp:posOffset>228600</wp:posOffset>
                  </wp:positionH>
                  <wp:positionV relativeFrom="paragraph">
                    <wp:posOffset>0</wp:posOffset>
                  </wp:positionV>
                  <wp:extent cx="213360" cy="252730"/>
                  <wp:effectExtent l="0" t="0" r="0" b="0"/>
                  <wp:wrapNone/>
                  <wp:docPr id="83" name="Picture_2_SpCnt_8"/>
                  <wp:cNvGraphicFramePr/>
                  <a:graphic xmlns:a="http://schemas.openxmlformats.org/drawingml/2006/main">
                    <a:graphicData uri="http://schemas.openxmlformats.org/drawingml/2006/picture">
                      <pic:pic xmlns:pic="http://schemas.openxmlformats.org/drawingml/2006/picture">
                        <pic:nvPicPr>
                          <pic:cNvPr id="83" name="Picture_2_SpCnt_8"/>
                          <pic:cNvPicPr/>
                        </pic:nvPicPr>
                        <pic:blipFill>
                          <a:blip r:embed="rId12"/>
                          <a:stretch>
                            <a:fillRect/>
                          </a:stretch>
                        </pic:blipFill>
                        <pic:spPr>
                          <a:xfrm>
                            <a:off x="0" y="0"/>
                            <a:ext cx="213360" cy="25273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42208" behindDoc="0" locked="0" layoutInCell="1" allowOverlap="1">
                  <wp:simplePos x="0" y="0"/>
                  <wp:positionH relativeFrom="column">
                    <wp:posOffset>228600</wp:posOffset>
                  </wp:positionH>
                  <wp:positionV relativeFrom="paragraph">
                    <wp:posOffset>0</wp:posOffset>
                  </wp:positionV>
                  <wp:extent cx="213995" cy="273050"/>
                  <wp:effectExtent l="0" t="0" r="0" b="0"/>
                  <wp:wrapNone/>
                  <wp:docPr id="84" name="Picture_6_SpCnt_20"/>
                  <wp:cNvGraphicFramePr/>
                  <a:graphic xmlns:a="http://schemas.openxmlformats.org/drawingml/2006/main">
                    <a:graphicData uri="http://schemas.openxmlformats.org/drawingml/2006/picture">
                      <pic:pic xmlns:pic="http://schemas.openxmlformats.org/drawingml/2006/picture">
                        <pic:nvPicPr>
                          <pic:cNvPr id="84" name="Picture_6_SpCnt_20"/>
                          <pic:cNvPicPr/>
                        </pic:nvPicPr>
                        <pic:blipFill>
                          <a:blip r:embed="rId10"/>
                          <a:stretch>
                            <a:fillRect/>
                          </a:stretch>
                        </pic:blipFill>
                        <pic:spPr>
                          <a:xfrm>
                            <a:off x="0" y="0"/>
                            <a:ext cx="213995" cy="273050"/>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43232" behindDoc="0" locked="0" layoutInCell="1" allowOverlap="1">
                  <wp:simplePos x="0" y="0"/>
                  <wp:positionH relativeFrom="column">
                    <wp:posOffset>228600</wp:posOffset>
                  </wp:positionH>
                  <wp:positionV relativeFrom="paragraph">
                    <wp:posOffset>0</wp:posOffset>
                  </wp:positionV>
                  <wp:extent cx="213360" cy="272415"/>
                  <wp:effectExtent l="0" t="0" r="0" b="0"/>
                  <wp:wrapNone/>
                  <wp:docPr id="85" name="Picture_6_SpCnt_21"/>
                  <wp:cNvGraphicFramePr/>
                  <a:graphic xmlns:a="http://schemas.openxmlformats.org/drawingml/2006/main">
                    <a:graphicData uri="http://schemas.openxmlformats.org/drawingml/2006/picture">
                      <pic:pic xmlns:pic="http://schemas.openxmlformats.org/drawingml/2006/picture">
                        <pic:nvPicPr>
                          <pic:cNvPr id="85" name="Picture_6_SpCnt_21"/>
                          <pic:cNvPicPr/>
                        </pic:nvPicPr>
                        <pic:blipFill>
                          <a:blip r:embed="rId10"/>
                          <a:stretch>
                            <a:fillRect/>
                          </a:stretch>
                        </pic:blipFill>
                        <pic:spPr>
                          <a:xfrm>
                            <a:off x="0" y="0"/>
                            <a:ext cx="213360" cy="27241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44256" behindDoc="0" locked="0" layoutInCell="1" allowOverlap="1">
                  <wp:simplePos x="0" y="0"/>
                  <wp:positionH relativeFrom="column">
                    <wp:posOffset>228600</wp:posOffset>
                  </wp:positionH>
                  <wp:positionV relativeFrom="paragraph">
                    <wp:posOffset>0</wp:posOffset>
                  </wp:positionV>
                  <wp:extent cx="215265" cy="266065"/>
                  <wp:effectExtent l="0" t="0" r="0" b="0"/>
                  <wp:wrapNone/>
                  <wp:docPr id="86" name="Picture_19_SpCnt_6"/>
                  <wp:cNvGraphicFramePr/>
                  <a:graphic xmlns:a="http://schemas.openxmlformats.org/drawingml/2006/main">
                    <a:graphicData uri="http://schemas.openxmlformats.org/drawingml/2006/picture">
                      <pic:pic xmlns:pic="http://schemas.openxmlformats.org/drawingml/2006/picture">
                        <pic:nvPicPr>
                          <pic:cNvPr id="86" name="Picture_19_SpCnt_6"/>
                          <pic:cNvPicPr/>
                        </pic:nvPicPr>
                        <pic:blipFill>
                          <a:blip r:embed="rId13"/>
                          <a:stretch>
                            <a:fillRect/>
                          </a:stretch>
                        </pic:blipFill>
                        <pic:spPr>
                          <a:xfrm>
                            <a:off x="0" y="0"/>
                            <a:ext cx="215265" cy="26606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45280" behindDoc="0" locked="0" layoutInCell="1" allowOverlap="1">
                  <wp:simplePos x="0" y="0"/>
                  <wp:positionH relativeFrom="column">
                    <wp:posOffset>228600</wp:posOffset>
                  </wp:positionH>
                  <wp:positionV relativeFrom="paragraph">
                    <wp:posOffset>0</wp:posOffset>
                  </wp:positionV>
                  <wp:extent cx="213995" cy="264795"/>
                  <wp:effectExtent l="0" t="0" r="0" b="0"/>
                  <wp:wrapNone/>
                  <wp:docPr id="87" name="Picture_19_SpCnt_7"/>
                  <wp:cNvGraphicFramePr/>
                  <a:graphic xmlns:a="http://schemas.openxmlformats.org/drawingml/2006/main">
                    <a:graphicData uri="http://schemas.openxmlformats.org/drawingml/2006/picture">
                      <pic:pic xmlns:pic="http://schemas.openxmlformats.org/drawingml/2006/picture">
                        <pic:nvPicPr>
                          <pic:cNvPr id="87" name="Picture_19_SpCnt_7"/>
                          <pic:cNvPicPr/>
                        </pic:nvPicPr>
                        <pic:blipFill>
                          <a:blip r:embed="rId13"/>
                          <a:stretch>
                            <a:fillRect/>
                          </a:stretch>
                        </pic:blipFill>
                        <pic:spPr>
                          <a:xfrm>
                            <a:off x="0" y="0"/>
                            <a:ext cx="213995" cy="26479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46304" behindDoc="0" locked="0" layoutInCell="1" allowOverlap="1">
                  <wp:simplePos x="0" y="0"/>
                  <wp:positionH relativeFrom="column">
                    <wp:posOffset>228600</wp:posOffset>
                  </wp:positionH>
                  <wp:positionV relativeFrom="paragraph">
                    <wp:posOffset>0</wp:posOffset>
                  </wp:positionV>
                  <wp:extent cx="213995" cy="253365"/>
                  <wp:effectExtent l="0" t="0" r="0" b="0"/>
                  <wp:wrapNone/>
                  <wp:docPr id="88" name="Picture_2_SpCnt_9"/>
                  <wp:cNvGraphicFramePr/>
                  <a:graphic xmlns:a="http://schemas.openxmlformats.org/drawingml/2006/main">
                    <a:graphicData uri="http://schemas.openxmlformats.org/drawingml/2006/picture">
                      <pic:pic xmlns:pic="http://schemas.openxmlformats.org/drawingml/2006/picture">
                        <pic:nvPicPr>
                          <pic:cNvPr id="88" name="Picture_2_SpCnt_9"/>
                          <pic:cNvPicPr/>
                        </pic:nvPicPr>
                        <pic:blipFill>
                          <a:blip r:embed="rId12"/>
                          <a:stretch>
                            <a:fillRect/>
                          </a:stretch>
                        </pic:blipFill>
                        <pic:spPr>
                          <a:xfrm>
                            <a:off x="0" y="0"/>
                            <a:ext cx="213995" cy="25336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drawing>
                <wp:anchor distT="0" distB="0" distL="114300" distR="114300" simplePos="0" relativeHeight="251747328" behindDoc="0" locked="0" layoutInCell="1" allowOverlap="1">
                  <wp:simplePos x="0" y="0"/>
                  <wp:positionH relativeFrom="column">
                    <wp:posOffset>228600</wp:posOffset>
                  </wp:positionH>
                  <wp:positionV relativeFrom="paragraph">
                    <wp:posOffset>0</wp:posOffset>
                  </wp:positionV>
                  <wp:extent cx="215265" cy="254635"/>
                  <wp:effectExtent l="0" t="0" r="0" b="0"/>
                  <wp:wrapNone/>
                  <wp:docPr id="89" name="Picture_2_SpCnt_10"/>
                  <wp:cNvGraphicFramePr/>
                  <a:graphic xmlns:a="http://schemas.openxmlformats.org/drawingml/2006/main">
                    <a:graphicData uri="http://schemas.openxmlformats.org/drawingml/2006/picture">
                      <pic:pic xmlns:pic="http://schemas.openxmlformats.org/drawingml/2006/picture">
                        <pic:nvPicPr>
                          <pic:cNvPr id="89" name="Picture_2_SpCnt_10"/>
                          <pic:cNvPicPr/>
                        </pic:nvPicPr>
                        <pic:blipFill>
                          <a:blip r:embed="rId12"/>
                          <a:stretch>
                            <a:fillRect/>
                          </a:stretch>
                        </pic:blipFill>
                        <pic:spPr>
                          <a:xfrm>
                            <a:off x="0" y="0"/>
                            <a:ext cx="215265" cy="254635"/>
                          </a:xfrm>
                          <a:prstGeom prst="rect">
                            <a:avLst/>
                          </a:prstGeom>
                          <a:noFill/>
                          <a:ln>
                            <a:noFill/>
                          </a:ln>
                        </pic:spPr>
                      </pic:pic>
                    </a:graphicData>
                  </a:graphic>
                </wp:anchor>
              </w:drawing>
            </w:r>
            <w:r>
              <w:rPr>
                <w:rFonts w:hint="eastAsia" w:asciiTheme="minorEastAsia" w:hAnsiTheme="minorEastAsia" w:eastAsiaTheme="minorEastAsia" w:cstheme="minorEastAsia"/>
                <w:color w:val="auto"/>
                <w:sz w:val="21"/>
                <w:szCs w:val="21"/>
                <w:lang w:val="en-US" w:eastAsia="zh-CN"/>
              </w:rPr>
              <w:t>中新镇学园路</w:t>
            </w:r>
            <w:r>
              <w:rPr>
                <w:rFonts w:hint="eastAsia" w:ascii="Times New Roman" w:hAnsi="Times New Roman" w:eastAsiaTheme="minorEastAsia" w:cstheme="minorEastAsia"/>
                <w:color w:val="auto"/>
                <w:sz w:val="21"/>
                <w:szCs w:val="21"/>
                <w:lang w:val="en-US" w:eastAsia="zh-CN"/>
              </w:rPr>
              <w:t>14</w:t>
            </w:r>
            <w:r>
              <w:rPr>
                <w:rFonts w:hint="eastAsia" w:asciiTheme="minorEastAsia" w:hAnsiTheme="minorEastAsia" w:eastAsiaTheme="minorEastAsia" w:cstheme="minorEastAsia"/>
                <w:color w:val="auto"/>
                <w:sz w:val="21"/>
                <w:szCs w:val="21"/>
                <w:lang w:val="en-US" w:eastAsia="zh-CN"/>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广州市增城区中新中学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266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福和中学应急避护场所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广州市增城区中新镇福和月芳路</w:t>
            </w:r>
            <w:r>
              <w:rPr>
                <w:rFonts w:hint="eastAsia" w:ascii="Times New Roman" w:hAnsi="Times New Roman" w:eastAsiaTheme="minorEastAsia" w:cstheme="minorEastAsia"/>
                <w:i w:val="0"/>
                <w:iCs w:val="0"/>
                <w:color w:val="auto"/>
                <w:kern w:val="0"/>
                <w:sz w:val="21"/>
                <w:szCs w:val="21"/>
                <w:u w:val="none"/>
                <w:lang w:val="en-US" w:eastAsia="zh-CN" w:bidi="ar"/>
              </w:rPr>
              <w:t>77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广州市增城区福和中学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267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中新中心小学应急避护场所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广州市增城区中新镇学院路</w:t>
            </w:r>
            <w:r>
              <w:rPr>
                <w:rFonts w:hint="eastAsia" w:ascii="Times New Roman" w:hAnsi="Times New Roman" w:eastAsiaTheme="minorEastAsia" w:cstheme="minorEastAsia"/>
                <w:i w:val="0"/>
                <w:iCs w:val="0"/>
                <w:color w:val="auto"/>
                <w:kern w:val="0"/>
                <w:sz w:val="21"/>
                <w:szCs w:val="21"/>
                <w:u w:val="none"/>
                <w:lang w:val="en-US" w:eastAsia="zh-CN" w:bidi="ar"/>
              </w:rPr>
              <w:t>20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广州市增城区中新中心小学</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268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广州市增城区中新镇中福路</w:t>
            </w:r>
            <w:r>
              <w:rPr>
                <w:rFonts w:hint="eastAsia" w:ascii="Times New Roman" w:hAnsi="Times New Roman" w:eastAsiaTheme="minorEastAsia" w:cstheme="minorEastAsia"/>
                <w:i w:val="0"/>
                <w:iCs w:val="0"/>
                <w:color w:val="auto"/>
                <w:kern w:val="0"/>
                <w:sz w:val="21"/>
                <w:szCs w:val="21"/>
                <w:u w:val="none"/>
                <w:lang w:val="en-US" w:eastAsia="zh-CN" w:bidi="ar"/>
              </w:rPr>
              <w:t>30</w:t>
            </w:r>
            <w:r>
              <w:rPr>
                <w:rFonts w:hint="eastAsia" w:asciiTheme="minorEastAsia" w:hAnsiTheme="minorEastAsia" w:eastAsiaTheme="minorEastAsia" w:cstheme="minorEastAsia"/>
                <w:i w:val="0"/>
                <w:iCs w:val="0"/>
                <w:color w:val="auto"/>
                <w:kern w:val="0"/>
                <w:sz w:val="21"/>
                <w:szCs w:val="21"/>
                <w:u w:val="none"/>
                <w:lang w:val="en-US" w:eastAsia="zh-CN" w:bidi="ar"/>
              </w:rPr>
              <w:t>号中新镇人民政府对面</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广州市增城区中新镇中新社区居民委员会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269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福和广场应急避护场所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广州市增城区中新镇福和圩月芳路（福和居委旁）</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固定</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广州市增城区中新镇福和社区居民委员会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270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安良村应急避护场所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广州市增城区中新镇福和安良村岭埔如意三路</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广州市增城区中新镇安良村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1"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271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坳头村应急避护场所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广州市增城区中新镇坳头村老屋巷</w:t>
            </w:r>
            <w:r>
              <w:rPr>
                <w:rFonts w:hint="eastAsia" w:ascii="Times New Roman" w:hAnsi="Times New Roman" w:eastAsiaTheme="minorEastAsia" w:cstheme="minorEastAsia"/>
                <w:i w:val="0"/>
                <w:iCs w:val="0"/>
                <w:color w:val="auto"/>
                <w:kern w:val="0"/>
                <w:sz w:val="21"/>
                <w:szCs w:val="21"/>
                <w:u w:val="none"/>
                <w:lang w:val="en-US" w:eastAsia="zh-CN" w:bidi="ar"/>
              </w:rPr>
              <w:t>35</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广州市增城区中新镇坳头村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272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池岭村应急避护场所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广州市增城区中新镇池岭村池岭路</w:t>
            </w:r>
            <w:r>
              <w:rPr>
                <w:rFonts w:hint="eastAsia" w:ascii="Times New Roman" w:hAnsi="Times New Roman" w:eastAsiaTheme="minorEastAsia" w:cstheme="minorEastAsia"/>
                <w:i w:val="0"/>
                <w:iCs w:val="0"/>
                <w:color w:val="auto"/>
                <w:kern w:val="0"/>
                <w:sz w:val="21"/>
                <w:szCs w:val="21"/>
                <w:u w:val="none"/>
                <w:lang w:val="en-US" w:eastAsia="zh-CN" w:bidi="ar"/>
              </w:rPr>
              <w:t>119</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广州市增城区中新镇池岭村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273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慈岭村应急避护场所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广州市增城区中新镇慈岭村李屋路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广州市增城区中新镇慈岭村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274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大安村应急避护场所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广州市增城区中新镇福和圹尾一路</w:t>
            </w:r>
            <w:r>
              <w:rPr>
                <w:rFonts w:hint="eastAsia" w:ascii="Times New Roman" w:hAnsi="Times New Roman" w:eastAsiaTheme="minorEastAsia" w:cstheme="minorEastAsia"/>
                <w:i w:val="0"/>
                <w:iCs w:val="0"/>
                <w:color w:val="auto"/>
                <w:kern w:val="0"/>
                <w:sz w:val="21"/>
                <w:szCs w:val="21"/>
                <w:u w:val="none"/>
                <w:lang w:val="en-US" w:eastAsia="zh-CN" w:bidi="ar"/>
              </w:rPr>
              <w:t>3</w:t>
            </w:r>
            <w:r>
              <w:rPr>
                <w:rFonts w:hint="eastAsia" w:asciiTheme="minorEastAsia" w:hAnsiTheme="minorEastAsia" w:eastAsiaTheme="minorEastAsia" w:cstheme="minorEastAsia"/>
                <w:i w:val="0"/>
                <w:iCs w:val="0"/>
                <w:color w:val="auto"/>
                <w:kern w:val="0"/>
                <w:sz w:val="21"/>
                <w:szCs w:val="21"/>
                <w:u w:val="none"/>
                <w:lang w:val="en-US" w:eastAsia="zh-CN" w:bidi="ar"/>
              </w:rPr>
              <w:t>一</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广州市增城区中新镇大安村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275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大田村应急避护场所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广州市增城区中新镇大田村学园路</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广州市增城区中新镇大田村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276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官塘村应急避护场所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广州市增城区中新镇官塘村柏木路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广州市增城区中新镇官塘村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277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濠迳村应急避护场所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广州市增城区中新镇濠迳村南向路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广州市增城区中新镇濠迳村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278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合益村应急避护场所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广州市增城区中新镇合益村永香路</w:t>
            </w:r>
            <w:r>
              <w:rPr>
                <w:rFonts w:hint="eastAsia" w:ascii="Times New Roman" w:hAnsi="Times New Roman" w:eastAsiaTheme="minorEastAsia" w:cstheme="minorEastAsia"/>
                <w:i w:val="0"/>
                <w:iCs w:val="0"/>
                <w:color w:val="auto"/>
                <w:kern w:val="0"/>
                <w:sz w:val="21"/>
                <w:szCs w:val="21"/>
                <w:u w:val="none"/>
                <w:lang w:val="en-US" w:eastAsia="zh-CN" w:bidi="ar"/>
              </w:rPr>
              <w:t>56</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广州市增城区中新镇合益村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279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集丰村应急避护场所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广州市增城区中新镇集丰村新村街</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广州市增城区中新镇集丰村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280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简塘村应急避护场所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广州市增城区中新镇福和简塘村何屋路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广州市增城区中新镇简塘村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281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九和村应急避护场所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广州市增城区中新镇九和村新新路</w:t>
            </w:r>
            <w:r>
              <w:rPr>
                <w:rFonts w:hint="eastAsia" w:ascii="Times New Roman" w:hAnsi="Times New Roman" w:eastAsiaTheme="minorEastAsia" w:cstheme="minorEastAsia"/>
                <w:i w:val="0"/>
                <w:iCs w:val="0"/>
                <w:color w:val="auto"/>
                <w:kern w:val="0"/>
                <w:sz w:val="21"/>
                <w:szCs w:val="21"/>
                <w:u w:val="none"/>
                <w:lang w:val="en-US" w:eastAsia="zh-CN" w:bidi="ar"/>
              </w:rPr>
              <w:t>83</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广州市增城区中新镇九和村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282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坑贝村应急避护场所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广州市增城区中新镇坑贝村风光东路</w:t>
            </w:r>
            <w:r>
              <w:rPr>
                <w:rFonts w:hint="eastAsia" w:ascii="Times New Roman" w:hAnsi="Times New Roman" w:eastAsiaTheme="minorEastAsia" w:cstheme="minorEastAsia"/>
                <w:i w:val="0"/>
                <w:iCs w:val="0"/>
                <w:color w:val="auto"/>
                <w:kern w:val="0"/>
                <w:sz w:val="21"/>
                <w:szCs w:val="21"/>
                <w:u w:val="none"/>
                <w:lang w:val="en-US" w:eastAsia="zh-CN" w:bidi="ar"/>
              </w:rPr>
              <w:t>80</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广州市增城区中新镇坑贝村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283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里汾村应急避护场所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广州市增城区中新镇里汾村村前街</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广州市增城区中新镇里汾村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284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莲塘村应急避护场所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广州市增城区中新镇莲塘村莲塘路</w:t>
            </w:r>
            <w:r>
              <w:rPr>
                <w:rFonts w:hint="eastAsia" w:ascii="Times New Roman" w:hAnsi="Times New Roman" w:eastAsiaTheme="minorEastAsia" w:cstheme="minorEastAsia"/>
                <w:i w:val="0"/>
                <w:iCs w:val="0"/>
                <w:color w:val="auto"/>
                <w:kern w:val="0"/>
                <w:sz w:val="21"/>
                <w:szCs w:val="21"/>
                <w:u w:val="none"/>
                <w:lang w:val="en-US" w:eastAsia="zh-CN" w:bidi="ar"/>
              </w:rPr>
              <w:t>97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广州市增城区中新镇莲塘村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285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联安村应急避护场所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广州市增城区中新镇联安村村民委员会</w:t>
            </w:r>
            <w:r>
              <w:rPr>
                <w:rFonts w:hint="eastAsia" w:ascii="Times New Roman" w:hAnsi="Times New Roman" w:eastAsiaTheme="minorEastAsia" w:cstheme="minorEastAsia"/>
                <w:i w:val="0"/>
                <w:iCs w:val="0"/>
                <w:color w:val="auto"/>
                <w:kern w:val="0"/>
                <w:sz w:val="21"/>
                <w:szCs w:val="21"/>
                <w:u w:val="none"/>
                <w:lang w:val="en-US" w:eastAsia="zh-CN" w:bidi="ar"/>
              </w:rPr>
              <w:t>X940</w:t>
            </w:r>
            <w:r>
              <w:rPr>
                <w:rFonts w:hint="eastAsia" w:asciiTheme="minorEastAsia" w:hAnsiTheme="minorEastAsia" w:eastAsiaTheme="minorEastAsia" w:cstheme="minorEastAsia"/>
                <w:i w:val="0"/>
                <w:iCs w:val="0"/>
                <w:color w:val="auto"/>
                <w:kern w:val="0"/>
                <w:sz w:val="21"/>
                <w:szCs w:val="21"/>
                <w:u w:val="none"/>
                <w:lang w:val="en-US" w:eastAsia="zh-CN" w:bidi="ar"/>
              </w:rPr>
              <w:t>县道</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广州市增城区中新镇联安村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286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联丰村应急避护场所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广州市增城区中新镇新宁中路</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广州市增城区中新镇联丰村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287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茅田村应急避护场所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广州市增城区中新镇茅田村东场路</w:t>
            </w:r>
            <w:r>
              <w:rPr>
                <w:rFonts w:hint="eastAsia" w:ascii="Times New Roman" w:hAnsi="Times New Roman" w:eastAsiaTheme="minorEastAsia" w:cstheme="minorEastAsia"/>
                <w:i w:val="0"/>
                <w:iCs w:val="0"/>
                <w:color w:val="auto"/>
                <w:kern w:val="0"/>
                <w:sz w:val="21"/>
                <w:szCs w:val="21"/>
                <w:u w:val="none"/>
                <w:lang w:val="en-US" w:eastAsia="zh-CN" w:bidi="ar"/>
              </w:rPr>
              <w:t>38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广州市增城区中新镇茅田村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288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南池村应急避护场所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广州市增城区中新镇南池村南池路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广州市增城区中新镇南池村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289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泮霞村应急避护场所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广州市增城区中新镇福和平中北路</w:t>
            </w:r>
            <w:r>
              <w:rPr>
                <w:rFonts w:hint="eastAsia" w:ascii="Times New Roman" w:hAnsi="Times New Roman" w:eastAsiaTheme="minorEastAsia" w:cstheme="minorEastAsia"/>
                <w:i w:val="0"/>
                <w:iCs w:val="0"/>
                <w:color w:val="auto"/>
                <w:kern w:val="0"/>
                <w:sz w:val="21"/>
                <w:szCs w:val="21"/>
                <w:u w:val="none"/>
                <w:lang w:val="en-US" w:eastAsia="zh-CN" w:bidi="ar"/>
              </w:rPr>
              <w:t>64</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广州市增城区中新镇泮霞村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6"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290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三迳村应急避护场所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广州市增城区中新镇三迳村府前路</w:t>
            </w:r>
            <w:r>
              <w:rPr>
                <w:rFonts w:hint="eastAsia" w:ascii="Times New Roman" w:hAnsi="Times New Roman" w:eastAsiaTheme="minorEastAsia" w:cstheme="minorEastAsia"/>
                <w:i w:val="0"/>
                <w:iCs w:val="0"/>
                <w:color w:val="auto"/>
                <w:kern w:val="0"/>
                <w:sz w:val="21"/>
                <w:szCs w:val="21"/>
                <w:u w:val="none"/>
                <w:lang w:val="en-US" w:eastAsia="zh-CN" w:bidi="ar"/>
              </w:rPr>
              <w:t>7</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广州市增城区中新镇三迳村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291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三星村应急避护场所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广州市增城区中新镇三星村上屋路</w:t>
            </w:r>
            <w:r>
              <w:rPr>
                <w:rFonts w:hint="eastAsia" w:ascii="Times New Roman" w:hAnsi="Times New Roman" w:eastAsiaTheme="minorEastAsia" w:cstheme="minorEastAsia"/>
                <w:i w:val="0"/>
                <w:iCs w:val="0"/>
                <w:color w:val="auto"/>
                <w:kern w:val="0"/>
                <w:sz w:val="21"/>
                <w:szCs w:val="21"/>
                <w:u w:val="none"/>
                <w:lang w:val="en-US" w:eastAsia="zh-CN" w:bidi="ar"/>
              </w:rPr>
              <w:t>49</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广州市增城区中新镇三星村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292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山美村应急避护场所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广州市增城区中新镇山美村南钟路</w:t>
            </w:r>
            <w:r>
              <w:rPr>
                <w:rFonts w:hint="eastAsia" w:ascii="Times New Roman" w:hAnsi="Times New Roman" w:eastAsiaTheme="minorEastAsia" w:cstheme="minorEastAsia"/>
                <w:i w:val="0"/>
                <w:iCs w:val="0"/>
                <w:color w:val="auto"/>
                <w:kern w:val="0"/>
                <w:sz w:val="21"/>
                <w:szCs w:val="21"/>
                <w:u w:val="none"/>
                <w:lang w:val="en-US" w:eastAsia="zh-CN" w:bidi="ar"/>
              </w:rPr>
              <w:t>19</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广州市增城区中新镇山美村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293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双塘村应急避护场所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广州市增城区中新镇双塘村西玲路</w:t>
            </w:r>
            <w:r>
              <w:rPr>
                <w:rFonts w:hint="eastAsia" w:ascii="Times New Roman" w:hAnsi="Times New Roman" w:eastAsiaTheme="minorEastAsia" w:cstheme="minorEastAsia"/>
                <w:i w:val="0"/>
                <w:iCs w:val="0"/>
                <w:color w:val="auto"/>
                <w:kern w:val="0"/>
                <w:sz w:val="21"/>
                <w:szCs w:val="21"/>
                <w:u w:val="none"/>
                <w:lang w:val="en-US" w:eastAsia="zh-CN" w:bidi="ar"/>
              </w:rPr>
              <w:t>88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广州市增城区中新镇双塘村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294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田美村应急避护场所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广州市增城区中新镇田美村东门路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广州市增城区中新镇田美村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295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团结村应急避护场所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广州市增城区中新镇团结村团结路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广州市增城区中新镇团结村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296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乌石村应急避护场所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广州市增城区中新镇乌石村乌石二路</w:t>
            </w:r>
            <w:r>
              <w:rPr>
                <w:rFonts w:hint="eastAsia" w:ascii="Times New Roman" w:hAnsi="Times New Roman" w:eastAsiaTheme="minorEastAsia" w:cstheme="minorEastAsia"/>
                <w:i w:val="0"/>
                <w:iCs w:val="0"/>
                <w:color w:val="auto"/>
                <w:kern w:val="0"/>
                <w:sz w:val="21"/>
                <w:szCs w:val="21"/>
                <w:u w:val="none"/>
                <w:lang w:val="en-US" w:eastAsia="zh-CN" w:bidi="ar"/>
              </w:rPr>
              <w:t>64</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广州市增城区中新镇乌石村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297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五联村应急避护场所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广州市增城区中新镇五联村学校南路</w:t>
            </w:r>
            <w:r>
              <w:rPr>
                <w:rFonts w:hint="eastAsia" w:ascii="Times New Roman" w:hAnsi="Times New Roman" w:eastAsia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广州市增城区中新镇五联村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298</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霞迳村应急避护场所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广州市增城区中新镇霞迳村霞迳西路</w:t>
            </w:r>
            <w:r>
              <w:rPr>
                <w:rFonts w:hint="eastAsia" w:ascii="Times New Roman" w:hAnsi="Times New Roman" w:eastAsiaTheme="minorEastAsia" w:cstheme="minorEastAsia"/>
                <w:i w:val="0"/>
                <w:iCs w:val="0"/>
                <w:color w:val="auto"/>
                <w:kern w:val="0"/>
                <w:sz w:val="21"/>
                <w:szCs w:val="21"/>
                <w:u w:val="none"/>
                <w:lang w:val="en-US" w:eastAsia="zh-CN" w:bidi="ar"/>
              </w:rPr>
              <w:t>18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广州市增城区中新镇霞迳村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299</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心岭村应急避护场所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广州市增城区中新镇福和心岭村园圃路</w:t>
            </w:r>
            <w:r>
              <w:rPr>
                <w:rFonts w:hint="eastAsia" w:ascii="Times New Roman" w:hAnsi="Times New Roman" w:eastAsiaTheme="minorEastAsia" w:cstheme="minorEastAsia"/>
                <w:i w:val="0"/>
                <w:iCs w:val="0"/>
                <w:color w:val="auto"/>
                <w:kern w:val="0"/>
                <w:sz w:val="21"/>
                <w:szCs w:val="21"/>
                <w:u w:val="none"/>
                <w:lang w:val="en-US" w:eastAsia="zh-CN" w:bidi="ar"/>
              </w:rPr>
              <w:t>29</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广州市增城区中新镇心岭村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300</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新安村应急避护场所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广州市增城区中新镇新安村村委路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广州市增城区中新镇新安村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301</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新围村应急避护场所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广州市增城区中新镇新围村凤岭路</w:t>
            </w:r>
            <w:r>
              <w:rPr>
                <w:rFonts w:hint="eastAsia" w:ascii="Times New Roman" w:hAnsi="Times New Roman" w:eastAsia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广州市增城区中新镇新围村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302</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永兴村应急避护场所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广州市增城区中新镇永兴村永兴二路</w:t>
            </w:r>
            <w:r>
              <w:rPr>
                <w:rFonts w:hint="eastAsia" w:ascii="Times New Roman" w:hAnsi="Times New Roman" w:eastAsiaTheme="minorEastAsia" w:cstheme="minorEastAsia"/>
                <w:i w:val="0"/>
                <w:iCs w:val="0"/>
                <w:color w:val="auto"/>
                <w:kern w:val="0"/>
                <w:sz w:val="21"/>
                <w:szCs w:val="21"/>
                <w:u w:val="none"/>
                <w:lang w:val="en-US" w:eastAsia="zh-CN" w:bidi="ar"/>
              </w:rPr>
              <w:t>88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广州市增城区中新镇永兴村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7"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303</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广州市增城区中新镇风光路</w:t>
            </w:r>
            <w:r>
              <w:rPr>
                <w:rFonts w:hint="eastAsia" w:ascii="Times New Roman" w:hAnsi="Times New Roman" w:eastAsiaTheme="minorEastAsia" w:cstheme="minorEastAsia"/>
                <w:i w:val="0"/>
                <w:iCs w:val="0"/>
                <w:color w:val="auto"/>
                <w:kern w:val="0"/>
                <w:sz w:val="21"/>
                <w:szCs w:val="21"/>
                <w:u w:val="none"/>
                <w:lang w:val="en-US" w:eastAsia="zh-CN" w:bidi="ar"/>
              </w:rPr>
              <w:t>214</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广州市增城区中新镇中新村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0"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304</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钟岭村应急避护场所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广州市增城区中新镇钟岭村钟山路</w:t>
            </w:r>
            <w:r>
              <w:rPr>
                <w:rFonts w:hint="eastAsia" w:ascii="Times New Roman" w:hAnsi="Times New Roman" w:eastAsiaTheme="minorEastAsia" w:cstheme="minorEastAsia"/>
                <w:i w:val="0"/>
                <w:iCs w:val="0"/>
                <w:color w:val="auto"/>
                <w:kern w:val="0"/>
                <w:sz w:val="21"/>
                <w:szCs w:val="21"/>
                <w:u w:val="none"/>
                <w:lang w:val="en-US" w:eastAsia="zh-CN" w:bidi="ar"/>
              </w:rPr>
              <w:t>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广州市增城区中新镇钟岭村</w:t>
            </w:r>
          </w:p>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村民委员会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305</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福和社区应急避护场所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广州市增城区中新镇福和月芳路</w:t>
            </w:r>
            <w:r>
              <w:rPr>
                <w:rFonts w:hint="eastAsia" w:ascii="Times New Roman" w:hAnsi="Times New Roman" w:eastAsiaTheme="minorEastAsia" w:cstheme="minorEastAsia"/>
                <w:i w:val="0"/>
                <w:iCs w:val="0"/>
                <w:color w:val="auto"/>
                <w:kern w:val="0"/>
                <w:sz w:val="21"/>
                <w:szCs w:val="21"/>
                <w:u w:val="none"/>
                <w:lang w:val="en-US" w:eastAsia="zh-CN" w:bidi="ar"/>
              </w:rPr>
              <w:t>58</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广州市增城区中新镇福和社区居民委员会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306</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中新社区应急避护场所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广州市增城区中新镇中福路</w:t>
            </w:r>
            <w:r>
              <w:rPr>
                <w:rFonts w:hint="eastAsia" w:ascii="Times New Roman" w:hAnsi="Times New Roman" w:eastAsiaTheme="minorEastAsia" w:cstheme="minorEastAsia"/>
                <w:i w:val="0"/>
                <w:iCs w:val="0"/>
                <w:color w:val="auto"/>
                <w:kern w:val="0"/>
                <w:sz w:val="21"/>
                <w:szCs w:val="21"/>
                <w:u w:val="none"/>
                <w:lang w:val="en-US" w:eastAsia="zh-CN" w:bidi="ar"/>
              </w:rPr>
              <w:t>13</w:t>
            </w:r>
            <w:r>
              <w:rPr>
                <w:rFonts w:hint="eastAsia" w:asciiTheme="minorEastAsia" w:hAnsiTheme="minorEastAsia" w:eastAsiaTheme="minorEastAsia" w:cstheme="minorEastAsia"/>
                <w:i w:val="0"/>
                <w:iCs w:val="0"/>
                <w:color w:val="auto"/>
                <w:kern w:val="0"/>
                <w:sz w:val="21"/>
                <w:szCs w:val="21"/>
                <w:u w:val="none"/>
                <w:lang w:val="en-US" w:eastAsia="zh-CN" w:bidi="ar"/>
              </w:rPr>
              <w:t>号</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台风、洪涝</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室内</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广州市增城区中新镇中新社区居民委员会</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广州市增城区中新镇人民政府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1" w:hRule="exact"/>
          <w:jc w:val="center"/>
        </w:trPr>
        <w:tc>
          <w:tcPr>
            <w:tcW w:w="66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imes New Roman" w:hAnsi="Times New Roman" w:eastAsiaTheme="minorEastAsia" w:cstheme="minorEastAsia"/>
                <w:i w:val="0"/>
                <w:iCs w:val="0"/>
                <w:color w:val="auto"/>
                <w:kern w:val="0"/>
                <w:sz w:val="21"/>
                <w:szCs w:val="21"/>
                <w:u w:val="none"/>
                <w:lang w:val="en-US" w:eastAsia="zh-CN" w:bidi="ar"/>
              </w:rPr>
              <w:t>307</w:t>
            </w:r>
          </w:p>
        </w:tc>
        <w:tc>
          <w:tcPr>
            <w:tcW w:w="95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小楼镇</w:t>
            </w:r>
          </w:p>
        </w:tc>
        <w:tc>
          <w:tcPr>
            <w:tcW w:w="952"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二龙山森林公园应急避护场所</w:t>
            </w:r>
          </w:p>
        </w:tc>
        <w:tc>
          <w:tcPr>
            <w:tcW w:w="148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广州市增城区小楼镇二龙村广河高速出口</w:t>
            </w:r>
          </w:p>
        </w:tc>
        <w:tc>
          <w:tcPr>
            <w:tcW w:w="151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地震</w:t>
            </w:r>
          </w:p>
        </w:tc>
        <w:tc>
          <w:tcPr>
            <w:tcW w:w="87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紧急</w:t>
            </w:r>
          </w:p>
        </w:tc>
        <w:tc>
          <w:tcPr>
            <w:tcW w:w="9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室外</w:t>
            </w:r>
          </w:p>
        </w:tc>
        <w:tc>
          <w:tcPr>
            <w:tcW w:w="121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c>
          <w:tcPr>
            <w:tcW w:w="122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广州市增城区小楼镇人民政府</w:t>
            </w:r>
          </w:p>
        </w:tc>
      </w:tr>
    </w:tbl>
    <w:p>
      <w:pPr>
        <w:rPr>
          <w:rFonts w:hint="eastAsia" w:eastAsia="宋体"/>
          <w:lang w:eastAsia="zh-CN"/>
        </w:rPr>
      </w:pPr>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outlineLvl w:val="1"/>
        <w:rPr>
          <w:rFonts w:hint="eastAsia" w:ascii="黑体" w:hAnsi="黑体" w:eastAsia="黑体" w:cs="黑体"/>
          <w:b w:val="0"/>
          <w:bCs/>
          <w:color w:val="auto"/>
          <w:lang w:val="en-US" w:eastAsia="zh-CN"/>
        </w:rPr>
      </w:pPr>
      <w:bookmarkStart w:id="285" w:name="_Toc19759"/>
      <w:bookmarkStart w:id="286" w:name="_Toc15236"/>
      <w:r>
        <w:rPr>
          <w:rFonts w:hint="eastAsia" w:ascii="黑体" w:hAnsi="黑体" w:eastAsia="黑体" w:cs="黑体"/>
          <w:b w:val="0"/>
          <w:bCs/>
          <w:color w:val="auto"/>
          <w:lang w:val="en-US" w:eastAsia="zh-CN"/>
        </w:rPr>
        <w:t>附件</w:t>
      </w:r>
      <w:r>
        <w:rPr>
          <w:rFonts w:hint="eastAsia" w:ascii="Times New Roman" w:hAnsi="Times New Roman" w:eastAsia="黑体" w:cs="黑体"/>
          <w:b w:val="0"/>
          <w:bCs/>
          <w:color w:val="auto"/>
          <w:lang w:val="en-US" w:eastAsia="zh-CN"/>
        </w:rPr>
        <w:t>3</w:t>
      </w:r>
      <w:bookmarkEnd w:id="285"/>
    </w:p>
    <w:p>
      <w:pPr>
        <w:pStyle w:val="4"/>
        <w:keepNext/>
        <w:keepLines/>
        <w:pageBreakBefore w:val="0"/>
        <w:widowControl w:val="0"/>
        <w:kinsoku/>
        <w:wordWrap/>
        <w:overflowPunct/>
        <w:topLinePunct w:val="0"/>
        <w:autoSpaceDE/>
        <w:autoSpaceDN/>
        <w:bidi w:val="0"/>
        <w:adjustRightInd/>
        <w:snapToGrid/>
        <w:spacing w:before="0" w:after="0" w:line="600" w:lineRule="exact"/>
        <w:jc w:val="center"/>
        <w:textAlignment w:val="auto"/>
        <w:outlineLvl w:val="1"/>
        <w:rPr>
          <w:rFonts w:hint="eastAsia" w:ascii="方正小标宋简体" w:hAnsi="方正小标宋简体" w:eastAsia="方正小标宋简体" w:cs="方正小标宋简体"/>
          <w:b w:val="0"/>
          <w:bCs/>
          <w:color w:val="auto"/>
          <w:sz w:val="44"/>
          <w:szCs w:val="44"/>
          <w:lang w:val="en-US" w:eastAsia="zh-CN"/>
        </w:rPr>
      </w:pPr>
      <w:bookmarkStart w:id="287" w:name="_Toc28816"/>
      <w:r>
        <w:rPr>
          <w:rFonts w:hint="eastAsia" w:ascii="方正小标宋简体" w:hAnsi="方正小标宋简体" w:eastAsia="方正小标宋简体" w:cs="方正小标宋简体"/>
          <w:b w:val="0"/>
          <w:bCs/>
          <w:color w:val="auto"/>
          <w:sz w:val="44"/>
          <w:szCs w:val="44"/>
          <w:lang w:val="en-US" w:eastAsia="zh-CN"/>
        </w:rPr>
        <w:t>增城区受灾群众救款物发放流程</w:t>
      </w:r>
      <w:bookmarkEnd w:id="286"/>
      <w:bookmarkEnd w:id="287"/>
    </w:p>
    <w:p>
      <w:pPr>
        <w:pStyle w:val="5"/>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drawing>
          <wp:anchor distT="0" distB="0" distL="114300" distR="114300" simplePos="0" relativeHeight="251748352" behindDoc="1" locked="0" layoutInCell="1" allowOverlap="1">
            <wp:simplePos x="0" y="0"/>
            <wp:positionH relativeFrom="column">
              <wp:posOffset>-212725</wp:posOffset>
            </wp:positionH>
            <wp:positionV relativeFrom="paragraph">
              <wp:posOffset>42545</wp:posOffset>
            </wp:positionV>
            <wp:extent cx="6028690" cy="7143115"/>
            <wp:effectExtent l="0" t="0" r="10160" b="635"/>
            <wp:wrapNone/>
            <wp:docPr id="3" name="图片 3" descr="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page-0001"/>
                    <pic:cNvPicPr>
                      <a:picLocks noChangeAspect="1"/>
                    </pic:cNvPicPr>
                  </pic:nvPicPr>
                  <pic:blipFill>
                    <a:blip r:embed="rId17"/>
                    <a:srcRect l="3565" t="15823" r="4765" b="7407"/>
                    <a:stretch>
                      <a:fillRect/>
                    </a:stretch>
                  </pic:blipFill>
                  <pic:spPr>
                    <a:xfrm>
                      <a:off x="0" y="0"/>
                      <a:ext cx="6028690" cy="7143115"/>
                    </a:xfrm>
                    <a:prstGeom prst="rect">
                      <a:avLst/>
                    </a:prstGeom>
                  </pic:spPr>
                </pic:pic>
              </a:graphicData>
            </a:graphic>
          </wp:anchor>
        </w:drawing>
      </w:r>
    </w:p>
    <w:p>
      <w:pPr>
        <w:rPr>
          <w:rFonts w:hint="eastAsia" w:ascii="方正小标宋简体" w:hAnsi="方正小标宋简体" w:eastAsia="方正小标宋简体" w:cs="方正小标宋简体"/>
          <w:b w:val="0"/>
          <w:bCs/>
          <w:color w:val="auto"/>
          <w:sz w:val="44"/>
          <w:szCs w:val="44"/>
          <w:lang w:val="en-US" w:eastAsia="zh-CN"/>
        </w:rPr>
      </w:pPr>
    </w:p>
    <w:p>
      <w:pPr>
        <w:pStyle w:val="2"/>
        <w:rPr>
          <w:rFonts w:hint="eastAsia" w:ascii="方正小标宋简体" w:hAnsi="方正小标宋简体" w:eastAsia="方正小标宋简体" w:cs="方正小标宋简体"/>
          <w:b w:val="0"/>
          <w:bCs/>
          <w:color w:val="auto"/>
          <w:sz w:val="44"/>
          <w:szCs w:val="44"/>
          <w:lang w:val="en-US" w:eastAsia="zh-CN"/>
        </w:rPr>
      </w:pPr>
    </w:p>
    <w:p>
      <w:pPr>
        <w:rPr>
          <w:rFonts w:hint="eastAsia" w:ascii="方正小标宋简体" w:hAnsi="方正小标宋简体" w:eastAsia="方正小标宋简体" w:cs="方正小标宋简体"/>
          <w:b w:val="0"/>
          <w:bCs/>
          <w:color w:val="auto"/>
          <w:sz w:val="44"/>
          <w:szCs w:val="44"/>
          <w:lang w:val="en-US" w:eastAsia="zh-CN"/>
        </w:rPr>
      </w:pPr>
    </w:p>
    <w:p>
      <w:pPr>
        <w:pStyle w:val="2"/>
        <w:rPr>
          <w:rFonts w:hint="eastAsia" w:ascii="方正小标宋简体" w:hAnsi="方正小标宋简体" w:eastAsia="方正小标宋简体" w:cs="方正小标宋简体"/>
          <w:b w:val="0"/>
          <w:bCs/>
          <w:color w:val="auto"/>
          <w:sz w:val="44"/>
          <w:szCs w:val="44"/>
          <w:lang w:val="en-US" w:eastAsia="zh-CN"/>
        </w:rPr>
      </w:pPr>
    </w:p>
    <w:p>
      <w:pPr>
        <w:rPr>
          <w:rFonts w:hint="eastAsia" w:ascii="方正小标宋简体" w:hAnsi="方正小标宋简体" w:eastAsia="方正小标宋简体" w:cs="方正小标宋简体"/>
          <w:b w:val="0"/>
          <w:bCs/>
          <w:color w:val="auto"/>
          <w:sz w:val="44"/>
          <w:szCs w:val="44"/>
          <w:lang w:val="en-US" w:eastAsia="zh-CN"/>
        </w:rPr>
      </w:pPr>
    </w:p>
    <w:p>
      <w:pPr>
        <w:pStyle w:val="2"/>
        <w:rPr>
          <w:rFonts w:hint="eastAsia" w:ascii="方正小标宋简体" w:hAnsi="方正小标宋简体" w:eastAsia="方正小标宋简体" w:cs="方正小标宋简体"/>
          <w:b w:val="0"/>
          <w:bCs/>
          <w:color w:val="auto"/>
          <w:sz w:val="44"/>
          <w:szCs w:val="44"/>
          <w:lang w:val="en-US" w:eastAsia="zh-CN"/>
        </w:rPr>
      </w:pPr>
    </w:p>
    <w:p>
      <w:pPr>
        <w:rPr>
          <w:rFonts w:hint="eastAsia" w:ascii="方正小标宋简体" w:hAnsi="方正小标宋简体" w:eastAsia="方正小标宋简体" w:cs="方正小标宋简体"/>
          <w:b w:val="0"/>
          <w:bCs/>
          <w:color w:val="auto"/>
          <w:sz w:val="44"/>
          <w:szCs w:val="44"/>
          <w:lang w:val="en-US" w:eastAsia="zh-CN"/>
        </w:rPr>
      </w:pPr>
    </w:p>
    <w:p>
      <w:pPr>
        <w:pStyle w:val="2"/>
        <w:rPr>
          <w:rFonts w:hint="eastAsia" w:ascii="方正小标宋简体" w:hAnsi="方正小标宋简体" w:eastAsia="方正小标宋简体" w:cs="方正小标宋简体"/>
          <w:b w:val="0"/>
          <w:bCs/>
          <w:color w:val="auto"/>
          <w:sz w:val="44"/>
          <w:szCs w:val="44"/>
          <w:lang w:val="en-US" w:eastAsia="zh-CN"/>
        </w:rPr>
      </w:pPr>
    </w:p>
    <w:p>
      <w:pPr>
        <w:rPr>
          <w:rFonts w:hint="eastAsia" w:ascii="方正小标宋简体" w:hAnsi="方正小标宋简体" w:eastAsia="方正小标宋简体" w:cs="方正小标宋简体"/>
          <w:b w:val="0"/>
          <w:bCs/>
          <w:color w:val="auto"/>
          <w:sz w:val="44"/>
          <w:szCs w:val="44"/>
          <w:lang w:val="en-US" w:eastAsia="zh-CN"/>
        </w:rPr>
        <w:sectPr>
          <w:pgSz w:w="11906" w:h="16838"/>
          <w:pgMar w:top="2098" w:right="1474" w:bottom="1984" w:left="1587" w:header="851" w:footer="1757" w:gutter="0"/>
          <w:pgBorders>
            <w:top w:val="none" w:sz="0" w:space="0"/>
            <w:left w:val="none" w:sz="0" w:space="0"/>
            <w:bottom w:val="none" w:sz="0" w:space="0"/>
            <w:right w:val="none" w:sz="0" w:space="0"/>
          </w:pgBorders>
          <w:pgNumType w:fmt="decimal"/>
          <w:cols w:space="0" w:num="1"/>
          <w:rtlGutter w:val="0"/>
          <w:docGrid w:type="linesAndChars" w:linePitch="579" w:charSpace="-842"/>
        </w:sectPr>
      </w:pPr>
    </w:p>
    <w:p>
      <w:pPr>
        <w:pStyle w:val="2"/>
        <w:keepNext w:val="0"/>
        <w:keepLines w:val="0"/>
        <w:pageBreakBefore w:val="0"/>
        <w:kinsoku/>
        <w:wordWrap/>
        <w:overflowPunct/>
        <w:topLinePunct w:val="0"/>
        <w:autoSpaceDE/>
        <w:autoSpaceDN/>
        <w:bidi w:val="0"/>
        <w:adjustRightInd/>
        <w:snapToGrid/>
        <w:spacing w:after="0" w:line="570" w:lineRule="exact"/>
        <w:textAlignment w:val="auto"/>
        <w:rPr>
          <w:rFonts w:hint="eastAsia"/>
          <w:lang w:val="en-US" w:eastAsia="zh-CN"/>
        </w:rPr>
      </w:pPr>
    </w:p>
    <w:p>
      <w:pPr>
        <w:pStyle w:val="2"/>
        <w:keepNext w:val="0"/>
        <w:keepLines w:val="0"/>
        <w:pageBreakBefore w:val="0"/>
        <w:kinsoku/>
        <w:wordWrap/>
        <w:overflowPunct/>
        <w:topLinePunct w:val="0"/>
        <w:autoSpaceDE/>
        <w:autoSpaceDN/>
        <w:bidi w:val="0"/>
        <w:adjustRightInd/>
        <w:snapToGrid/>
        <w:spacing w:after="0" w:line="570" w:lineRule="exact"/>
        <w:textAlignment w:val="auto"/>
        <w:rPr>
          <w:rFonts w:hint="eastAsia" w:ascii="方正小标宋简体" w:hAnsi="方正小标宋简体" w:eastAsia="方正小标宋简体" w:cs="方正小标宋简体"/>
          <w:b w:val="0"/>
          <w:bCs/>
          <w:color w:val="auto"/>
          <w:sz w:val="44"/>
          <w:szCs w:val="44"/>
          <w:lang w:val="en-US" w:eastAsia="zh-CN"/>
        </w:rPr>
      </w:pPr>
    </w:p>
    <w:p>
      <w:pPr>
        <w:keepNext w:val="0"/>
        <w:keepLines w:val="0"/>
        <w:pageBreakBefore w:val="0"/>
        <w:kinsoku/>
        <w:wordWrap/>
        <w:overflowPunct/>
        <w:topLinePunct w:val="0"/>
        <w:autoSpaceDE/>
        <w:autoSpaceDN/>
        <w:bidi w:val="0"/>
        <w:adjustRightInd/>
        <w:snapToGrid/>
        <w:spacing w:line="570" w:lineRule="exact"/>
        <w:textAlignment w:val="auto"/>
        <w:rPr>
          <w:rFonts w:hint="eastAsia"/>
          <w:lang w:val="en-US" w:eastAsia="zh-CN"/>
        </w:rPr>
      </w:pPr>
    </w:p>
    <w:p>
      <w:pPr>
        <w:keepNext w:val="0"/>
        <w:keepLines w:val="0"/>
        <w:pageBreakBefore w:val="0"/>
        <w:kinsoku/>
        <w:wordWrap/>
        <w:overflowPunct/>
        <w:topLinePunct w:val="0"/>
        <w:autoSpaceDE/>
        <w:autoSpaceDN/>
        <w:bidi w:val="0"/>
        <w:adjustRightInd/>
        <w:snapToGrid/>
        <w:spacing w:line="570" w:lineRule="exact"/>
        <w:textAlignment w:val="auto"/>
        <w:rPr>
          <w:rFonts w:hint="eastAsia" w:ascii="方正小标宋简体" w:hAnsi="方正小标宋简体" w:eastAsia="方正小标宋简体" w:cs="方正小标宋简体"/>
          <w:b w:val="0"/>
          <w:bCs/>
          <w:color w:val="auto"/>
          <w:sz w:val="44"/>
          <w:szCs w:val="44"/>
          <w:lang w:val="en-US" w:eastAsia="zh-CN"/>
        </w:rPr>
      </w:pPr>
    </w:p>
    <w:p>
      <w:pPr>
        <w:pStyle w:val="2"/>
        <w:keepNext w:val="0"/>
        <w:keepLines w:val="0"/>
        <w:pageBreakBefore w:val="0"/>
        <w:kinsoku/>
        <w:wordWrap/>
        <w:overflowPunct/>
        <w:topLinePunct w:val="0"/>
        <w:autoSpaceDE/>
        <w:autoSpaceDN/>
        <w:bidi w:val="0"/>
        <w:adjustRightInd/>
        <w:snapToGrid/>
        <w:spacing w:after="0" w:line="570" w:lineRule="exact"/>
        <w:textAlignment w:val="auto"/>
        <w:rPr>
          <w:rFonts w:hint="eastAsia" w:ascii="方正小标宋简体" w:hAnsi="方正小标宋简体" w:eastAsia="方正小标宋简体" w:cs="方正小标宋简体"/>
          <w:b w:val="0"/>
          <w:bCs/>
          <w:color w:val="auto"/>
          <w:sz w:val="44"/>
          <w:szCs w:val="44"/>
          <w:lang w:val="en-US" w:eastAsia="zh-CN"/>
        </w:rPr>
      </w:pPr>
    </w:p>
    <w:p>
      <w:pPr>
        <w:keepNext w:val="0"/>
        <w:keepLines w:val="0"/>
        <w:pageBreakBefore w:val="0"/>
        <w:kinsoku/>
        <w:wordWrap/>
        <w:overflowPunct/>
        <w:topLinePunct w:val="0"/>
        <w:autoSpaceDE/>
        <w:autoSpaceDN/>
        <w:bidi w:val="0"/>
        <w:adjustRightInd/>
        <w:snapToGrid/>
        <w:spacing w:line="570" w:lineRule="exact"/>
        <w:textAlignment w:val="auto"/>
        <w:rPr>
          <w:rFonts w:hint="eastAsia" w:ascii="方正小标宋简体" w:hAnsi="方正小标宋简体" w:eastAsia="方正小标宋简体" w:cs="方正小标宋简体"/>
          <w:b w:val="0"/>
          <w:bCs/>
          <w:color w:val="auto"/>
          <w:sz w:val="44"/>
          <w:szCs w:val="44"/>
          <w:lang w:val="en-US" w:eastAsia="zh-CN"/>
        </w:rPr>
      </w:pPr>
    </w:p>
    <w:p>
      <w:pPr>
        <w:pStyle w:val="2"/>
        <w:keepNext w:val="0"/>
        <w:keepLines w:val="0"/>
        <w:pageBreakBefore w:val="0"/>
        <w:kinsoku/>
        <w:wordWrap/>
        <w:overflowPunct/>
        <w:topLinePunct w:val="0"/>
        <w:autoSpaceDE/>
        <w:autoSpaceDN/>
        <w:bidi w:val="0"/>
        <w:adjustRightInd/>
        <w:snapToGrid/>
        <w:spacing w:after="0" w:line="570" w:lineRule="exact"/>
        <w:textAlignment w:val="auto"/>
        <w:rPr>
          <w:rFonts w:hint="eastAsia" w:ascii="方正小标宋简体" w:hAnsi="方正小标宋简体" w:eastAsia="方正小标宋简体" w:cs="方正小标宋简体"/>
          <w:b w:val="0"/>
          <w:bCs/>
          <w:color w:val="auto"/>
          <w:sz w:val="44"/>
          <w:szCs w:val="44"/>
          <w:lang w:val="en-US" w:eastAsia="zh-CN"/>
        </w:rPr>
      </w:pPr>
    </w:p>
    <w:p>
      <w:pPr>
        <w:keepNext w:val="0"/>
        <w:keepLines w:val="0"/>
        <w:pageBreakBefore w:val="0"/>
        <w:kinsoku/>
        <w:wordWrap/>
        <w:overflowPunct/>
        <w:topLinePunct w:val="0"/>
        <w:autoSpaceDE/>
        <w:autoSpaceDN/>
        <w:bidi w:val="0"/>
        <w:adjustRightInd/>
        <w:snapToGrid/>
        <w:spacing w:line="570" w:lineRule="exact"/>
        <w:textAlignment w:val="auto"/>
        <w:rPr>
          <w:rFonts w:hint="default" w:ascii="Times New Roman" w:hAnsi="Times New Roman" w:cs="Times New Roman"/>
          <w:color w:val="auto"/>
        </w:rPr>
      </w:pPr>
    </w:p>
    <w:p>
      <w:pPr>
        <w:pStyle w:val="2"/>
        <w:keepNext w:val="0"/>
        <w:keepLines w:val="0"/>
        <w:pageBreakBefore w:val="0"/>
        <w:kinsoku/>
        <w:wordWrap/>
        <w:overflowPunct/>
        <w:topLinePunct w:val="0"/>
        <w:autoSpaceDE/>
        <w:autoSpaceDN/>
        <w:bidi w:val="0"/>
        <w:adjustRightInd/>
        <w:snapToGrid/>
        <w:spacing w:after="0" w:line="570" w:lineRule="exact"/>
        <w:ind w:left="0" w:leftChars="0" w:firstLine="0" w:firstLineChars="0"/>
        <w:textAlignment w:val="auto"/>
        <w:rPr>
          <w:rFonts w:hint="default" w:ascii="Times New Roman" w:hAnsi="Times New Roman" w:cs="Times New Roman"/>
          <w:color w:val="auto"/>
        </w:rPr>
      </w:pPr>
    </w:p>
    <w:p>
      <w:pPr>
        <w:pStyle w:val="2"/>
        <w:keepNext w:val="0"/>
        <w:keepLines w:val="0"/>
        <w:pageBreakBefore w:val="0"/>
        <w:widowControl/>
        <w:kinsoku/>
        <w:wordWrap/>
        <w:overflowPunct/>
        <w:topLinePunct w:val="0"/>
        <w:autoSpaceDE/>
        <w:autoSpaceDN/>
        <w:bidi w:val="0"/>
        <w:adjustRightInd/>
        <w:snapToGrid/>
        <w:spacing w:after="0" w:line="570" w:lineRule="exact"/>
        <w:ind w:left="221"/>
        <w:textAlignment w:val="auto"/>
        <w:rPr>
          <w:rFonts w:hint="default"/>
        </w:rPr>
      </w:pPr>
    </w:p>
    <w:p>
      <w:pPr>
        <w:rPr>
          <w:rFonts w:hint="default"/>
        </w:rPr>
      </w:pPr>
    </w:p>
    <w:p>
      <w:pPr>
        <w:pStyle w:val="2"/>
        <w:rPr>
          <w:rFonts w:hint="default"/>
        </w:rPr>
      </w:pPr>
    </w:p>
    <w:p>
      <w:pPr>
        <w:rPr>
          <w:rFonts w:hint="default"/>
        </w:rPr>
      </w:pP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90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公开方式：</w:t>
      </w:r>
      <w:r>
        <w:rPr>
          <w:rFonts w:hint="default" w:ascii="Times New Roman" w:hAnsi="Times New Roman" w:eastAsia="仿宋_GB2312" w:cs="Times New Roman"/>
          <w:sz w:val="32"/>
          <w:szCs w:val="32"/>
          <w:lang w:val="en-US" w:eastAsia="zh-CN"/>
        </w:rPr>
        <w:t>主动</w:t>
      </w:r>
      <w:r>
        <w:rPr>
          <w:rFonts w:hint="default" w:ascii="Times New Roman" w:hAnsi="Times New Roman" w:eastAsia="仿宋_GB2312" w:cs="Times New Roman"/>
          <w:sz w:val="32"/>
          <w:szCs w:val="32"/>
          <w:lang w:eastAsia="zh-CN"/>
        </w:rPr>
        <w:t>公开</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sz w:val="32"/>
          <w:szCs w:val="32"/>
          <w:lang w:eastAsia="zh-CN"/>
        </w:rPr>
      </w:pPr>
    </w:p>
    <w:p>
      <w:pPr>
        <w:pStyle w:val="7"/>
        <w:keepNext w:val="0"/>
        <w:keepLines w:val="0"/>
        <w:pageBreakBefore w:val="0"/>
        <w:widowControl w:val="0"/>
        <w:kinsoku/>
        <w:wordWrap/>
        <w:overflowPunct/>
        <w:topLinePunct w:val="0"/>
        <w:autoSpaceDE/>
        <w:autoSpaceDN/>
        <w:bidi w:val="0"/>
        <w:adjustRightInd w:val="0"/>
        <w:snapToGrid/>
        <w:spacing w:before="0" w:beforeAutospacing="0" w:line="240" w:lineRule="auto"/>
        <w:ind w:left="1210" w:leftChars="121" w:right="303" w:rightChars="96" w:hanging="828" w:hangingChars="300"/>
        <w:textAlignment w:val="baseline"/>
        <w:rPr>
          <w:rFonts w:hint="eastAsia"/>
          <w:sz w:val="28"/>
          <w:szCs w:val="28"/>
          <w:lang w:eastAsia="zh-CN"/>
        </w:rPr>
      </w:pPr>
      <w:r>
        <w:rPr>
          <w:rFonts w:hint="eastAsia" w:ascii="仿宋_GB2312" w:hAnsi="仿宋_GB2312" w:eastAsia="仿宋_GB2312" w:cs="仿宋_GB2312"/>
          <w:color w:val="auto"/>
          <w:sz w:val="28"/>
          <w:szCs w:val="28"/>
          <w:lang w:eastAsia="zh-CN"/>
        </w:rPr>
        <w:t>抄送：区委、</w:t>
      </w:r>
      <w:r>
        <w:rPr>
          <w:rFonts w:hint="eastAsia" w:ascii="仿宋_GB2312" w:hAnsi="仿宋_GB2312" w:eastAsia="仿宋_GB2312" w:cs="仿宋_GB2312"/>
          <w:color w:val="auto"/>
          <w:sz w:val="28"/>
          <w:szCs w:val="28"/>
          <w:lang w:val="en-US" w:eastAsia="zh-CN"/>
        </w:rPr>
        <w:t>开发区党工委、区人大、区政府、开发区管委会、区政协领导同志及开发区管委会、区纪委监委负责同志，区委</w:t>
      </w:r>
      <w:r>
        <w:rPr>
          <w:rFonts w:hint="eastAsia" w:ascii="仿宋_GB2312" w:hAnsi="仿宋_GB2312" w:eastAsia="仿宋_GB2312" w:cs="仿宋_GB2312"/>
          <w:color w:val="auto"/>
          <w:sz w:val="28"/>
          <w:szCs w:val="28"/>
          <w:lang w:eastAsia="zh-CN"/>
        </w:rPr>
        <w:t>各</w:t>
      </w:r>
      <w:r>
        <w:rPr>
          <w:rFonts w:hint="eastAsia" w:ascii="仿宋_GB2312" w:hAnsi="仿宋_GB2312" w:eastAsia="仿宋_GB2312" w:cs="仿宋_GB2312"/>
          <w:color w:val="auto"/>
          <w:sz w:val="28"/>
          <w:szCs w:val="28"/>
          <w:lang w:val="en-US" w:eastAsia="zh-CN"/>
        </w:rPr>
        <w:t>部</w:t>
      </w:r>
      <w:r>
        <w:rPr>
          <w:rFonts w:hint="eastAsia" w:ascii="仿宋_GB2312" w:hAnsi="仿宋_GB2312" w:eastAsia="仿宋_GB2312" w:cs="仿宋_GB2312"/>
          <w:color w:val="auto"/>
          <w:sz w:val="28"/>
          <w:szCs w:val="28"/>
          <w:lang w:eastAsia="zh-CN"/>
        </w:rPr>
        <w:t>委办，区人大办，</w:t>
      </w:r>
      <w:r>
        <w:rPr>
          <w:rFonts w:hint="eastAsia" w:ascii="仿宋_GB2312" w:hAnsi="仿宋_GB2312" w:eastAsia="仿宋_GB2312" w:cs="仿宋_GB2312"/>
          <w:color w:val="auto"/>
          <w:sz w:val="28"/>
          <w:szCs w:val="28"/>
          <w:lang w:val="en-US" w:eastAsia="zh-CN"/>
        </w:rPr>
        <w:t>区</w:t>
      </w:r>
      <w:r>
        <w:rPr>
          <w:rFonts w:hint="eastAsia" w:ascii="仿宋_GB2312" w:hAnsi="仿宋_GB2312" w:eastAsia="仿宋_GB2312" w:cs="仿宋_GB2312"/>
          <w:color w:val="auto"/>
          <w:sz w:val="28"/>
          <w:szCs w:val="28"/>
          <w:lang w:eastAsia="zh-CN"/>
        </w:rPr>
        <w:t>政协办，</w:t>
      </w:r>
      <w:r>
        <w:rPr>
          <w:rFonts w:hint="eastAsia" w:ascii="仿宋_GB2312" w:hAnsi="仿宋_GB2312" w:eastAsia="仿宋_GB2312" w:cs="仿宋_GB2312"/>
          <w:color w:val="auto"/>
          <w:sz w:val="28"/>
          <w:szCs w:val="28"/>
          <w:lang w:val="en-US" w:eastAsia="zh-CN"/>
        </w:rPr>
        <w:t>区人武部，区法院，区检察院，</w:t>
      </w:r>
      <w:r>
        <w:rPr>
          <w:rFonts w:hint="eastAsia" w:ascii="仿宋_GB2312" w:hAnsi="仿宋_GB2312" w:eastAsia="仿宋_GB2312" w:cs="仿宋_GB2312"/>
          <w:color w:val="auto"/>
          <w:sz w:val="28"/>
          <w:szCs w:val="28"/>
          <w:lang w:eastAsia="zh-CN"/>
        </w:rPr>
        <w:t>各人民团体。</w:t>
      </w:r>
    </w:p>
    <w:sectPr>
      <w:footerReference r:id="rId7" w:type="default"/>
      <w:footerReference r:id="rId8" w:type="even"/>
      <w:pgSz w:w="11906" w:h="16838"/>
      <w:pgMar w:top="2098" w:right="1474" w:bottom="1984" w:left="1587" w:header="851" w:footer="1757"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posOffset>4809490</wp:posOffset>
              </wp:positionH>
              <wp:positionV relativeFrom="paragraph">
                <wp:posOffset>0</wp:posOffset>
              </wp:positionV>
              <wp:extent cx="1828800" cy="1828800"/>
              <wp:effectExtent l="0" t="0" r="0" b="0"/>
              <wp:wrapNone/>
              <wp:docPr id="9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left:378.7pt;margin-top:0pt;height:144pt;width:144pt;mso-position-horizontal-relative:margin;mso-wrap-style:none;z-index:251659264;mso-width-relative:page;mso-height-relative:page;" filled="f" stroked="f" coordsize="21600,21600" o:gfxdata="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V4eH21gAAAAkBAAAPAAAAAAAAAAEAIAAAACIAAABkcnMvZG93bnJl&#10;di54bWxQSwECFAAUAAAACACHTuJAWfeG6zgCAABwBAAADgAAAAAAAAABACAAAAAlAQAAZHJzL2Uy&#10;b0RvYy54bWxQSwUGAAAAAAYABgBZAQAAzwUAAAAA&#10;">
              <v:fill on="f" focussize="0,0"/>
              <v:stroke on="f" weight="0.5pt"/>
              <v:imagedata o:title=""/>
              <o:lock v:ext="edit" aspectratio="f"/>
              <v:textbox inset="0mm,0mm,0mm,0mm" style="mso-fit-shape-to-text:t;">
                <w:txbxContent>
                  <w:p>
                    <w:pPr>
                      <w:pStyle w:val="9"/>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r>
                      <w:rPr>
                        <w:rFonts w:hint="eastAsia" w:ascii="宋体" w:hAnsi="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posOffset>189865</wp:posOffset>
              </wp:positionH>
              <wp:positionV relativeFrom="paragraph">
                <wp:posOffset>9525</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2</w:t>
                          </w:r>
                          <w:r>
                            <w:rPr>
                              <w:rFonts w:hint="default" w:ascii="Times New Roman" w:hAnsi="Times New Roman" w:cs="Times New Roman" w:eastAsia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4.95pt;margin-top:0.75pt;height:144pt;width:144pt;mso-position-horizontal-relative:margin;mso-wrap-style:none;z-index:251660288;mso-width-relative:page;mso-height-relative:page;" filled="f" stroked="f" coordsize="21600,21600" o:gfxdata="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RiRv7UAAAACAEAAA8AAAAAAAAAAQAgAAAAIgAAAGRycy9kb3ducmV2LnhtbFBL&#10;AQIUABQAAAAIAIdO4kBKUzqLMwIAAGMEAAAOAAAAAAAAAAEAIAAAACMBAABkcnMvZTJvRG9jLnht&#10;bFBLBQYAAAAABgAGAFkBAADIBQAAAAA=&#10;">
              <v:fill on="f" focussize="0,0"/>
              <v:stroke on="f" weight="0.5pt"/>
              <v:imagedata o:title=""/>
              <o:lock v:ext="edit" aspectratio="f"/>
              <v:textbox inset="0mm,0mm,0mm,0mm" style="mso-fit-shape-to-text:t;">
                <w:txbxContent>
                  <w:p>
                    <w:pPr>
                      <w:pStyle w:val="9"/>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2</w:t>
                    </w:r>
                    <w:r>
                      <w:rPr>
                        <w:rFonts w:hint="default" w:ascii="Times New Roman" w:hAnsi="Times New Roman" w:cs="Times New Roman" w:eastAsia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top w:val="none" w:color="auto" w:sz="0" w:space="0"/>
        <w:left w:val="none" w:color="auto" w:sz="0" w:space="0"/>
        <w:bottom w:val="none" w:color="auto" w:sz="0" w:space="1"/>
        <w:right w:val="none" w:color="auto" w:sz="0" w:space="0"/>
        <w:between w:val="none" w:color="auto" w:sz="0" w:space="0"/>
      </w:pBdr>
      <w:rPr>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0D3EF5"/>
    <w:rsid w:val="010D688C"/>
    <w:rsid w:val="01AC6B27"/>
    <w:rsid w:val="039211E8"/>
    <w:rsid w:val="047D6523"/>
    <w:rsid w:val="04A53CCB"/>
    <w:rsid w:val="057E7F65"/>
    <w:rsid w:val="065D7C3A"/>
    <w:rsid w:val="06A81275"/>
    <w:rsid w:val="06B35061"/>
    <w:rsid w:val="081D595B"/>
    <w:rsid w:val="08E136FF"/>
    <w:rsid w:val="09414674"/>
    <w:rsid w:val="098E5C16"/>
    <w:rsid w:val="0AC05E50"/>
    <w:rsid w:val="0BA12A9D"/>
    <w:rsid w:val="0C5D62C8"/>
    <w:rsid w:val="0CB8010D"/>
    <w:rsid w:val="0D2516AC"/>
    <w:rsid w:val="0D8309AB"/>
    <w:rsid w:val="0DBC0EA7"/>
    <w:rsid w:val="0DBD47A3"/>
    <w:rsid w:val="0DF32B66"/>
    <w:rsid w:val="0E53500F"/>
    <w:rsid w:val="0EC2140A"/>
    <w:rsid w:val="104F2FD8"/>
    <w:rsid w:val="112F09EE"/>
    <w:rsid w:val="116A0584"/>
    <w:rsid w:val="12521929"/>
    <w:rsid w:val="12567D21"/>
    <w:rsid w:val="126A21FA"/>
    <w:rsid w:val="133D781C"/>
    <w:rsid w:val="13AA6D1F"/>
    <w:rsid w:val="14015831"/>
    <w:rsid w:val="159A024D"/>
    <w:rsid w:val="15A2669E"/>
    <w:rsid w:val="16862BC9"/>
    <w:rsid w:val="16E668EA"/>
    <w:rsid w:val="17436FAE"/>
    <w:rsid w:val="18322496"/>
    <w:rsid w:val="18AA2CA8"/>
    <w:rsid w:val="18FD5921"/>
    <w:rsid w:val="1CEE5B59"/>
    <w:rsid w:val="1E88016C"/>
    <w:rsid w:val="1F400C22"/>
    <w:rsid w:val="1F5C3B4D"/>
    <w:rsid w:val="1F8964CB"/>
    <w:rsid w:val="1F99676A"/>
    <w:rsid w:val="1FB62A2B"/>
    <w:rsid w:val="21754D72"/>
    <w:rsid w:val="218075DA"/>
    <w:rsid w:val="22604E3C"/>
    <w:rsid w:val="22FE5847"/>
    <w:rsid w:val="235A4CA6"/>
    <w:rsid w:val="23F824C6"/>
    <w:rsid w:val="24242FB0"/>
    <w:rsid w:val="24A0165A"/>
    <w:rsid w:val="25C13DF8"/>
    <w:rsid w:val="26995156"/>
    <w:rsid w:val="26B3018D"/>
    <w:rsid w:val="27102D05"/>
    <w:rsid w:val="284457F1"/>
    <w:rsid w:val="28E716CF"/>
    <w:rsid w:val="296B4FF5"/>
    <w:rsid w:val="298737DA"/>
    <w:rsid w:val="298C70B0"/>
    <w:rsid w:val="29AA01EA"/>
    <w:rsid w:val="2A18686A"/>
    <w:rsid w:val="2A420490"/>
    <w:rsid w:val="2AC97793"/>
    <w:rsid w:val="2C796889"/>
    <w:rsid w:val="2C92188B"/>
    <w:rsid w:val="2CDF57AE"/>
    <w:rsid w:val="2D0B6272"/>
    <w:rsid w:val="2E191FE8"/>
    <w:rsid w:val="2ECD1756"/>
    <w:rsid w:val="2EFC2E77"/>
    <w:rsid w:val="2FB52C58"/>
    <w:rsid w:val="306B04F2"/>
    <w:rsid w:val="30F34D89"/>
    <w:rsid w:val="31DB46F5"/>
    <w:rsid w:val="32804368"/>
    <w:rsid w:val="32AB0BA5"/>
    <w:rsid w:val="32D73F88"/>
    <w:rsid w:val="33C9041B"/>
    <w:rsid w:val="33CD010B"/>
    <w:rsid w:val="33FF5A46"/>
    <w:rsid w:val="341B0B8C"/>
    <w:rsid w:val="343C29A5"/>
    <w:rsid w:val="34F52CA0"/>
    <w:rsid w:val="36676F4F"/>
    <w:rsid w:val="36D00EFD"/>
    <w:rsid w:val="379423F7"/>
    <w:rsid w:val="37A36070"/>
    <w:rsid w:val="37B3536D"/>
    <w:rsid w:val="37EA436E"/>
    <w:rsid w:val="380769FB"/>
    <w:rsid w:val="39484E09"/>
    <w:rsid w:val="39CC722A"/>
    <w:rsid w:val="3A740AA7"/>
    <w:rsid w:val="3B060B12"/>
    <w:rsid w:val="3C2809E4"/>
    <w:rsid w:val="3C2C50A2"/>
    <w:rsid w:val="3C2F7B9E"/>
    <w:rsid w:val="3C371C58"/>
    <w:rsid w:val="3C5549E2"/>
    <w:rsid w:val="3CBB4430"/>
    <w:rsid w:val="3D37773B"/>
    <w:rsid w:val="3D7C6D09"/>
    <w:rsid w:val="3E4E341C"/>
    <w:rsid w:val="3E6270F0"/>
    <w:rsid w:val="3F994228"/>
    <w:rsid w:val="40203C18"/>
    <w:rsid w:val="40524DEB"/>
    <w:rsid w:val="414B12D3"/>
    <w:rsid w:val="458B3D80"/>
    <w:rsid w:val="460503DD"/>
    <w:rsid w:val="460D3EF5"/>
    <w:rsid w:val="46E62648"/>
    <w:rsid w:val="4946137E"/>
    <w:rsid w:val="4A570604"/>
    <w:rsid w:val="4A8F726D"/>
    <w:rsid w:val="4B342BDF"/>
    <w:rsid w:val="4BE25B8D"/>
    <w:rsid w:val="4D9D713C"/>
    <w:rsid w:val="4DE71B3E"/>
    <w:rsid w:val="4E4D3919"/>
    <w:rsid w:val="4E8B4FF7"/>
    <w:rsid w:val="50753171"/>
    <w:rsid w:val="510736DB"/>
    <w:rsid w:val="51CB7D4B"/>
    <w:rsid w:val="52055F32"/>
    <w:rsid w:val="52F7137E"/>
    <w:rsid w:val="52FF5B4B"/>
    <w:rsid w:val="530116FB"/>
    <w:rsid w:val="53C16B66"/>
    <w:rsid w:val="53E358BF"/>
    <w:rsid w:val="54065E54"/>
    <w:rsid w:val="544C37E9"/>
    <w:rsid w:val="545134A5"/>
    <w:rsid w:val="549B46E1"/>
    <w:rsid w:val="553962D0"/>
    <w:rsid w:val="55471E23"/>
    <w:rsid w:val="55EF09CE"/>
    <w:rsid w:val="576B0CC5"/>
    <w:rsid w:val="57C945D3"/>
    <w:rsid w:val="583E3F5E"/>
    <w:rsid w:val="58846F4A"/>
    <w:rsid w:val="58940F7F"/>
    <w:rsid w:val="59FF7991"/>
    <w:rsid w:val="5B3D5EEF"/>
    <w:rsid w:val="5BB10654"/>
    <w:rsid w:val="5D147B95"/>
    <w:rsid w:val="5DA46034"/>
    <w:rsid w:val="5DBA6212"/>
    <w:rsid w:val="5EE175D0"/>
    <w:rsid w:val="601B1DCC"/>
    <w:rsid w:val="60681C9E"/>
    <w:rsid w:val="60C1025D"/>
    <w:rsid w:val="61970260"/>
    <w:rsid w:val="620935BC"/>
    <w:rsid w:val="621262F9"/>
    <w:rsid w:val="627778AD"/>
    <w:rsid w:val="62813B95"/>
    <w:rsid w:val="639174BF"/>
    <w:rsid w:val="645C670E"/>
    <w:rsid w:val="652D6922"/>
    <w:rsid w:val="67E065A7"/>
    <w:rsid w:val="693B62C4"/>
    <w:rsid w:val="69EF222C"/>
    <w:rsid w:val="6A1D7170"/>
    <w:rsid w:val="6A2D246B"/>
    <w:rsid w:val="6D9E39BD"/>
    <w:rsid w:val="6E3D6323"/>
    <w:rsid w:val="6F1642E9"/>
    <w:rsid w:val="6F254201"/>
    <w:rsid w:val="6F4431D4"/>
    <w:rsid w:val="6F5C20C4"/>
    <w:rsid w:val="70977146"/>
    <w:rsid w:val="70FE34B3"/>
    <w:rsid w:val="71137813"/>
    <w:rsid w:val="733263F9"/>
    <w:rsid w:val="74110DDF"/>
    <w:rsid w:val="744A5358"/>
    <w:rsid w:val="74633C87"/>
    <w:rsid w:val="74B90B6C"/>
    <w:rsid w:val="76557C1A"/>
    <w:rsid w:val="76916321"/>
    <w:rsid w:val="772171AB"/>
    <w:rsid w:val="7726464E"/>
    <w:rsid w:val="77C10C82"/>
    <w:rsid w:val="77D83E81"/>
    <w:rsid w:val="78C81D23"/>
    <w:rsid w:val="78D236D1"/>
    <w:rsid w:val="78DB6249"/>
    <w:rsid w:val="7A98273D"/>
    <w:rsid w:val="7C606E89"/>
    <w:rsid w:val="7CC80845"/>
    <w:rsid w:val="7CEA07D2"/>
    <w:rsid w:val="7D9773DD"/>
    <w:rsid w:val="7E54384F"/>
    <w:rsid w:val="7E864B7F"/>
    <w:rsid w:val="7FC035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Calibri" w:hAnsi="Calibri" w:eastAsia="宋体" w:cs="Times New Roman"/>
      <w:kern w:val="2"/>
      <w:sz w:val="32"/>
      <w:szCs w:val="22"/>
      <w:lang w:val="en-US" w:eastAsia="en-US" w:bidi="ar-SA"/>
    </w:rPr>
  </w:style>
  <w:style w:type="paragraph" w:styleId="3">
    <w:name w:val="heading 1"/>
    <w:basedOn w:val="1"/>
    <w:next w:val="1"/>
    <w:qFormat/>
    <w:uiPriority w:val="9"/>
    <w:pPr>
      <w:keepNext/>
      <w:keepLines/>
      <w:spacing w:line="360" w:lineRule="auto"/>
      <w:ind w:left="200" w:leftChars="200"/>
      <w:outlineLvl w:val="0"/>
    </w:pPr>
    <w:rPr>
      <w:rFonts w:eastAsia="楷体"/>
      <w:b/>
      <w:bCs/>
      <w:kern w:val="44"/>
      <w:sz w:val="28"/>
      <w:szCs w:val="44"/>
    </w:rPr>
  </w:style>
  <w:style w:type="paragraph" w:styleId="4">
    <w:name w:val="heading 2"/>
    <w:basedOn w:val="1"/>
    <w:next w:val="5"/>
    <w:unhideWhenUsed/>
    <w:qFormat/>
    <w:uiPriority w:val="9"/>
    <w:pPr>
      <w:keepNext/>
      <w:keepLines/>
      <w:spacing w:line="413" w:lineRule="auto"/>
      <w:outlineLvl w:val="1"/>
    </w:pPr>
    <w:rPr>
      <w:rFonts w:ascii="Arial" w:hAnsi="Arial" w:eastAsia="黑体"/>
      <w:b/>
      <w:sz w:val="32"/>
    </w:rPr>
  </w:style>
  <w:style w:type="paragraph" w:styleId="5">
    <w:name w:val="heading 3"/>
    <w:basedOn w:val="1"/>
    <w:next w:val="1"/>
    <w:unhideWhenUsed/>
    <w:qFormat/>
    <w:uiPriority w:val="9"/>
    <w:pPr>
      <w:keepNext/>
      <w:keepLines/>
      <w:spacing w:line="413" w:lineRule="auto"/>
      <w:outlineLvl w:val="2"/>
    </w:pPr>
    <w:rPr>
      <w:b/>
      <w:sz w:val="32"/>
    </w:rPr>
  </w:style>
  <w:style w:type="paragraph" w:styleId="6">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widowControl/>
      <w:spacing w:after="100" w:line="276" w:lineRule="auto"/>
      <w:ind w:left="220"/>
    </w:pPr>
    <w:rPr>
      <w:rFonts w:ascii="Calibri" w:hAnsi="Calibri" w:eastAsia="宋体" w:cs="黑体"/>
      <w:lang w:eastAsia="zh-CN"/>
    </w:rPr>
  </w:style>
  <w:style w:type="paragraph" w:styleId="7">
    <w:name w:val="Body Text"/>
    <w:basedOn w:val="1"/>
    <w:next w:val="1"/>
    <w:unhideWhenUsed/>
    <w:qFormat/>
    <w:uiPriority w:val="1"/>
    <w:pPr>
      <w:spacing w:before="40"/>
      <w:ind w:left="109"/>
    </w:pPr>
    <w:rPr>
      <w:rFonts w:hint="eastAsia" w:ascii="宋体" w:hAnsi="宋体" w:eastAsia="宋体"/>
      <w:sz w:val="30"/>
      <w:szCs w:val="24"/>
    </w:rPr>
  </w:style>
  <w:style w:type="paragraph" w:styleId="8">
    <w:name w:val="toc 3"/>
    <w:basedOn w:val="1"/>
    <w:next w:val="1"/>
    <w:unhideWhenUsed/>
    <w:qFormat/>
    <w:uiPriority w:val="39"/>
    <w:pPr>
      <w:widowControl/>
      <w:spacing w:after="100" w:line="276" w:lineRule="auto"/>
      <w:ind w:left="440"/>
    </w:pPr>
    <w:rPr>
      <w:rFonts w:ascii="Calibri" w:hAnsi="Calibri" w:eastAsia="宋体" w:cs="黑体"/>
      <w:lang w:eastAsia="zh-CN"/>
    </w:rPr>
  </w:style>
  <w:style w:type="paragraph" w:styleId="9">
    <w:name w:val="footer"/>
    <w:basedOn w:val="1"/>
    <w:unhideWhenUsed/>
    <w:qFormat/>
    <w:uiPriority w:val="99"/>
    <w:pPr>
      <w:tabs>
        <w:tab w:val="center" w:pos="4153"/>
        <w:tab w:val="right" w:pos="8306"/>
      </w:tabs>
      <w:snapToGrid w:val="0"/>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76" w:lineRule="auto"/>
    </w:pPr>
    <w:rPr>
      <w:rFonts w:ascii="Calibri" w:hAnsi="Calibri" w:eastAsia="宋体" w:cs="黑体"/>
      <w:lang w:eastAsia="zh-CN"/>
    </w:rPr>
  </w:style>
  <w:style w:type="paragraph" w:styleId="12">
    <w:name w:val="Title"/>
    <w:basedOn w:val="1"/>
    <w:next w:val="1"/>
    <w:qFormat/>
    <w:uiPriority w:val="0"/>
    <w:pPr>
      <w:spacing w:before="240" w:beforeLines="0" w:beforeAutospacing="0" w:after="60" w:afterLines="0" w:afterAutospacing="0"/>
      <w:jc w:val="center"/>
      <w:outlineLvl w:val="0"/>
    </w:pPr>
    <w:rPr>
      <w:rFonts w:ascii="Arial" w:hAnsi="Arial" w:eastAsia="宋体" w:cs="Times New Roman"/>
      <w:b/>
      <w:sz w:val="32"/>
    </w:rPr>
  </w:style>
  <w:style w:type="table" w:styleId="14">
    <w:name w:val="Table Grid"/>
    <w:basedOn w:val="1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6">
    <w:name w:val="TOC 标题1"/>
    <w:basedOn w:val="3"/>
    <w:next w:val="1"/>
    <w:unhideWhenUsed/>
    <w:qFormat/>
    <w:uiPriority w:val="39"/>
    <w:pPr>
      <w:widowControl/>
      <w:spacing w:before="480" w:line="276" w:lineRule="auto"/>
      <w:ind w:left="0" w:leftChars="0"/>
      <w:outlineLvl w:val="9"/>
    </w:pPr>
    <w:rPr>
      <w:rFonts w:ascii="Cambria" w:hAnsi="Cambria" w:eastAsia="宋体" w:cs="黑体"/>
      <w:color w:val="365F90"/>
      <w:kern w:val="0"/>
      <w:szCs w:val="28"/>
      <w:lang w:eastAsia="zh-CN"/>
    </w:rPr>
  </w:style>
  <w:style w:type="paragraph" w:customStyle="1" w:styleId="17">
    <w:name w:val="WPSOffice手动目录 1"/>
    <w:qFormat/>
    <w:uiPriority w:val="0"/>
    <w:pPr>
      <w:ind w:leftChars="0"/>
    </w:pPr>
    <w:rPr>
      <w:rFonts w:ascii="Calibri" w:hAnsi="Calibri" w:eastAsia="宋体" w:cs="Times New Roman"/>
      <w:sz w:val="20"/>
      <w:szCs w:val="20"/>
    </w:rPr>
  </w:style>
  <w:style w:type="paragraph" w:customStyle="1" w:styleId="18">
    <w:name w:val="WPSOffice手动目录 2"/>
    <w:qFormat/>
    <w:uiPriority w:val="0"/>
    <w:pPr>
      <w:ind w:leftChars="200"/>
    </w:pPr>
    <w:rPr>
      <w:rFonts w:ascii="Times New Roman" w:hAnsi="Times New Roman" w:eastAsia="宋体" w:cs="Times New Roman"/>
      <w:sz w:val="20"/>
      <w:szCs w:val="20"/>
    </w:rPr>
  </w:style>
  <w:style w:type="paragraph" w:customStyle="1" w:styleId="19">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8.tiff"/><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84</Pages>
  <Words>17899</Words>
  <Characters>18430</Characters>
  <Lines>0</Lines>
  <Paragraphs>0</Paragraphs>
  <TotalTime>10</TotalTime>
  <ScaleCrop>false</ScaleCrop>
  <LinksUpToDate>false</LinksUpToDate>
  <CharactersWithSpaces>18525</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2025-09-25T02:21:00Z</dcterms:created>
  <dc:creator>Dione</dc:creator>
  <cp:lastModifiedBy>lenovo</cp:lastModifiedBy>
  <cp:lastPrinted>2025-12-12T02:43:00Z</cp:lastPrinted>
  <dcterms:modified xsi:type="dcterms:W3CDTF">2025-12-25T02:14:04Z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CE96C4972580454C96AE80D5332BF3A2</vt:lpwstr>
  </property>
  <property fmtid="{D5CDD505-2E9C-101B-9397-08002B2CF9AE}" pid="4" name="KSOTemplateDocerSaveRecord">
    <vt:lpwstr>eyJoZGlkIjoiNzg3Y2E1NGZiMGE0YmI2Njc5ZTljZmQyNzY1OTQwMjUiLCJ1c2VySWQiOiI4NDk2NTA4ODMifQ==</vt:lpwstr>
  </property>
</Properties>
</file>