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AAA7B">
      <w:pPr>
        <w:spacing w:line="560" w:lineRule="exact"/>
        <w:jc w:val="lef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14:paraId="7F686A93">
      <w:pPr>
        <w:ind w:firstLine="0" w:firstLineChars="0"/>
        <w:jc w:val="center"/>
        <w:rPr>
          <w:rFonts w:hint="default" w:ascii="仿宋" w:hAnsi="仿宋" w:eastAsia="仿宋" w:cs="仿宋"/>
          <w:color w:val="auto"/>
          <w:sz w:val="32"/>
          <w:szCs w:val="32"/>
          <w:lang w:val="en-US" w:eastAsia="zh-CN"/>
        </w:rPr>
      </w:pPr>
      <w:bookmarkStart w:id="0" w:name="_GoBack"/>
      <w:r>
        <w:rPr>
          <w:rFonts w:hint="default" w:ascii="仿宋" w:hAnsi="仿宋" w:eastAsia="仿宋" w:cs="仿宋"/>
          <w:color w:val="auto"/>
          <w:sz w:val="32"/>
          <w:szCs w:val="32"/>
          <w:lang w:val="en-US" w:eastAsia="zh-CN"/>
        </w:rPr>
        <w:t>项目</w:t>
      </w:r>
      <w:r>
        <w:rPr>
          <w:rFonts w:hint="eastAsia" w:ascii="仿宋" w:hAnsi="仿宋" w:eastAsia="仿宋" w:cs="仿宋"/>
          <w:color w:val="auto"/>
          <w:sz w:val="32"/>
          <w:szCs w:val="32"/>
          <w:lang w:val="en-US" w:eastAsia="zh-CN"/>
        </w:rPr>
        <w:t>综合评分表</w:t>
      </w:r>
    </w:p>
    <w:bookmarkEnd w:id="0"/>
    <w:p w14:paraId="108405FB">
      <w:pPr>
        <w:pStyle w:val="2"/>
        <w:ind w:firstLine="0" w:firstLineChars="0"/>
        <w:jc w:val="left"/>
        <w:rPr>
          <w:rFonts w:hint="default"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竞选人名称：                     最终评分：</w:t>
      </w:r>
    </w:p>
    <w:tbl>
      <w:tblPr>
        <w:tblStyle w:val="4"/>
        <w:tblW w:w="8883" w:type="dxa"/>
        <w:tblInd w:w="4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6"/>
        <w:gridCol w:w="1485"/>
        <w:gridCol w:w="5437"/>
        <w:gridCol w:w="750"/>
        <w:gridCol w:w="655"/>
      </w:tblGrid>
      <w:tr w14:paraId="2065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7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分值</w:t>
            </w:r>
          </w:p>
        </w:tc>
        <w:tc>
          <w:tcPr>
            <w:tcW w:w="69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89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评    分    内   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7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评分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3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6"/>
                <w:rFonts w:hint="eastAsia" w:ascii="宋体" w:hAnsi="宋体" w:eastAsia="宋体" w:cs="宋体"/>
                <w:color w:val="auto"/>
                <w:sz w:val="21"/>
                <w:szCs w:val="21"/>
                <w:lang w:val="en-US" w:eastAsia="zh-CN" w:bidi="ar"/>
              </w:rPr>
            </w:pPr>
            <w:r>
              <w:rPr>
                <w:rStyle w:val="6"/>
                <w:rFonts w:hint="eastAsia" w:ascii="宋体" w:hAnsi="宋体" w:eastAsia="宋体" w:cs="宋体"/>
                <w:color w:val="auto"/>
                <w:sz w:val="21"/>
                <w:szCs w:val="21"/>
                <w:lang w:val="en-US" w:eastAsia="zh-CN" w:bidi="ar"/>
              </w:rPr>
              <w:t>扣分理由</w:t>
            </w:r>
          </w:p>
        </w:tc>
      </w:tr>
      <w:tr w14:paraId="51097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8F8CC96">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5</w:t>
            </w:r>
          </w:p>
        </w:tc>
        <w:tc>
          <w:tcPr>
            <w:tcW w:w="1485" w:type="dxa"/>
            <w:tcBorders>
              <w:top w:val="single" w:color="000000" w:sz="4" w:space="0"/>
              <w:left w:val="single" w:color="000000" w:sz="4" w:space="0"/>
              <w:bottom w:val="single" w:color="auto" w:sz="4" w:space="0"/>
              <w:right w:val="single" w:color="000000" w:sz="4" w:space="0"/>
            </w:tcBorders>
            <w:shd w:val="clear" w:color="auto" w:fill="auto"/>
            <w:vAlign w:val="center"/>
          </w:tcPr>
          <w:p w14:paraId="1BC35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资质要求</w:t>
            </w:r>
          </w:p>
        </w:tc>
        <w:tc>
          <w:tcPr>
            <w:tcW w:w="5437" w:type="dxa"/>
            <w:tcBorders>
              <w:top w:val="single" w:color="000000" w:sz="4" w:space="0"/>
              <w:left w:val="single" w:color="000000" w:sz="4" w:space="0"/>
              <w:bottom w:val="single" w:color="auto" w:sz="4" w:space="0"/>
              <w:right w:val="single" w:color="000000" w:sz="4" w:space="0"/>
            </w:tcBorders>
            <w:shd w:val="clear" w:color="auto" w:fill="auto"/>
            <w:vAlign w:val="center"/>
          </w:tcPr>
          <w:p w14:paraId="0C9327C7">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具有交通管理部门核发的“客车租赁经营备案证明”或“道路运输经营许可证”或“道路运输许可证”。得5分，不满足不得分。</w:t>
            </w:r>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F832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2"/>
                <w:sz w:val="21"/>
                <w:szCs w:val="21"/>
                <w:u w:val="none"/>
                <w:lang w:val="en-US" w:eastAsia="zh-CN" w:bidi="ar-SA"/>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F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u w:val="none"/>
                <w:lang w:val="en-US" w:eastAsia="zh-CN" w:bidi="ar"/>
              </w:rPr>
            </w:pPr>
          </w:p>
        </w:tc>
      </w:tr>
      <w:tr w14:paraId="2E259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3" w:hRule="atLeast"/>
        </w:trPr>
        <w:tc>
          <w:tcPr>
            <w:tcW w:w="556" w:type="dxa"/>
            <w:tcBorders>
              <w:top w:val="single" w:color="000000" w:sz="4" w:space="0"/>
              <w:left w:val="single" w:color="000000" w:sz="4" w:space="0"/>
              <w:bottom w:val="single" w:color="auto" w:sz="4" w:space="0"/>
              <w:right w:val="single" w:color="000000" w:sz="4" w:space="0"/>
            </w:tcBorders>
            <w:shd w:val="clear" w:color="auto" w:fill="auto"/>
            <w:vAlign w:val="center"/>
          </w:tcPr>
          <w:p w14:paraId="658C9CC4">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sz w:val="21"/>
                <w:szCs w:val="21"/>
                <w:u w:val="none"/>
                <w:lang w:val="en-US" w:eastAsia="zh-CN"/>
              </w:rPr>
              <w:t>25</w:t>
            </w:r>
          </w:p>
        </w:tc>
        <w:tc>
          <w:tcPr>
            <w:tcW w:w="1485" w:type="dxa"/>
            <w:tcBorders>
              <w:top w:val="single" w:color="000000" w:sz="4" w:space="0"/>
              <w:left w:val="single" w:color="000000" w:sz="4" w:space="0"/>
              <w:bottom w:val="single" w:color="auto" w:sz="4" w:space="0"/>
              <w:right w:val="single" w:color="000000" w:sz="4" w:space="0"/>
            </w:tcBorders>
            <w:shd w:val="clear" w:color="auto" w:fill="auto"/>
            <w:vAlign w:val="center"/>
          </w:tcPr>
          <w:p w14:paraId="45E49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u w:val="none"/>
                <w:lang w:val="en-US" w:eastAsia="zh-CN" w:bidi="ar"/>
              </w:rPr>
            </w:pPr>
            <w:r>
              <w:rPr>
                <w:rFonts w:hint="eastAsia" w:ascii="宋体" w:hAnsi="宋体" w:eastAsia="宋体" w:cs="宋体"/>
                <w:kern w:val="0"/>
                <w:sz w:val="21"/>
                <w:szCs w:val="21"/>
                <w:highlight w:val="none"/>
                <w:lang w:val="en-US" w:eastAsia="zh-CN" w:bidi="ar"/>
              </w:rPr>
              <w:t>车辆要求（提供报价方案）</w:t>
            </w:r>
          </w:p>
        </w:tc>
        <w:tc>
          <w:tcPr>
            <w:tcW w:w="5437" w:type="dxa"/>
            <w:tcBorders>
              <w:top w:val="single" w:color="000000" w:sz="4" w:space="0"/>
              <w:left w:val="single" w:color="000000" w:sz="4" w:space="0"/>
              <w:bottom w:val="single" w:color="auto" w:sz="4" w:space="0"/>
              <w:right w:val="single" w:color="000000" w:sz="4" w:space="0"/>
            </w:tcBorders>
            <w:shd w:val="clear" w:color="auto" w:fill="auto"/>
            <w:vAlign w:val="center"/>
          </w:tcPr>
          <w:p w14:paraId="629A865C">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lang w:val="en-US" w:eastAsia="zh-CN" w:bidi="ar"/>
              </w:rPr>
              <w:t>（1）</w:t>
            </w:r>
            <w:r>
              <w:rPr>
                <w:rFonts w:hint="eastAsia" w:ascii="宋体" w:hAnsi="宋体" w:eastAsia="宋体" w:cs="宋体"/>
                <w:kern w:val="0"/>
                <w:sz w:val="21"/>
                <w:szCs w:val="21"/>
                <w:highlight w:val="none"/>
                <w:lang w:val="en-US" w:eastAsia="zh-CN" w:bidi="ar"/>
              </w:rPr>
              <w:t>我国国内生产的自主品牌汽车或中外合资品牌的新能源汽车，购车价格、排气量符合国家《党政机关公务用车管理办法》等有关要求。得5分，不满足不得分。</w:t>
            </w:r>
          </w:p>
          <w:p w14:paraId="6D200E3F">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lang w:val="en-US" w:eastAsia="zh-CN" w:bidi="ar"/>
              </w:rPr>
              <w:t>（2）</w:t>
            </w:r>
            <w:r>
              <w:rPr>
                <w:rFonts w:hint="eastAsia" w:ascii="宋体" w:hAnsi="宋体" w:eastAsia="宋体" w:cs="宋体"/>
                <w:kern w:val="0"/>
                <w:sz w:val="21"/>
                <w:szCs w:val="21"/>
                <w:highlight w:val="none"/>
                <w:lang w:val="en-US" w:eastAsia="zh-CN" w:bidi="ar"/>
              </w:rPr>
              <w:t>车辆验收当天，车辆注册日期半年（含）以内，总行驶里程300公里（含）以下，得10分；车辆注册日期2年（含）以内，总行驶里程3万公里（含）以下，得5分；均需无事故、无故障、无异响、无异味、无改装，不满足不得分。</w:t>
            </w:r>
          </w:p>
          <w:p w14:paraId="392483B4">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lang w:val="en-US" w:eastAsia="zh-CN" w:bidi="ar"/>
              </w:rPr>
              <w:t>（3）</w:t>
            </w:r>
            <w:r>
              <w:rPr>
                <w:rFonts w:hint="eastAsia" w:ascii="宋体" w:hAnsi="宋体" w:eastAsia="宋体" w:cs="宋体"/>
                <w:kern w:val="0"/>
                <w:sz w:val="21"/>
                <w:szCs w:val="21"/>
                <w:highlight w:val="none"/>
                <w:lang w:val="en-US" w:eastAsia="zh-CN" w:bidi="ar"/>
              </w:rPr>
              <w:t>安装及拆除符合财政及工业和信息化部门有关采购目录要求的车载定位终端，并将终端相关数据接入广州市公务用车使用管理信息系统。得10分，不满足不得分。</w:t>
            </w:r>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FE40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2"/>
                <w:sz w:val="21"/>
                <w:szCs w:val="21"/>
                <w:u w:val="none"/>
                <w:lang w:val="en-US" w:eastAsia="zh-CN" w:bidi="ar-SA"/>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D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u w:val="none"/>
                <w:lang w:val="en-US" w:eastAsia="zh-CN" w:bidi="ar"/>
              </w:rPr>
            </w:pPr>
          </w:p>
        </w:tc>
      </w:tr>
      <w:tr w14:paraId="620FA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556" w:type="dxa"/>
            <w:tcBorders>
              <w:top w:val="single" w:color="auto" w:sz="4" w:space="0"/>
              <w:left w:val="single" w:color="auto" w:sz="4" w:space="0"/>
              <w:bottom w:val="single" w:color="auto" w:sz="4" w:space="0"/>
              <w:right w:val="single" w:color="000000" w:sz="4" w:space="0"/>
            </w:tcBorders>
            <w:shd w:val="clear" w:color="auto" w:fill="auto"/>
            <w:vAlign w:val="center"/>
          </w:tcPr>
          <w:p w14:paraId="6F4EB024">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sz w:val="21"/>
                <w:szCs w:val="21"/>
                <w:u w:val="none"/>
                <w:lang w:val="en-US" w:eastAsia="zh-CN"/>
              </w:rPr>
              <w:t>5</w:t>
            </w:r>
          </w:p>
        </w:tc>
        <w:tc>
          <w:tcPr>
            <w:tcW w:w="1485" w:type="dxa"/>
            <w:tcBorders>
              <w:top w:val="single" w:color="auto" w:sz="4" w:space="0"/>
              <w:left w:val="single" w:color="000000" w:sz="4" w:space="0"/>
              <w:bottom w:val="single" w:color="auto" w:sz="4" w:space="0"/>
              <w:right w:val="single" w:color="000000" w:sz="4" w:space="0"/>
            </w:tcBorders>
            <w:shd w:val="clear" w:color="auto" w:fill="auto"/>
            <w:vAlign w:val="center"/>
          </w:tcPr>
          <w:p w14:paraId="1CBD0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u w:val="none"/>
                <w:lang w:val="en-US" w:eastAsia="zh-CN" w:bidi="ar"/>
              </w:rPr>
            </w:pPr>
            <w:r>
              <w:rPr>
                <w:rStyle w:val="6"/>
                <w:rFonts w:hint="default" w:ascii="宋体" w:hAnsi="宋体" w:eastAsia="宋体" w:cs="宋体"/>
                <w:color w:val="auto"/>
                <w:sz w:val="21"/>
                <w:szCs w:val="21"/>
                <w:lang w:val="en-US" w:eastAsia="zh-CN" w:bidi="ar"/>
              </w:rPr>
              <w:t>保险</w:t>
            </w:r>
            <w:r>
              <w:rPr>
                <w:rStyle w:val="6"/>
                <w:rFonts w:hint="eastAsia" w:ascii="宋体" w:hAnsi="宋体" w:eastAsia="宋体" w:cs="宋体"/>
                <w:color w:val="auto"/>
                <w:sz w:val="21"/>
                <w:szCs w:val="21"/>
                <w:lang w:val="en-US" w:eastAsia="zh-CN" w:bidi="ar"/>
              </w:rPr>
              <w:t>要求</w:t>
            </w:r>
            <w:r>
              <w:rPr>
                <w:rFonts w:hint="eastAsia" w:ascii="宋体" w:hAnsi="宋体" w:eastAsia="宋体" w:cs="宋体"/>
                <w:kern w:val="0"/>
                <w:sz w:val="21"/>
                <w:szCs w:val="21"/>
                <w:highlight w:val="none"/>
                <w:lang w:val="en-US" w:eastAsia="zh-CN" w:bidi="ar"/>
              </w:rPr>
              <w:t>（提供报价方案）</w:t>
            </w:r>
          </w:p>
        </w:tc>
        <w:tc>
          <w:tcPr>
            <w:tcW w:w="5437" w:type="dxa"/>
            <w:tcBorders>
              <w:top w:val="single" w:color="auto" w:sz="4" w:space="0"/>
              <w:left w:val="single" w:color="000000" w:sz="4" w:space="0"/>
              <w:bottom w:val="single" w:color="auto" w:sz="4" w:space="0"/>
              <w:right w:val="single" w:color="000000" w:sz="4" w:space="0"/>
            </w:tcBorders>
            <w:shd w:val="clear" w:color="auto" w:fill="auto"/>
            <w:vAlign w:val="center"/>
          </w:tcPr>
          <w:p w14:paraId="25FAB919">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竞选人负责办理租赁车辆的保险及事故理赔等事务，险种至少包含:机动车交通事故责任强制保险（交强险）、车辆损失险、机动车第三者责任险（保额不低于200万元人民币）、承运人责任险或机动车车上人员责任保险（含驾驶人和乘客，每座不低于5万元人民币）。得5分，不满足不得分。</w:t>
            </w:r>
          </w:p>
        </w:tc>
        <w:tc>
          <w:tcPr>
            <w:tcW w:w="750" w:type="dxa"/>
            <w:tcBorders>
              <w:top w:val="single" w:color="auto" w:sz="4" w:space="0"/>
              <w:left w:val="single" w:color="000000" w:sz="4" w:space="0"/>
              <w:bottom w:val="single" w:color="auto" w:sz="4" w:space="0"/>
              <w:right w:val="single" w:color="auto" w:sz="4" w:space="0"/>
            </w:tcBorders>
            <w:shd w:val="clear" w:color="auto" w:fill="auto"/>
            <w:vAlign w:val="center"/>
          </w:tcPr>
          <w:p w14:paraId="124F78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1"/>
                <w:szCs w:val="21"/>
                <w:u w:val="none"/>
                <w:lang w:val="en-US" w:eastAsia="zh-CN" w:bidi="ar-SA"/>
              </w:rPr>
            </w:pPr>
          </w:p>
        </w:tc>
        <w:tc>
          <w:tcPr>
            <w:tcW w:w="655" w:type="dxa"/>
            <w:tcBorders>
              <w:top w:val="single" w:color="000000" w:sz="4" w:space="0"/>
              <w:left w:val="single" w:color="auto" w:sz="4" w:space="0"/>
              <w:bottom w:val="single" w:color="000000" w:sz="4" w:space="0"/>
              <w:right w:val="single" w:color="000000" w:sz="4" w:space="0"/>
            </w:tcBorders>
            <w:shd w:val="clear" w:color="auto" w:fill="auto"/>
            <w:vAlign w:val="center"/>
          </w:tcPr>
          <w:p w14:paraId="4321E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kern w:val="2"/>
                <w:sz w:val="21"/>
                <w:szCs w:val="21"/>
                <w:u w:val="none"/>
                <w:lang w:val="en-US" w:eastAsia="zh-CN" w:bidi="ar"/>
              </w:rPr>
            </w:pPr>
          </w:p>
        </w:tc>
      </w:tr>
      <w:tr w14:paraId="4845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94DB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10</w:t>
            </w:r>
          </w:p>
        </w:tc>
        <w:tc>
          <w:tcPr>
            <w:tcW w:w="1485" w:type="dxa"/>
            <w:tcBorders>
              <w:top w:val="single" w:color="auto" w:sz="4" w:space="0"/>
              <w:left w:val="single" w:color="000000" w:sz="4" w:space="0"/>
              <w:bottom w:val="single" w:color="000000" w:sz="4" w:space="0"/>
              <w:right w:val="single" w:color="000000" w:sz="4" w:space="0"/>
            </w:tcBorders>
            <w:shd w:val="clear" w:color="auto" w:fill="auto"/>
            <w:vAlign w:val="center"/>
          </w:tcPr>
          <w:p w14:paraId="76A63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kern w:val="0"/>
                <w:sz w:val="21"/>
                <w:szCs w:val="21"/>
                <w:highlight w:val="none"/>
                <w:lang w:val="en-US" w:eastAsia="zh-CN" w:bidi="ar"/>
              </w:rPr>
              <w:t>维修要求（提供报价方案）</w:t>
            </w:r>
          </w:p>
        </w:tc>
        <w:tc>
          <w:tcPr>
            <w:tcW w:w="5437" w:type="dxa"/>
            <w:tcBorders>
              <w:top w:val="single" w:color="auto" w:sz="4" w:space="0"/>
              <w:left w:val="single" w:color="000000" w:sz="4" w:space="0"/>
              <w:bottom w:val="single" w:color="000000" w:sz="4" w:space="0"/>
              <w:right w:val="single" w:color="000000" w:sz="4" w:space="0"/>
            </w:tcBorders>
            <w:shd w:val="clear" w:color="auto" w:fill="auto"/>
            <w:vAlign w:val="center"/>
          </w:tcPr>
          <w:p w14:paraId="74B66F96">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Style w:val="6"/>
                <w:rFonts w:hint="eastAsia"/>
                <w:color w:val="auto"/>
                <w:sz w:val="21"/>
                <w:szCs w:val="21"/>
                <w:lang w:val="en-US" w:eastAsia="zh-CN" w:bidi="ar"/>
              </w:rPr>
            </w:pPr>
            <w:r>
              <w:rPr>
                <w:rFonts w:hint="eastAsia" w:ascii="宋体" w:hAnsi="宋体" w:eastAsia="宋体" w:cs="宋体"/>
                <w:color w:val="auto"/>
                <w:kern w:val="2"/>
                <w:sz w:val="21"/>
                <w:szCs w:val="21"/>
                <w:lang w:val="en-US" w:eastAsia="zh-CN" w:bidi="ar"/>
              </w:rPr>
              <w:t>（1）</w:t>
            </w:r>
            <w:r>
              <w:rPr>
                <w:rStyle w:val="6"/>
                <w:rFonts w:hint="eastAsia" w:ascii="宋体" w:hAnsi="宋体" w:eastAsia="宋体" w:cs="宋体"/>
                <w:color w:val="auto"/>
                <w:sz w:val="21"/>
                <w:szCs w:val="21"/>
                <w:lang w:val="en-US" w:eastAsia="zh-CN" w:bidi="ar"/>
              </w:rPr>
              <w:t>及时响应单位车辆维修、年检等需求，在收到需求6小时内上门提取车辆并进行维修</w:t>
            </w:r>
            <w:r>
              <w:rPr>
                <w:rStyle w:val="6"/>
                <w:rFonts w:hint="eastAsia"/>
                <w:color w:val="auto"/>
                <w:sz w:val="21"/>
                <w:szCs w:val="21"/>
                <w:lang w:val="en-US" w:eastAsia="zh-CN" w:bidi="ar"/>
              </w:rPr>
              <w:t>。</w:t>
            </w:r>
            <w:r>
              <w:rPr>
                <w:rFonts w:hint="eastAsia" w:ascii="宋体" w:hAnsi="宋体" w:eastAsia="宋体" w:cs="宋体"/>
                <w:kern w:val="0"/>
                <w:sz w:val="21"/>
                <w:szCs w:val="21"/>
                <w:highlight w:val="none"/>
                <w:lang w:val="en-US" w:eastAsia="zh-CN" w:bidi="ar"/>
              </w:rPr>
              <w:t>得5分，不满足不得分。</w:t>
            </w:r>
          </w:p>
          <w:p w14:paraId="61DFFF04">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kern w:val="0"/>
                <w:sz w:val="21"/>
                <w:szCs w:val="21"/>
                <w:lang w:val="en-US" w:eastAsia="zh-CN" w:bidi="ar"/>
              </w:rPr>
              <w:t>（2）</w:t>
            </w:r>
            <w:r>
              <w:rPr>
                <w:rFonts w:hint="eastAsia" w:ascii="宋体" w:hAnsi="宋体" w:eastAsia="宋体" w:cs="宋体"/>
                <w:kern w:val="0"/>
                <w:sz w:val="21"/>
                <w:szCs w:val="21"/>
                <w:highlight w:val="none"/>
                <w:lang w:val="en-US" w:eastAsia="zh-CN" w:bidi="ar"/>
              </w:rPr>
              <w:t>提供的车辆在租赁期间发生意外事故、出现机械故障或异常等情况，或进行维修、保养、年审等事务办理超过24小时的，应当在2小时内提供同等规格的备用车辆，给采购人临时使用，直至原有车辆可以正常使用。得5分。</w:t>
            </w:r>
          </w:p>
        </w:tc>
        <w:tc>
          <w:tcPr>
            <w:tcW w:w="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0AF972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09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r>
      <w:tr w14:paraId="65947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56" w:type="dxa"/>
            <w:tcBorders>
              <w:top w:val="single" w:color="auto" w:sz="4" w:space="0"/>
              <w:left w:val="single" w:color="000000" w:sz="4" w:space="0"/>
              <w:bottom w:val="single" w:color="000000" w:sz="4" w:space="0"/>
              <w:right w:val="single" w:color="000000" w:sz="4" w:space="0"/>
            </w:tcBorders>
            <w:shd w:val="clear" w:color="auto" w:fill="auto"/>
            <w:vAlign w:val="center"/>
          </w:tcPr>
          <w:p w14:paraId="64BD1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shd w:val="clear" w:color="auto" w:fill="auto"/>
                <w:lang w:val="en-US" w:eastAsia="zh-CN" w:bidi="ar"/>
              </w:rPr>
              <w:t>20</w:t>
            </w:r>
          </w:p>
        </w:tc>
        <w:tc>
          <w:tcPr>
            <w:tcW w:w="1485" w:type="dxa"/>
            <w:tcBorders>
              <w:top w:val="single" w:color="auto" w:sz="4" w:space="0"/>
              <w:left w:val="single" w:color="000000" w:sz="4" w:space="0"/>
              <w:bottom w:val="single" w:color="000000" w:sz="4" w:space="0"/>
              <w:right w:val="single" w:color="000000" w:sz="4" w:space="0"/>
            </w:tcBorders>
            <w:shd w:val="clear" w:color="auto" w:fill="auto"/>
            <w:vAlign w:val="center"/>
          </w:tcPr>
          <w:p w14:paraId="1B374DE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0"/>
                <w:sz w:val="21"/>
                <w:szCs w:val="21"/>
                <w:highlight w:val="none"/>
                <w:lang w:val="en-US" w:eastAsia="zh-CN" w:bidi="ar"/>
              </w:rPr>
            </w:pPr>
            <w:r>
              <w:rPr>
                <w:rStyle w:val="6"/>
                <w:rFonts w:hint="eastAsia" w:ascii="宋体" w:hAnsi="宋体" w:eastAsia="宋体" w:cs="宋体"/>
                <w:color w:val="auto"/>
                <w:sz w:val="21"/>
                <w:szCs w:val="21"/>
                <w:shd w:val="clear" w:color="auto" w:fill="auto"/>
                <w:lang w:val="en-US" w:eastAsia="zh-CN" w:bidi="ar"/>
              </w:rPr>
              <w:t>项目经验情况</w:t>
            </w:r>
          </w:p>
        </w:tc>
        <w:tc>
          <w:tcPr>
            <w:tcW w:w="5437" w:type="dxa"/>
            <w:tcBorders>
              <w:top w:val="single" w:color="auto" w:sz="4" w:space="0"/>
              <w:left w:val="single" w:color="000000" w:sz="4" w:space="0"/>
              <w:bottom w:val="single" w:color="000000" w:sz="4" w:space="0"/>
              <w:right w:val="single" w:color="000000" w:sz="4" w:space="0"/>
            </w:tcBorders>
            <w:shd w:val="clear" w:color="auto" w:fill="auto"/>
            <w:vAlign w:val="center"/>
          </w:tcPr>
          <w:p w14:paraId="6DA8F8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6"/>
                <w:rFonts w:hint="eastAsia" w:ascii="宋体" w:hAnsi="宋体" w:eastAsia="宋体" w:cs="宋体"/>
                <w:color w:val="auto"/>
                <w:sz w:val="21"/>
                <w:szCs w:val="21"/>
                <w:shd w:val="clear" w:color="auto" w:fill="auto"/>
                <w:lang w:val="en-US" w:eastAsia="zh-CN" w:bidi="ar"/>
              </w:rPr>
            </w:pPr>
            <w:r>
              <w:rPr>
                <w:rStyle w:val="6"/>
                <w:rFonts w:hint="eastAsia" w:ascii="宋体" w:hAnsi="宋体" w:eastAsia="宋体" w:cs="宋体"/>
                <w:color w:val="auto"/>
                <w:sz w:val="21"/>
                <w:szCs w:val="21"/>
                <w:shd w:val="clear" w:color="auto" w:fill="auto"/>
                <w:lang w:val="en-US" w:eastAsia="zh-CN" w:bidi="ar"/>
              </w:rPr>
              <w:t>2023年以来</w:t>
            </w:r>
            <w:r>
              <w:rPr>
                <w:rFonts w:hint="eastAsia" w:ascii="宋体" w:hAnsi="宋体" w:eastAsia="宋体" w:cs="宋体"/>
                <w:kern w:val="0"/>
                <w:sz w:val="21"/>
                <w:szCs w:val="21"/>
                <w:highlight w:val="none"/>
                <w:lang w:val="en-US" w:eastAsia="zh-CN" w:bidi="ar"/>
              </w:rPr>
              <w:t>承担过</w:t>
            </w:r>
            <w:r>
              <w:rPr>
                <w:rStyle w:val="6"/>
                <w:rFonts w:hint="eastAsia" w:ascii="宋体" w:hAnsi="宋体" w:eastAsia="宋体" w:cs="宋体"/>
                <w:color w:val="auto"/>
                <w:sz w:val="21"/>
                <w:szCs w:val="21"/>
                <w:shd w:val="clear" w:color="auto" w:fill="auto"/>
                <w:lang w:val="en-US" w:eastAsia="zh-CN" w:bidi="ar"/>
              </w:rPr>
              <w:t>社会化保障试点车辆长租车租赁服务，</w:t>
            </w:r>
          </w:p>
          <w:p w14:paraId="5D1413E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kern w:val="0"/>
                <w:sz w:val="21"/>
                <w:szCs w:val="21"/>
                <w:lang w:val="en-US" w:eastAsia="zh-CN" w:bidi="ar"/>
              </w:rPr>
            </w:pPr>
            <w:r>
              <w:rPr>
                <w:rStyle w:val="6"/>
                <w:rFonts w:hint="eastAsia" w:ascii="宋体" w:hAnsi="宋体" w:eastAsia="宋体" w:cs="宋体"/>
                <w:color w:val="auto"/>
                <w:sz w:val="21"/>
                <w:szCs w:val="21"/>
                <w:shd w:val="clear" w:color="auto" w:fill="auto"/>
                <w:lang w:val="en-US" w:eastAsia="zh-CN" w:bidi="ar"/>
              </w:rPr>
              <w:t>每一个项目得10分，最高20分。提供合同或中标通知书的扫描件或复印件作为证明材料，以合同签订时间为准，未提供或无法认定的不得分。</w:t>
            </w:r>
          </w:p>
        </w:tc>
        <w:tc>
          <w:tcPr>
            <w:tcW w:w="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6593A7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5B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r>
      <w:tr w14:paraId="72BB3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7EA7">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35</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C10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sz w:val="21"/>
                <w:szCs w:val="21"/>
                <w:u w:val="none"/>
                <w:lang w:val="en-US" w:eastAsia="zh-CN"/>
              </w:rPr>
              <w:t>价格分</w:t>
            </w:r>
          </w:p>
        </w:tc>
        <w:tc>
          <w:tcPr>
            <w:tcW w:w="5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CF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kern w:val="2"/>
                <w:sz w:val="21"/>
                <w:szCs w:val="21"/>
                <w:u w:val="none"/>
                <w:lang w:val="en-US" w:eastAsia="zh-CN" w:bidi="ar"/>
              </w:rPr>
            </w:pPr>
            <w:r>
              <w:rPr>
                <w:rFonts w:hint="eastAsia" w:ascii="宋体" w:hAnsi="宋体" w:eastAsia="宋体" w:cs="宋体"/>
                <w:color w:val="auto"/>
                <w:sz w:val="21"/>
                <w:szCs w:val="21"/>
              </w:rPr>
              <w:t>价格评分总分</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分，选取</w:t>
            </w:r>
            <w:r>
              <w:rPr>
                <w:rFonts w:hint="eastAsia" w:ascii="宋体" w:hAnsi="宋体" w:eastAsia="宋体" w:cs="宋体"/>
                <w:color w:val="auto"/>
                <w:sz w:val="21"/>
                <w:szCs w:val="21"/>
                <w:lang w:eastAsia="zh-CN"/>
              </w:rPr>
              <w:t>竞选人</w:t>
            </w:r>
            <w:r>
              <w:rPr>
                <w:rFonts w:hint="eastAsia" w:ascii="宋体" w:hAnsi="宋体" w:eastAsia="宋体" w:cs="宋体"/>
                <w:color w:val="auto"/>
                <w:sz w:val="21"/>
                <w:szCs w:val="21"/>
              </w:rPr>
              <w:t>有效报价的最低价为</w:t>
            </w:r>
            <w:r>
              <w:rPr>
                <w:rFonts w:hint="eastAsia" w:ascii="宋体" w:hAnsi="宋体" w:eastAsia="宋体" w:cs="宋体"/>
                <w:color w:val="auto"/>
                <w:sz w:val="21"/>
                <w:szCs w:val="21"/>
                <w:lang w:val="en-US" w:eastAsia="zh-CN"/>
              </w:rPr>
              <w:t>遴选</w:t>
            </w:r>
            <w:r>
              <w:rPr>
                <w:rFonts w:hint="eastAsia" w:ascii="宋体" w:hAnsi="宋体" w:eastAsia="宋体" w:cs="宋体"/>
                <w:color w:val="auto"/>
                <w:sz w:val="21"/>
                <w:szCs w:val="21"/>
              </w:rPr>
              <w:t>基准价，其价格分为满分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高于总预算价格为无效报价。其他</w:t>
            </w:r>
            <w:r>
              <w:rPr>
                <w:rFonts w:hint="eastAsia" w:ascii="宋体" w:hAnsi="宋体" w:eastAsia="宋体" w:cs="宋体"/>
                <w:color w:val="auto"/>
                <w:sz w:val="21"/>
                <w:szCs w:val="21"/>
                <w:lang w:eastAsia="zh-CN"/>
              </w:rPr>
              <w:t>竞选人</w:t>
            </w:r>
            <w:r>
              <w:rPr>
                <w:rFonts w:hint="eastAsia" w:ascii="宋体" w:hAnsi="宋体" w:eastAsia="宋体" w:cs="宋体"/>
                <w:color w:val="auto"/>
                <w:sz w:val="21"/>
                <w:szCs w:val="21"/>
              </w:rPr>
              <w:t>的价格分统一按照下列公式计算:</w:t>
            </w:r>
            <w:r>
              <w:rPr>
                <w:rFonts w:hint="eastAsia" w:ascii="宋体" w:hAnsi="宋体" w:eastAsia="宋体" w:cs="宋体"/>
                <w:color w:val="auto"/>
                <w:sz w:val="21"/>
                <w:szCs w:val="21"/>
                <w:lang w:val="en-US" w:eastAsia="zh-CN"/>
              </w:rPr>
              <w:t>遴选</w:t>
            </w:r>
            <w:r>
              <w:rPr>
                <w:rFonts w:hint="eastAsia" w:ascii="宋体" w:hAnsi="宋体" w:eastAsia="宋体" w:cs="宋体"/>
                <w:color w:val="auto"/>
                <w:sz w:val="21"/>
                <w:szCs w:val="21"/>
              </w:rPr>
              <w:t>报价得分=(</w:t>
            </w:r>
            <w:r>
              <w:rPr>
                <w:rFonts w:hint="eastAsia" w:ascii="宋体" w:hAnsi="宋体" w:eastAsia="宋体" w:cs="宋体"/>
                <w:color w:val="auto"/>
                <w:sz w:val="21"/>
                <w:szCs w:val="21"/>
                <w:lang w:val="en-US" w:eastAsia="zh-CN"/>
              </w:rPr>
              <w:t>遴选</w:t>
            </w:r>
            <w:r>
              <w:rPr>
                <w:rFonts w:hint="eastAsia" w:ascii="宋体" w:hAnsi="宋体" w:eastAsia="宋体" w:cs="宋体"/>
                <w:color w:val="auto"/>
                <w:sz w:val="21"/>
                <w:szCs w:val="21"/>
              </w:rPr>
              <w:t>基准价</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报价)x</w:t>
            </w:r>
            <w:r>
              <w:rPr>
                <w:rFonts w:hint="eastAsia" w:ascii="宋体" w:hAnsi="宋体" w:eastAsia="宋体" w:cs="宋体"/>
                <w:color w:val="auto"/>
                <w:sz w:val="21"/>
                <w:szCs w:val="21"/>
                <w:lang w:val="en-US" w:eastAsia="zh-CN"/>
              </w:rPr>
              <w:t>分值</w:t>
            </w:r>
            <w:r>
              <w:rPr>
                <w:rFonts w:hint="eastAsia" w:ascii="宋体" w:hAnsi="宋体" w:eastAsia="宋体" w:cs="宋体"/>
                <w:color w:val="auto"/>
                <w:sz w:val="21"/>
                <w:szCs w:val="21"/>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6E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1D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kern w:val="2"/>
                <w:sz w:val="21"/>
                <w:szCs w:val="21"/>
                <w:u w:val="none"/>
                <w:lang w:val="en-US" w:eastAsia="zh-CN" w:bidi="ar"/>
              </w:rPr>
            </w:pPr>
          </w:p>
        </w:tc>
      </w:tr>
    </w:tbl>
    <w:p w14:paraId="5A1DA83C">
      <w:pPr>
        <w:widowControl/>
        <w:spacing w:line="240" w:lineRule="auto"/>
        <w:jc w:val="left"/>
        <w:textAlignment w:val="center"/>
        <w:rPr>
          <w:rFonts w:hint="eastAsia" w:ascii="仿宋" w:hAnsi="仿宋" w:eastAsia="仿宋" w:cs="仿宋"/>
        </w:rPr>
      </w:pPr>
      <w:r>
        <w:rPr>
          <w:rFonts w:hint="eastAsia" w:ascii="仿宋" w:hAnsi="仿宋" w:eastAsia="仿宋" w:cs="仿宋"/>
          <w:color w:val="auto"/>
          <w:sz w:val="28"/>
          <w:szCs w:val="28"/>
          <w:u w:val="none"/>
          <w:lang w:val="en-US" w:eastAsia="zh-CN"/>
        </w:rPr>
        <w:t>评分人：                       评分日期：</w:t>
      </w:r>
    </w:p>
    <w:p w14:paraId="577DD11C"/>
    <w:sectPr>
      <w:footerReference r:id="rId3" w:type="default"/>
      <w:pgSz w:w="11906" w:h="16838"/>
      <w:pgMar w:top="1417"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9E7D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E0C55">
                          <w:pPr>
                            <w:pStyle w:val="3"/>
                          </w:pPr>
                          <w:r>
                            <w:rPr>
                              <w:rFonts w:hint="eastAsia" w:ascii="黑体" w:hAnsi="黑体" w:eastAsia="黑体" w:cs="黑体"/>
                              <w:b/>
                              <w:bCs/>
                              <w:sz w:val="21"/>
                              <w:szCs w:val="21"/>
                            </w:rPr>
                            <w:t xml:space="preserve">第 </w:t>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  \* MERGEFORMAT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1</w:t>
                          </w:r>
                          <w:r>
                            <w:rPr>
                              <w:rFonts w:hint="eastAsia" w:ascii="黑体" w:hAnsi="黑体" w:eastAsia="黑体" w:cs="黑体"/>
                              <w:b/>
                              <w:bCs/>
                              <w:sz w:val="21"/>
                              <w:szCs w:val="21"/>
                            </w:rPr>
                            <w:fldChar w:fldCharType="end"/>
                          </w:r>
                          <w:r>
                            <w:rPr>
                              <w:rFonts w:hint="eastAsia" w:ascii="黑体" w:hAnsi="黑体" w:eastAsia="黑体" w:cs="黑体"/>
                              <w:b/>
                              <w:bCs/>
                              <w:sz w:val="21"/>
                              <w:szCs w:val="21"/>
                            </w:rPr>
                            <w:t xml:space="preserve"> 页 共 </w:t>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NUMPAGES  \* MERGEFORMAT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7</w:t>
                          </w:r>
                          <w:r>
                            <w:rPr>
                              <w:rFonts w:hint="eastAsia" w:ascii="黑体" w:hAnsi="黑体" w:eastAsia="黑体" w:cs="黑体"/>
                              <w:b/>
                              <w:bCs/>
                              <w:sz w:val="21"/>
                              <w:szCs w:val="21"/>
                            </w:rPr>
                            <w:fldChar w:fldCharType="end"/>
                          </w:r>
                          <w:r>
                            <w:rPr>
                              <w:rFonts w:hint="eastAsia" w:ascii="黑体" w:hAnsi="黑体" w:eastAsia="黑体" w:cs="黑体"/>
                              <w:b/>
                              <w:bCs/>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FE0C55">
                    <w:pPr>
                      <w:pStyle w:val="3"/>
                    </w:pPr>
                    <w:r>
                      <w:rPr>
                        <w:rFonts w:hint="eastAsia" w:ascii="黑体" w:hAnsi="黑体" w:eastAsia="黑体" w:cs="黑体"/>
                        <w:b/>
                        <w:bCs/>
                        <w:sz w:val="21"/>
                        <w:szCs w:val="21"/>
                      </w:rPr>
                      <w:t xml:space="preserve">第 </w:t>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  \* MERGEFORMAT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1</w:t>
                    </w:r>
                    <w:r>
                      <w:rPr>
                        <w:rFonts w:hint="eastAsia" w:ascii="黑体" w:hAnsi="黑体" w:eastAsia="黑体" w:cs="黑体"/>
                        <w:b/>
                        <w:bCs/>
                        <w:sz w:val="21"/>
                        <w:szCs w:val="21"/>
                      </w:rPr>
                      <w:fldChar w:fldCharType="end"/>
                    </w:r>
                    <w:r>
                      <w:rPr>
                        <w:rFonts w:hint="eastAsia" w:ascii="黑体" w:hAnsi="黑体" w:eastAsia="黑体" w:cs="黑体"/>
                        <w:b/>
                        <w:bCs/>
                        <w:sz w:val="21"/>
                        <w:szCs w:val="21"/>
                      </w:rPr>
                      <w:t xml:space="preserve"> 页 共 </w:t>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NUMPAGES  \* MERGEFORMAT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7</w:t>
                    </w:r>
                    <w:r>
                      <w:rPr>
                        <w:rFonts w:hint="eastAsia" w:ascii="黑体" w:hAnsi="黑体" w:eastAsia="黑体" w:cs="黑体"/>
                        <w:b/>
                        <w:bCs/>
                        <w:sz w:val="21"/>
                        <w:szCs w:val="21"/>
                      </w:rPr>
                      <w:fldChar w:fldCharType="end"/>
                    </w:r>
                    <w:r>
                      <w:rPr>
                        <w:rFonts w:hint="eastAsia" w:ascii="黑体" w:hAnsi="黑体" w:eastAsia="黑体" w:cs="黑体"/>
                        <w:b/>
                        <w:bCs/>
                        <w:sz w:val="21"/>
                        <w:szCs w:val="21"/>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D74AF6"/>
    <w:rsid w:val="71D7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9"/>
    <w:pPr>
      <w:keepNext/>
      <w:keepLines/>
      <w:snapToGrid w:val="0"/>
      <w:spacing w:line="560" w:lineRule="exact"/>
      <w:ind w:firstLine="880" w:firstLineChars="200"/>
      <w:outlineLvl w:val="1"/>
    </w:pPr>
    <w:rPr>
      <w:rFonts w:ascii="黑体" w:hAnsi="黑体" w:eastAsia="楷体_GB2312" w:cs="黑体"/>
      <w:b/>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21"/>
    <w:basedOn w:val="5"/>
    <w:qFormat/>
    <w:uiPriority w:val="0"/>
    <w:rPr>
      <w:rFonts w:ascii="宋体" w:hAnsi="宋体" w:eastAsia="宋体" w:cs="宋体"/>
      <w:color w:val="000000"/>
      <w:sz w:val="10"/>
      <w:szCs w:val="1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2026-02-09T07:12:00Z</dcterms:created>
  <dc:creator>芒果汁</dc:creator>
  <cp:lastModifiedBy>芒果汁</cp:lastModifiedBy>
  <dcterms:modified xsi:type="dcterms:W3CDTF">2026-02-09T07:12:40Z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166849E9585E458DA2BDCBD837FDBBDA_11</vt:lpwstr>
  </property>
  <property fmtid="{D5CDD505-2E9C-101B-9397-08002B2CF9AE}" pid="4" name="KSOTemplateDocerSaveRecord">
    <vt:lpwstr>eyJoZGlkIjoiNTBjODkyYWUxNjNlOWVmYzk4YzhjZTRjMGYyMjE4YjkiLCJ1c2VySWQiOiIyNzc1NDI0NDgifQ==</vt:lpwstr>
  </property>
</Properties>
</file>