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E4F3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广州市增城区教育局202</w:t>
      </w:r>
      <w:r>
        <w:rPr>
          <w:rFonts w:hint="eastAsia" w:ascii="方正小标宋_GBK" w:hAnsi="方正小标宋_GBK" w:eastAsia="方正小标宋_GBK" w:cs="方正小标宋_GBK"/>
          <w:sz w:val="44"/>
          <w:szCs w:val="44"/>
          <w:lang w:val="en-US" w:eastAsia="zh-CN"/>
        </w:rPr>
        <w:t>5</w:t>
      </w:r>
      <w:r>
        <w:rPr>
          <w:rFonts w:hint="eastAsia" w:ascii="方正小标宋_GBK" w:hAnsi="方正小标宋_GBK" w:eastAsia="方正小标宋_GBK" w:cs="方正小标宋_GBK"/>
          <w:sz w:val="44"/>
          <w:szCs w:val="44"/>
        </w:rPr>
        <w:t>年度行政许可实施和监督管理情况报告</w:t>
      </w:r>
    </w:p>
    <w:p w14:paraId="24DA6F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FB527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根据《广东省行政许可监督管理条例》规定和有关要求，现将我单位202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年行政许可实施和监督管理情况报告如下：</w:t>
      </w:r>
    </w:p>
    <w:p w14:paraId="4CD7CF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一、基本情况</w:t>
      </w:r>
    </w:p>
    <w:p w14:paraId="15AEB6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我局目前保留的行政许可事项共1</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项，所有行政许可事项均已进驻广东省政务服务事项管理系统；202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年，本单位共收到行政许可申请</w:t>
      </w:r>
      <w:r>
        <w:rPr>
          <w:rFonts w:hint="eastAsia" w:ascii="仿宋_GB2312" w:hAnsi="仿宋_GB2312" w:eastAsia="仿宋_GB2312" w:cs="仿宋_GB2312"/>
          <w:sz w:val="32"/>
          <w:szCs w:val="32"/>
          <w:highlight w:val="none"/>
          <w:lang w:val="en-US" w:eastAsia="zh-CN"/>
        </w:rPr>
        <w:t>3478</w:t>
      </w:r>
      <w:r>
        <w:rPr>
          <w:rFonts w:hint="eastAsia" w:ascii="仿宋_GB2312" w:hAnsi="仿宋_GB2312" w:eastAsia="仿宋_GB2312" w:cs="仿宋_GB2312"/>
          <w:sz w:val="32"/>
          <w:szCs w:val="32"/>
          <w:highlight w:val="none"/>
        </w:rPr>
        <w:t>宗，其中受理</w:t>
      </w:r>
      <w:r>
        <w:rPr>
          <w:rFonts w:hint="eastAsia" w:ascii="仿宋_GB2312" w:hAnsi="仿宋_GB2312" w:eastAsia="仿宋_GB2312" w:cs="仿宋_GB2312"/>
          <w:sz w:val="32"/>
          <w:szCs w:val="32"/>
          <w:highlight w:val="none"/>
          <w:lang w:val="en-US" w:eastAsia="zh-CN"/>
        </w:rPr>
        <w:t>量3308</w:t>
      </w:r>
      <w:r>
        <w:rPr>
          <w:rFonts w:hint="eastAsia" w:ascii="仿宋_GB2312" w:hAnsi="仿宋_GB2312" w:eastAsia="仿宋_GB2312" w:cs="仿宋_GB2312"/>
          <w:sz w:val="32"/>
          <w:szCs w:val="32"/>
          <w:highlight w:val="none"/>
        </w:rPr>
        <w:t>宗、不受理量</w:t>
      </w:r>
      <w:r>
        <w:rPr>
          <w:rFonts w:hint="eastAsia" w:ascii="仿宋_GB2312" w:hAnsi="仿宋_GB2312" w:eastAsia="仿宋_GB2312" w:cs="仿宋_GB2312"/>
          <w:sz w:val="32"/>
          <w:szCs w:val="32"/>
          <w:highlight w:val="none"/>
          <w:lang w:val="en-US" w:eastAsia="zh-CN"/>
        </w:rPr>
        <w:t>170</w:t>
      </w:r>
      <w:r>
        <w:rPr>
          <w:rFonts w:hint="eastAsia" w:ascii="仿宋_GB2312" w:hAnsi="仿宋_GB2312" w:eastAsia="仿宋_GB2312" w:cs="仿宋_GB2312"/>
          <w:sz w:val="32"/>
          <w:szCs w:val="32"/>
          <w:highlight w:val="none"/>
        </w:rPr>
        <w:t>宗；行政许可办结</w:t>
      </w:r>
      <w:r>
        <w:rPr>
          <w:rFonts w:hint="eastAsia" w:ascii="仿宋_GB2312" w:hAnsi="仿宋_GB2312" w:eastAsia="仿宋_GB2312" w:cs="仿宋_GB2312"/>
          <w:sz w:val="32"/>
          <w:szCs w:val="32"/>
          <w:highlight w:val="none"/>
          <w:lang w:val="en-US" w:eastAsia="zh-CN"/>
        </w:rPr>
        <w:t>3308</w:t>
      </w:r>
      <w:r>
        <w:rPr>
          <w:rFonts w:hint="eastAsia" w:ascii="仿宋_GB2312" w:hAnsi="仿宋_GB2312" w:eastAsia="仿宋_GB2312" w:cs="仿宋_GB2312"/>
          <w:sz w:val="32"/>
          <w:szCs w:val="32"/>
          <w:highlight w:val="none"/>
        </w:rPr>
        <w:t>宗，其中审批同意</w:t>
      </w:r>
      <w:r>
        <w:rPr>
          <w:rFonts w:hint="eastAsia" w:ascii="仿宋_GB2312" w:hAnsi="仿宋_GB2312" w:eastAsia="仿宋_GB2312" w:cs="仿宋_GB2312"/>
          <w:sz w:val="32"/>
          <w:szCs w:val="32"/>
          <w:highlight w:val="none"/>
          <w:lang w:val="en-US" w:eastAsia="zh-CN"/>
        </w:rPr>
        <w:t>3280</w:t>
      </w:r>
      <w:r>
        <w:rPr>
          <w:rFonts w:hint="eastAsia" w:ascii="仿宋_GB2312" w:hAnsi="仿宋_GB2312" w:eastAsia="仿宋_GB2312" w:cs="仿宋_GB2312"/>
          <w:sz w:val="32"/>
          <w:szCs w:val="32"/>
          <w:highlight w:val="none"/>
        </w:rPr>
        <w:t>宗、审批不同意</w:t>
      </w:r>
      <w:r>
        <w:rPr>
          <w:rFonts w:hint="eastAsia" w:ascii="仿宋_GB2312" w:hAnsi="仿宋_GB2312" w:eastAsia="仿宋_GB2312" w:cs="仿宋_GB2312"/>
          <w:sz w:val="32"/>
          <w:szCs w:val="32"/>
          <w:highlight w:val="none"/>
          <w:lang w:val="en-US" w:eastAsia="zh-CN"/>
        </w:rPr>
        <w:t>28</w:t>
      </w:r>
      <w:r>
        <w:rPr>
          <w:rFonts w:hint="eastAsia" w:ascii="仿宋_GB2312" w:hAnsi="仿宋_GB2312" w:eastAsia="仿宋_GB2312" w:cs="仿宋_GB2312"/>
          <w:sz w:val="32"/>
          <w:szCs w:val="32"/>
          <w:highlight w:val="none"/>
        </w:rPr>
        <w:t>宗。</w:t>
      </w:r>
    </w:p>
    <w:p w14:paraId="4BBB2C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（一）依法实施情况。一直以来，我局严格按照法律法规规定的审批权</w:t>
      </w:r>
      <w:r>
        <w:rPr>
          <w:rFonts w:hint="eastAsia" w:ascii="仿宋_GB2312" w:hAnsi="仿宋_GB2312" w:eastAsia="仿宋_GB2312" w:cs="仿宋_GB2312"/>
          <w:sz w:val="32"/>
          <w:szCs w:val="32"/>
        </w:rPr>
        <w:t>限、范围、程序、条件等开展行政许可审批，没有变相设定和实施行政许可情况，202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年度全部行政许可事项按照法定办结期限</w:t>
      </w:r>
      <w:r>
        <w:rPr>
          <w:rFonts w:hint="eastAsia" w:ascii="仿宋_GB2312" w:hAnsi="仿宋_GB2312" w:eastAsia="仿宋_GB2312" w:cs="仿宋_GB2312"/>
          <w:sz w:val="32"/>
          <w:szCs w:val="32"/>
          <w:highlight w:val="none"/>
        </w:rPr>
        <w:t>办结，无超时或逾期未办理情况出现。</w:t>
      </w:r>
    </w:p>
    <w:p w14:paraId="668456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开公示情况。通过广东省政务服务网公开公示实施主体、依据、程序、条件、期限、裁量标准、申请材料及办法、收费标准、申请书格式文本、咨询投诉方式等信息，公开信息明确具体，方便群众咨询办理。在信用广州、广东省行政执法信息公示平台及时公示许可结果，确保许可行为公开、透明、高效。</w:t>
      </w:r>
    </w:p>
    <w:p w14:paraId="3A302B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监督管理情况。一是构建和完善权责清晰、流程规范的行政审批监管制度和措施；二是结合日常审批工作，组织有计划、有重点的申报材料检查。发现问题的，组织有关人员进行现场核查；三是建立投诉制度，提供投诉举报电话，自觉接受群众监督。主动公开投诉电话，对群众的来信、来电情况积极展开调查。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年，我局行政许可实施事项没有出现违纪违法情况。</w:t>
      </w:r>
    </w:p>
    <w:p w14:paraId="53C4CC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（四）实施效果情况。通过优化审批流程，提升事项级别，我局行政审批效率得到明显提高，所有行政审批事项均在法定办结时限内办结，且程序合法、公开透</w:t>
      </w:r>
      <w:r>
        <w:rPr>
          <w:rFonts w:hint="eastAsia" w:ascii="仿宋_GB2312" w:hAnsi="仿宋_GB2312" w:eastAsia="仿宋_GB2312" w:cs="仿宋_GB2312"/>
          <w:sz w:val="32"/>
          <w:szCs w:val="32"/>
          <w:highlight w:val="none"/>
        </w:rPr>
        <w:t>明。202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年，我局各项行政审批申请、受理渠道畅通，审批及时，按时办结率均达到100%。行政相对人对我局行政许可实施和监督管理工作的认可度和满意度很高，全年收到的有关投诉数量为零。</w:t>
      </w:r>
    </w:p>
    <w:p w14:paraId="03F9A9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（五）创新方式情况。一是精简了办事材料。我局认真落实中央、省、市、区有关</w:t>
      </w:r>
      <w:r>
        <w:rPr>
          <w:rFonts w:hint="eastAsia" w:ascii="仿宋_GB2312" w:hAnsi="仿宋_GB2312" w:eastAsia="仿宋_GB2312" w:cs="仿宋_GB2312"/>
          <w:sz w:val="32"/>
          <w:szCs w:val="32"/>
          <w:highlight w:val="none"/>
        </w:rPr>
        <w:t>政策措施，进一步精简行政审批事项办事环节以及提交的办事材料。二是缩短了办事时限。我局行政审批事项承诺办理时限的事项数有1</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个，所承诺的时限比法定办理时限压缩达到或超过50%。</w:t>
      </w:r>
      <w:r>
        <w:rPr>
          <w:rFonts w:hint="eastAsia" w:ascii="仿宋_GB2312" w:hAnsi="仿宋_GB2312" w:eastAsia="仿宋_GB2312" w:cs="仿宋_GB2312"/>
          <w:sz w:val="32"/>
          <w:szCs w:val="32"/>
          <w:highlight w:val="none"/>
          <w:lang w:val="en-US" w:eastAsia="zh-CN"/>
        </w:rPr>
        <w:t>三是加强对民办教育培训机构的信用管理，</w:t>
      </w:r>
      <w:r>
        <w:rPr>
          <w:rFonts w:hint="eastAsia" w:ascii="仿宋_GB2312" w:hAnsi="仿宋_GB2312" w:eastAsia="仿宋_GB2312" w:cs="仿宋_GB2312"/>
          <w:bCs/>
          <w:kern w:val="2"/>
          <w:sz w:val="32"/>
          <w:szCs w:val="32"/>
          <w:highlight w:val="none"/>
          <w:lang w:val="en-US" w:eastAsia="zh-CN" w:bidi="ar-SA"/>
        </w:rPr>
        <w:t>我局每年发布校外培训机构黑白名单，对校外培训机构合法合规经营进行指引与宣传</w:t>
      </w:r>
      <w:r>
        <w:rPr>
          <w:rFonts w:hint="eastAsia" w:ascii="仿宋_GB2312" w:hAnsi="仿宋_GB2312" w:eastAsia="仿宋_GB2312" w:cs="仿宋_GB2312"/>
          <w:bCs/>
          <w:kern w:val="2"/>
          <w:sz w:val="32"/>
          <w:szCs w:val="32"/>
          <w:lang w:val="en-US" w:eastAsia="zh-CN" w:bidi="ar-SA"/>
        </w:rPr>
        <w:t>。</w:t>
      </w:r>
    </w:p>
    <w:p w14:paraId="4CB155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推行标准化情况。一是按照省、市统筹清单，对政务服务事项进行认领、完善，优化调整办事指南，确保权力清单科学有效，规范运行。二是严格对照行政许可事项实施依据、申请条件、申请材料、办理时限、受理范围等，认真审查审核申请材料，根据材料的真实性、合法性和完整性，依法作出许可决定和审批意见，杜绝主观推断。</w:t>
      </w:r>
    </w:p>
    <w:p w14:paraId="721606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二、存在问题和困难</w:t>
      </w:r>
    </w:p>
    <w:p w14:paraId="72A1D7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推进“数字政府”建设、实施行政审批服务全流程网办趋势下，政务服务网行政审批事项设定、审批系统功能建设方面还不能满足部门个性化业务的需求，行政审批制度规范调整和平台建设完善相对落后，还不能完全满足行政审批服务改革的要求。</w:t>
      </w:r>
      <w:r>
        <w:rPr>
          <w:rFonts w:hint="eastAsia" w:ascii="仿宋_GB2312" w:hAnsi="仿宋_GB2312" w:eastAsia="仿宋_GB2312" w:cs="仿宋_GB2312"/>
          <w:sz w:val="32"/>
          <w:szCs w:val="32"/>
          <w:lang w:val="en-US" w:eastAsia="zh-CN"/>
        </w:rPr>
        <w:t>同时，相关工作人员</w:t>
      </w:r>
      <w:r>
        <w:rPr>
          <w:rFonts w:hint="eastAsia" w:ascii="仿宋_GB2312" w:hAnsi="仿宋_GB2312" w:eastAsia="仿宋_GB2312" w:cs="仿宋_GB2312"/>
          <w:sz w:val="32"/>
          <w:szCs w:val="32"/>
        </w:rPr>
        <w:t>在业务知识储备和系统操作方面有待加强。</w:t>
      </w:r>
    </w:p>
    <w:p w14:paraId="5C72CB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三、下一步工作措施及有关建议</w:t>
      </w:r>
    </w:p>
    <w:p w14:paraId="351178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（一）加强与上级有关部门的沟通协调，加强相关职能业务骨干的培训，继续提高政策及业务水平，继续推进网上办事大厅建设，提高网上审批效率，推动行政许可事项标准化建设，进一步提升服务效能</w:t>
      </w:r>
      <w:r>
        <w:rPr>
          <w:rFonts w:hint="eastAsia" w:ascii="仿宋_GB2312" w:hAnsi="仿宋_GB2312" w:eastAsia="仿宋_GB2312" w:cs="仿宋_GB2312"/>
          <w:sz w:val="32"/>
          <w:szCs w:val="32"/>
          <w:lang w:eastAsia="zh-CN"/>
        </w:rPr>
        <w:t>。</w:t>
      </w:r>
    </w:p>
    <w:p w14:paraId="208EF6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（二）继续坚持严格标准和程序，做好行政审批各项工作，加快完善行政许可监督制度建设，加强外部和内部监督，使我局行政审批和政务服务能够更加依法依规、高效便民。</w:t>
      </w:r>
    </w:p>
    <w:p w14:paraId="56A10C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（三）抓好相关政策、法规的宣传，引导群众知晓相关行政许可事项的实施主体、依据、程序、条件、期限、裁量标准、申请材料及办法、申请书格式文本等环节。</w:t>
      </w:r>
    </w:p>
    <w:p w14:paraId="364101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7C848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0BD957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A9C45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广州市增城区教育局    </w:t>
      </w:r>
    </w:p>
    <w:p w14:paraId="6959B6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bookmarkStart w:id="0" w:name="_GoBack"/>
      <w:bookmarkEnd w:id="0"/>
      <w:r>
        <w:rPr>
          <w:rFonts w:hint="eastAsia" w:ascii="仿宋_GB2312" w:hAnsi="仿宋_GB2312" w:eastAsia="仿宋_GB2312" w:cs="仿宋_GB2312"/>
          <w:sz w:val="32"/>
          <w:szCs w:val="32"/>
        </w:rPr>
        <w:t>年3月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w:t>
      </w:r>
    </w:p>
    <w:sectPr>
      <w:footerReference r:id="rId3" w:type="default"/>
      <w:pgSz w:w="11906" w:h="16838"/>
      <w:pgMar w:top="1440" w:right="1474" w:bottom="136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DFD8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B8182C">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B8182C">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9474F3"/>
    <w:rsid w:val="000F5645"/>
    <w:rsid w:val="03595555"/>
    <w:rsid w:val="085A3184"/>
    <w:rsid w:val="0ACA0AE6"/>
    <w:rsid w:val="0E256F76"/>
    <w:rsid w:val="0E4017EB"/>
    <w:rsid w:val="0EE45BDA"/>
    <w:rsid w:val="0FB96582"/>
    <w:rsid w:val="140E5EE8"/>
    <w:rsid w:val="1BA9548E"/>
    <w:rsid w:val="1D02298E"/>
    <w:rsid w:val="22C5161E"/>
    <w:rsid w:val="2D7B1B02"/>
    <w:rsid w:val="2F4405B8"/>
    <w:rsid w:val="2FC82F97"/>
    <w:rsid w:val="30C47C02"/>
    <w:rsid w:val="34060532"/>
    <w:rsid w:val="341605FB"/>
    <w:rsid w:val="373B6744"/>
    <w:rsid w:val="417978DE"/>
    <w:rsid w:val="41B810BD"/>
    <w:rsid w:val="4D3B0DF4"/>
    <w:rsid w:val="5BFB5C7A"/>
    <w:rsid w:val="5DB10FC0"/>
    <w:rsid w:val="679474F3"/>
    <w:rsid w:val="6F19575A"/>
    <w:rsid w:val="7EB36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1486</Words>
  <Characters>1530</Characters>
  <Lines>0</Lines>
  <Paragraphs>0</Paragraphs>
  <TotalTime>10</TotalTime>
  <ScaleCrop>false</ScaleCrop>
  <LinksUpToDate>false</LinksUpToDate>
  <CharactersWithSpaces>1534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2022-03-25T08:40:00Z</dcterms:created>
  <dc:creator>WUKINGWEN</dc:creator>
  <cp:lastModifiedBy>KK</cp:lastModifiedBy>
  <dcterms:modified xsi:type="dcterms:W3CDTF">2026-03-25T03:09:40Z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20D3D022E6794EF981B6E9727630556A</vt:lpwstr>
  </property>
  <property fmtid="{D5CDD505-2E9C-101B-9397-08002B2CF9AE}" pid="4" name="KSOTemplateDocerSaveRecord">
    <vt:lpwstr>eyJoZGlkIjoiM2UyMjFkNGZjYzBlY2U1ZDAzZWVkOTFjMTUxOWYxYWYiLCJ1c2VySWQiOiIzMDI2MzY4ODQifQ==</vt:lpwstr>
  </property>
</Properties>
</file>