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440" w:lineRule="exact"/>
        <w:rPr>
          <w:rFonts w:hint="eastAsia" w:ascii="黑体" w:hAnsi="黑体" w:eastAsia="黑体" w:cs="黑体"/>
          <w:color w:val="auto"/>
          <w:sz w:val="28"/>
          <w:szCs w:val="28"/>
        </w:rPr>
      </w:pPr>
      <w:r>
        <w:rPr>
          <w:rFonts w:hint="eastAsia" w:ascii="黑体" w:hAnsi="黑体" w:eastAsia="黑体" w:cs="黑体"/>
          <w:color w:val="auto"/>
          <w:sz w:val="28"/>
          <w:szCs w:val="28"/>
        </w:rPr>
        <w:t>附件2</w:t>
      </w:r>
    </w:p>
    <w:tbl>
      <w:tblPr>
        <w:tblStyle w:val="3"/>
        <w:tblW w:w="13976" w:type="dxa"/>
        <w:tblInd w:w="0" w:type="dxa"/>
        <w:tblLayout w:type="fixed"/>
        <w:tblCellMar>
          <w:top w:w="15" w:type="dxa"/>
          <w:left w:w="15" w:type="dxa"/>
          <w:bottom w:w="15" w:type="dxa"/>
          <w:right w:w="15" w:type="dxa"/>
        </w:tblCellMar>
      </w:tblPr>
      <w:tblGrid>
        <w:gridCol w:w="622"/>
        <w:gridCol w:w="608"/>
        <w:gridCol w:w="755"/>
        <w:gridCol w:w="6280"/>
        <w:gridCol w:w="1662"/>
        <w:gridCol w:w="354"/>
        <w:gridCol w:w="668"/>
        <w:gridCol w:w="655"/>
        <w:gridCol w:w="1213"/>
        <w:gridCol w:w="1159"/>
      </w:tblGrid>
      <w:tr>
        <w:tblPrEx>
          <w:tblLayout w:type="fixed"/>
          <w:tblCellMar>
            <w:top w:w="15" w:type="dxa"/>
            <w:left w:w="15" w:type="dxa"/>
            <w:bottom w:w="15" w:type="dxa"/>
            <w:right w:w="15" w:type="dxa"/>
          </w:tblCellMar>
        </w:tblPrEx>
        <w:trPr>
          <w:trHeight w:val="90" w:hRule="atLeast"/>
        </w:trPr>
        <w:tc>
          <w:tcPr>
            <w:tcW w:w="13976" w:type="dxa"/>
            <w:gridSpan w:val="10"/>
            <w:vAlign w:val="center"/>
          </w:tcPr>
          <w:p>
            <w:pPr>
              <w:widowControl/>
              <w:spacing w:line="360" w:lineRule="exact"/>
              <w:jc w:val="center"/>
              <w:textAlignment w:val="center"/>
              <w:rPr>
                <w:rFonts w:ascii="仿宋_GB2312" w:hAnsi="宋体" w:eastAsia="仿宋_GB2312" w:cs="仿宋_GB2312"/>
                <w:b/>
                <w:color w:val="auto"/>
                <w:sz w:val="32"/>
                <w:szCs w:val="32"/>
              </w:rPr>
            </w:pPr>
            <w:r>
              <w:rPr>
                <w:rFonts w:hint="eastAsia" w:ascii="仿宋_GB2312" w:hAnsi="宋体" w:eastAsia="仿宋_GB2312" w:cs="仿宋_GB2312"/>
                <w:b/>
                <w:color w:val="auto"/>
                <w:kern w:val="0"/>
                <w:sz w:val="32"/>
                <w:szCs w:val="32"/>
                <w:lang w:bidi="ar"/>
              </w:rPr>
              <w:t>选定服务机构综合评分表</w:t>
            </w:r>
          </w:p>
        </w:tc>
      </w:tr>
      <w:tr>
        <w:tblPrEx>
          <w:tblLayout w:type="fixed"/>
          <w:tblCellMar>
            <w:top w:w="15" w:type="dxa"/>
            <w:left w:w="15" w:type="dxa"/>
            <w:bottom w:w="15" w:type="dxa"/>
            <w:right w:w="15" w:type="dxa"/>
          </w:tblCellMar>
        </w:tblPrEx>
        <w:trPr>
          <w:trHeight w:val="286" w:hRule="atLeast"/>
        </w:trPr>
        <w:tc>
          <w:tcPr>
            <w:tcW w:w="10281"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项目名称：广州市增城区国土空间规划</w:t>
            </w:r>
            <w:r>
              <w:rPr>
                <w:rFonts w:hint="eastAsia" w:ascii="仿宋_GB2312" w:hAnsi="宋体" w:eastAsia="仿宋_GB2312" w:cs="仿宋_GB2312"/>
                <w:color w:val="auto"/>
                <w:kern w:val="0"/>
                <w:sz w:val="24"/>
                <w:lang w:val="en-US" w:eastAsia="zh-CN" w:bidi="ar"/>
              </w:rPr>
              <w:t>评估编制技术服务</w:t>
            </w:r>
          </w:p>
        </w:tc>
        <w:tc>
          <w:tcPr>
            <w:tcW w:w="3695"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采购单位：广州市规划和自然资源局增城区分局</w:t>
            </w:r>
          </w:p>
        </w:tc>
      </w:tr>
      <w:tr>
        <w:tblPrEx>
          <w:tblLayout w:type="fixed"/>
          <w:tblCellMar>
            <w:top w:w="15" w:type="dxa"/>
            <w:left w:w="15" w:type="dxa"/>
            <w:bottom w:w="15" w:type="dxa"/>
            <w:right w:w="15" w:type="dxa"/>
          </w:tblCellMar>
        </w:tblPrEx>
        <w:trPr>
          <w:trHeight w:val="298"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序号</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类目</w:t>
            </w:r>
          </w:p>
        </w:tc>
        <w:tc>
          <w:tcPr>
            <w:tcW w:w="7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分值</w:t>
            </w:r>
          </w:p>
        </w:tc>
        <w:tc>
          <w:tcPr>
            <w:tcW w:w="8296"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评分标准</w:t>
            </w:r>
          </w:p>
        </w:tc>
        <w:tc>
          <w:tcPr>
            <w:tcW w:w="3695"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投标单位及得分</w:t>
            </w:r>
          </w:p>
        </w:tc>
      </w:tr>
      <w:tr>
        <w:tblPrEx>
          <w:tblLayout w:type="fixed"/>
          <w:tblCellMar>
            <w:top w:w="15" w:type="dxa"/>
            <w:left w:w="15" w:type="dxa"/>
            <w:bottom w:w="15" w:type="dxa"/>
            <w:right w:w="15" w:type="dxa"/>
          </w:tblCellMar>
        </w:tblPrEx>
        <w:trPr>
          <w:trHeight w:val="139"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630"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1</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商务部分</w:t>
            </w:r>
          </w:p>
        </w:tc>
        <w:tc>
          <w:tcPr>
            <w:tcW w:w="755"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lang w:bidi="ar"/>
              </w:rPr>
            </w:pPr>
          </w:p>
          <w:p>
            <w:pPr>
              <w:jc w:val="center"/>
              <w:rPr>
                <w:rFonts w:ascii="仿宋_GB2312" w:hAnsi="宋体" w:eastAsia="仿宋_GB2312" w:cs="仿宋_GB2312"/>
                <w:color w:val="auto"/>
                <w:sz w:val="24"/>
              </w:rPr>
            </w:pPr>
            <w:r>
              <w:rPr>
                <w:rFonts w:hint="eastAsia" w:ascii="仿宋_GB2312" w:hAnsi="宋体" w:eastAsia="仿宋_GB2312" w:cs="仿宋_GB2312"/>
                <w:color w:val="auto"/>
                <w:kern w:val="0"/>
                <w:sz w:val="24"/>
                <w:lang w:bidi="ar"/>
              </w:rPr>
              <w:t>30</w:t>
            </w: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sz w:val="24"/>
              </w:rPr>
              <w:t>投标单位实施过同类项目，每提供一个业绩得6分，最高得30分。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331"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sz w:val="24"/>
              </w:rPr>
              <w:t>注：需提供项目合同复印件,否则不得分。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626"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2</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拟投入的项目团队</w:t>
            </w:r>
          </w:p>
        </w:tc>
        <w:tc>
          <w:tcPr>
            <w:tcW w:w="7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30</w:t>
            </w: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1、拟派项目负责人情况：具有高级规划师职称(或以上)职称，得10分，具有中级规划师职称或注册规划资格的，得5分；本项最多得10分。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959"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2、除项目负责人外，团队其他技术人员中具有中级规划师职称(或以上)职称或注册规划师资格，每人得5分，规划初级职称的，每人得2分；本项最多得20分。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650"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sz w:val="24"/>
              </w:rPr>
              <w:t>注：须提供相应的资格证书、职称证、响应截止时间前三个月内任意一个月在本单位缴纳的社保证明复印件。</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563"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3</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工作方案</w:t>
            </w:r>
          </w:p>
        </w:tc>
        <w:tc>
          <w:tcPr>
            <w:tcW w:w="7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10</w:t>
            </w: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1、有技术路线，能有效保障方案编制的准确性和可行性，针对国土空间规划体检有详细且可行的计划和方法的得7-10分；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388"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sz w:val="24"/>
              </w:rPr>
              <w:t>2、有技术路线，技术方法和手段满足项目需求，无成果编制计划的得4-6分；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365"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sz w:val="24"/>
              </w:rPr>
              <w:t>3、有技术路线，技术方法和手段存在不足，无成果编制计划的得1-3分；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271"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sz w:val="24"/>
              </w:rPr>
              <w:t>4、没有工作方案的不得分。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570"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4</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项目质量保障措施</w:t>
            </w:r>
          </w:p>
        </w:tc>
        <w:tc>
          <w:tcPr>
            <w:tcW w:w="7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10</w:t>
            </w: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 xml:space="preserve">1、有完善的质量控制体系和保障措施，从人员配置、过程管理、成果审核等方面确保项目质量，具有明确的质量目标和质量检验标准的得10分； </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570"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2、有完善的质量保障措施，无质量控制体系的得7分；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570"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3、有一定的质量保障措施，无质量控制体系的得4分；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257"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4、无项目质量保障措施不得分。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576"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5</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报价</w:t>
            </w:r>
          </w:p>
        </w:tc>
        <w:tc>
          <w:tcPr>
            <w:tcW w:w="75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20</w:t>
            </w: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投标报价得分＝（评标基准价/投标报价）×价格分值。</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286"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7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auto"/>
                <w:sz w:val="24"/>
              </w:rPr>
            </w:pPr>
          </w:p>
        </w:tc>
        <w:tc>
          <w:tcPr>
            <w:tcW w:w="8296" w:type="dxa"/>
            <w:gridSpan w:val="3"/>
            <w:tcBorders>
              <w:top w:val="single" w:color="000000" w:sz="4" w:space="0"/>
              <w:left w:val="single" w:color="000000" w:sz="4" w:space="0"/>
              <w:bottom w:val="single" w:color="000000" w:sz="4" w:space="0"/>
              <w:right w:val="single" w:color="000000" w:sz="4" w:space="0"/>
            </w:tcBorders>
            <w:vAlign w:val="center"/>
          </w:tcPr>
          <w:p>
            <w:pPr>
              <w:widowControl/>
              <w:tabs>
                <w:tab w:val="left" w:pos="1104"/>
              </w:tabs>
              <w:jc w:val="left"/>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注：满足招标文件要求且投标价格最低的投标报价为评标基准价，最低报价不是中标的唯一依据。</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286" w:hRule="atLeast"/>
        </w:trPr>
        <w:tc>
          <w:tcPr>
            <w:tcW w:w="10281"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总得分</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286" w:hRule="atLeast"/>
        </w:trPr>
        <w:tc>
          <w:tcPr>
            <w:tcW w:w="10281"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rPr>
            </w:pPr>
            <w:r>
              <w:rPr>
                <w:rFonts w:hint="eastAsia" w:ascii="仿宋_GB2312" w:hAnsi="宋体" w:eastAsia="仿宋_GB2312" w:cs="仿宋_GB2312"/>
                <w:color w:val="auto"/>
                <w:kern w:val="0"/>
                <w:sz w:val="24"/>
                <w:lang w:bidi="ar"/>
              </w:rPr>
              <w:t>得分排名</w:t>
            </w:r>
          </w:p>
        </w:tc>
        <w:tc>
          <w:tcPr>
            <w:tcW w:w="1323"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21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c>
          <w:tcPr>
            <w:tcW w:w="1159"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auto"/>
                <w:sz w:val="24"/>
              </w:rPr>
            </w:pPr>
          </w:p>
        </w:tc>
      </w:tr>
      <w:tr>
        <w:tblPrEx>
          <w:tblLayout w:type="fixed"/>
          <w:tblCellMar>
            <w:top w:w="15" w:type="dxa"/>
            <w:left w:w="15" w:type="dxa"/>
            <w:bottom w:w="15" w:type="dxa"/>
            <w:right w:w="15" w:type="dxa"/>
          </w:tblCellMar>
        </w:tblPrEx>
        <w:trPr>
          <w:trHeight w:val="1045" w:hRule="atLeast"/>
        </w:trPr>
        <w:tc>
          <w:tcPr>
            <w:tcW w:w="13976" w:type="dxa"/>
            <w:gridSpan w:val="10"/>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方正楷体_GBK" w:hAnsi="方正楷体_GBK" w:eastAsia="方正楷体_GBK" w:cs="方正楷体_GBK"/>
                <w:color w:val="auto"/>
                <w:sz w:val="24"/>
              </w:rPr>
            </w:pPr>
            <w:r>
              <w:rPr>
                <w:rFonts w:hint="eastAsia" w:ascii="方正楷体_GBK" w:hAnsi="方正楷体_GBK" w:eastAsia="方正楷体_GBK" w:cs="方正楷体_GBK"/>
                <w:color w:val="auto"/>
                <w:kern w:val="0"/>
                <w:sz w:val="24"/>
                <w:lang w:bidi="ar"/>
              </w:rPr>
              <w:t>备注1.本次评标采用综合评分法，总得分最高者为中选单位。综合评分相等的，以响应报价得分高的优先。响应报价得分也相等的，以方案评分得分高的优先，如果方案评分也相等的，则由评委以投票方式进行表决，确定相等得分的服务单位的排序。</w:t>
            </w:r>
            <w:r>
              <w:rPr>
                <w:rFonts w:hint="eastAsia" w:ascii="方正楷体_GBK" w:hAnsi="方正楷体_GBK" w:eastAsia="方正楷体_GBK" w:cs="方正楷体_GBK"/>
                <w:color w:val="auto"/>
                <w:kern w:val="0"/>
                <w:sz w:val="24"/>
                <w:lang w:bidi="ar"/>
              </w:rPr>
              <w:br w:type="textWrapping"/>
            </w:r>
            <w:r>
              <w:rPr>
                <w:rFonts w:hint="eastAsia" w:ascii="方正楷体_GBK" w:hAnsi="方正楷体_GBK" w:eastAsia="方正楷体_GBK" w:cs="方正楷体_GBK"/>
                <w:color w:val="auto"/>
                <w:kern w:val="0"/>
                <w:sz w:val="24"/>
                <w:lang w:bidi="ar"/>
              </w:rPr>
              <w:t>2.本评分表仅供参考，具体评分项、评分分值、评分内容根据</w:t>
            </w:r>
            <w:r>
              <w:rPr>
                <w:rFonts w:hint="eastAsia" w:ascii="方正楷体_GBK" w:hAnsi="方正楷体_GBK" w:eastAsia="方正楷体_GBK" w:cs="方正楷体_GBK"/>
                <w:color w:val="auto"/>
                <w:kern w:val="0"/>
                <w:sz w:val="24"/>
                <w:lang w:val="zh-CN" w:bidi="ar"/>
              </w:rPr>
              <w:t>项目背景、重难点及技术方法等设置修改</w:t>
            </w:r>
            <w:r>
              <w:rPr>
                <w:rFonts w:hint="eastAsia" w:ascii="方正楷体_GBK" w:hAnsi="方正楷体_GBK" w:eastAsia="方正楷体_GBK" w:cs="方正楷体_GBK"/>
                <w:color w:val="auto"/>
                <w:kern w:val="0"/>
                <w:sz w:val="24"/>
                <w:lang w:bidi="ar"/>
              </w:rPr>
              <w:t>。</w:t>
            </w:r>
          </w:p>
        </w:tc>
      </w:tr>
      <w:tr>
        <w:tblPrEx>
          <w:tblLayout w:type="fixed"/>
          <w:tblCellMar>
            <w:top w:w="15" w:type="dxa"/>
            <w:left w:w="15" w:type="dxa"/>
            <w:bottom w:w="15" w:type="dxa"/>
            <w:right w:w="15" w:type="dxa"/>
          </w:tblCellMar>
        </w:tblPrEx>
        <w:trPr>
          <w:trHeight w:val="209" w:hRule="atLeast"/>
        </w:trPr>
        <w:tc>
          <w:tcPr>
            <w:tcW w:w="622" w:type="dxa"/>
            <w:vAlign w:val="center"/>
          </w:tcPr>
          <w:p>
            <w:pPr>
              <w:rPr>
                <w:rFonts w:hint="eastAsia" w:ascii="宋体" w:hAnsi="宋体" w:cs="宋体"/>
                <w:color w:val="auto"/>
                <w:sz w:val="24"/>
              </w:rPr>
            </w:pPr>
          </w:p>
        </w:tc>
        <w:tc>
          <w:tcPr>
            <w:tcW w:w="608" w:type="dxa"/>
            <w:vAlign w:val="center"/>
          </w:tcPr>
          <w:p>
            <w:pPr>
              <w:rPr>
                <w:rFonts w:hint="eastAsia" w:ascii="宋体" w:hAnsi="宋体" w:cs="宋体"/>
                <w:color w:val="auto"/>
                <w:sz w:val="24"/>
              </w:rPr>
            </w:pPr>
          </w:p>
        </w:tc>
        <w:tc>
          <w:tcPr>
            <w:tcW w:w="755" w:type="dxa"/>
            <w:vAlign w:val="center"/>
          </w:tcPr>
          <w:p>
            <w:pPr>
              <w:rPr>
                <w:rFonts w:hint="eastAsia" w:ascii="宋体" w:hAnsi="宋体" w:cs="宋体"/>
                <w:color w:val="auto"/>
                <w:sz w:val="24"/>
              </w:rPr>
            </w:pPr>
          </w:p>
        </w:tc>
        <w:tc>
          <w:tcPr>
            <w:tcW w:w="6280" w:type="dxa"/>
            <w:vAlign w:val="center"/>
          </w:tcPr>
          <w:p>
            <w:pPr>
              <w:rPr>
                <w:rFonts w:hint="eastAsia" w:ascii="宋体" w:hAnsi="宋体" w:cs="宋体"/>
                <w:color w:val="auto"/>
                <w:sz w:val="24"/>
              </w:rPr>
            </w:pPr>
          </w:p>
        </w:tc>
        <w:tc>
          <w:tcPr>
            <w:tcW w:w="1662" w:type="dxa"/>
            <w:vAlign w:val="center"/>
          </w:tcPr>
          <w:p>
            <w:pPr>
              <w:rPr>
                <w:rFonts w:hint="eastAsia" w:ascii="宋体" w:hAnsi="宋体" w:cs="宋体"/>
                <w:color w:val="auto"/>
                <w:sz w:val="24"/>
              </w:rPr>
            </w:pPr>
          </w:p>
        </w:tc>
        <w:tc>
          <w:tcPr>
            <w:tcW w:w="1022" w:type="dxa"/>
            <w:gridSpan w:val="2"/>
            <w:vAlign w:val="center"/>
          </w:tcPr>
          <w:p>
            <w:pPr>
              <w:rPr>
                <w:rFonts w:hint="eastAsia" w:ascii="宋体" w:hAnsi="宋体" w:cs="宋体"/>
                <w:color w:val="auto"/>
                <w:sz w:val="24"/>
              </w:rPr>
            </w:pPr>
          </w:p>
        </w:tc>
        <w:tc>
          <w:tcPr>
            <w:tcW w:w="3027" w:type="dxa"/>
            <w:gridSpan w:val="3"/>
            <w:vAlign w:val="center"/>
          </w:tcPr>
          <w:p>
            <w:pPr>
              <w:rPr>
                <w:rFonts w:hint="eastAsia" w:ascii="宋体" w:hAnsi="宋体" w:cs="宋体"/>
                <w:color w:val="auto"/>
                <w:sz w:val="24"/>
              </w:rPr>
            </w:pPr>
          </w:p>
        </w:tc>
      </w:tr>
      <w:tr>
        <w:tblPrEx>
          <w:tblLayout w:type="fixed"/>
          <w:tblCellMar>
            <w:top w:w="15" w:type="dxa"/>
            <w:left w:w="15" w:type="dxa"/>
            <w:bottom w:w="15" w:type="dxa"/>
            <w:right w:w="15" w:type="dxa"/>
          </w:tblCellMar>
        </w:tblPrEx>
        <w:trPr>
          <w:trHeight w:val="420" w:hRule="atLeast"/>
        </w:trPr>
        <w:tc>
          <w:tcPr>
            <w:tcW w:w="13976" w:type="dxa"/>
            <w:gridSpan w:val="10"/>
            <w:vAlign w:val="center"/>
          </w:tcPr>
          <w:p>
            <w:pPr>
              <w:widowControl/>
              <w:jc w:val="left"/>
              <w:textAlignment w:val="center"/>
              <w:rPr>
                <w:rFonts w:ascii="Times New Roman" w:hAnsi="Times New Roman"/>
                <w:color w:val="auto"/>
                <w:sz w:val="24"/>
              </w:rPr>
            </w:pPr>
            <w:r>
              <w:rPr>
                <w:rFonts w:ascii="Times New Roman" w:hAnsi="Times New Roman"/>
                <w:color w:val="auto"/>
                <w:kern w:val="0"/>
                <w:sz w:val="24"/>
                <w:lang w:bidi="ar"/>
              </w:rPr>
              <w:t xml:space="preserve">     </w:t>
            </w:r>
            <w:r>
              <w:rPr>
                <w:rFonts w:hint="eastAsia" w:ascii="仿宋_GB2312" w:hAnsi="Times New Roman" w:eastAsia="仿宋_GB2312" w:cs="仿宋_GB2312"/>
                <w:color w:val="auto"/>
                <w:kern w:val="0"/>
                <w:sz w:val="24"/>
                <w:lang w:bidi="ar"/>
              </w:rPr>
              <w:t>综上，经综合评审，</w:t>
            </w:r>
            <w:r>
              <w:rPr>
                <w:rStyle w:val="4"/>
                <w:color w:val="auto"/>
                <w:lang w:bidi="ar"/>
              </w:rPr>
              <w:t>****</w:t>
            </w:r>
            <w:r>
              <w:rPr>
                <w:rFonts w:hint="eastAsia" w:ascii="仿宋_GB2312" w:hAnsi="Times New Roman" w:eastAsia="仿宋_GB2312" w:cs="仿宋_GB2312"/>
                <w:color w:val="auto"/>
                <w:kern w:val="0"/>
                <w:sz w:val="24"/>
                <w:lang w:bidi="ar"/>
              </w:rPr>
              <w:t>为本次广州市增城区国土空间规划</w:t>
            </w:r>
            <w:r>
              <w:rPr>
                <w:rFonts w:hint="eastAsia" w:ascii="仿宋_GB2312" w:hAnsi="Times New Roman" w:eastAsia="仿宋_GB2312" w:cs="仿宋_GB2312"/>
                <w:color w:val="auto"/>
                <w:kern w:val="0"/>
                <w:sz w:val="24"/>
                <w:lang w:val="en-US" w:eastAsia="zh-CN" w:bidi="ar"/>
              </w:rPr>
              <w:t>评估编制技术服务</w:t>
            </w:r>
            <w:r>
              <w:rPr>
                <w:rFonts w:hint="eastAsia" w:ascii="仿宋_GB2312" w:hAnsi="Times New Roman" w:eastAsia="仿宋_GB2312" w:cs="仿宋_GB2312"/>
                <w:color w:val="auto"/>
                <w:kern w:val="0"/>
                <w:sz w:val="24"/>
                <w:lang w:bidi="ar"/>
              </w:rPr>
              <w:t>项目采购中选单位，报价为</w:t>
            </w:r>
            <w:r>
              <w:rPr>
                <w:rStyle w:val="4"/>
                <w:color w:val="auto"/>
                <w:lang w:bidi="ar"/>
              </w:rPr>
              <w:t xml:space="preserve">       </w:t>
            </w:r>
            <w:r>
              <w:rPr>
                <w:rStyle w:val="5"/>
                <w:rFonts w:hint="eastAsia"/>
                <w:color w:val="auto"/>
                <w:lang w:bidi="ar"/>
              </w:rPr>
              <w:t>元</w:t>
            </w:r>
            <w:r>
              <w:rPr>
                <w:rFonts w:hint="eastAsia" w:ascii="仿宋_GB2312" w:hAnsi="Times New Roman" w:eastAsia="仿宋_GB2312" w:cs="仿宋_GB2312"/>
                <w:color w:val="auto"/>
                <w:kern w:val="0"/>
                <w:sz w:val="24"/>
                <w:lang w:bidi="ar"/>
              </w:rPr>
              <w:t>。</w:t>
            </w:r>
          </w:p>
        </w:tc>
      </w:tr>
      <w:tr>
        <w:tblPrEx>
          <w:tblLayout w:type="fixed"/>
          <w:tblCellMar>
            <w:top w:w="15" w:type="dxa"/>
            <w:left w:w="15" w:type="dxa"/>
            <w:bottom w:w="15" w:type="dxa"/>
            <w:right w:w="15" w:type="dxa"/>
          </w:tblCellMar>
        </w:tblPrEx>
        <w:trPr>
          <w:trHeight w:val="493" w:hRule="atLeast"/>
        </w:trPr>
        <w:tc>
          <w:tcPr>
            <w:tcW w:w="13976" w:type="dxa"/>
            <w:gridSpan w:val="10"/>
            <w:vAlign w:val="center"/>
          </w:tcPr>
          <w:p>
            <w:pPr>
              <w:widowControl/>
              <w:jc w:val="left"/>
              <w:textAlignment w:val="center"/>
              <w:rPr>
                <w:rFonts w:ascii="Times New Roman" w:hAnsi="Times New Roman"/>
                <w:color w:val="auto"/>
                <w:sz w:val="24"/>
              </w:rPr>
            </w:pPr>
            <w:r>
              <w:rPr>
                <w:rFonts w:ascii="Times New Roman" w:hAnsi="Times New Roman"/>
                <w:color w:val="auto"/>
                <w:kern w:val="0"/>
                <w:sz w:val="24"/>
                <w:lang w:bidi="ar"/>
              </w:rPr>
              <w:t>评委签名：</w:t>
            </w:r>
          </w:p>
        </w:tc>
      </w:tr>
      <w:tr>
        <w:tblPrEx>
          <w:tblLayout w:type="fixed"/>
          <w:tblCellMar>
            <w:top w:w="15" w:type="dxa"/>
            <w:left w:w="15" w:type="dxa"/>
            <w:bottom w:w="15" w:type="dxa"/>
            <w:right w:w="15" w:type="dxa"/>
          </w:tblCellMar>
        </w:tblPrEx>
        <w:trPr>
          <w:trHeight w:val="316" w:hRule="atLeast"/>
        </w:trPr>
        <w:tc>
          <w:tcPr>
            <w:tcW w:w="13976" w:type="dxa"/>
            <w:gridSpan w:val="10"/>
            <w:vAlign w:val="center"/>
          </w:tcPr>
          <w:p>
            <w:pPr>
              <w:widowControl/>
              <w:jc w:val="right"/>
              <w:textAlignment w:val="center"/>
              <w:rPr>
                <w:rFonts w:ascii="Times New Roman" w:hAnsi="Times New Roman"/>
                <w:color w:val="auto"/>
                <w:sz w:val="24"/>
              </w:rPr>
            </w:pPr>
            <w:r>
              <w:rPr>
                <w:rFonts w:ascii="Times New Roman" w:hAnsi="Times New Roman"/>
                <w:color w:val="auto"/>
                <w:kern w:val="0"/>
                <w:sz w:val="24"/>
                <w:lang w:bidi="ar"/>
              </w:rPr>
              <w:t>日期：</w:t>
            </w:r>
            <w:r>
              <w:rPr>
                <w:rStyle w:val="5"/>
                <w:color w:val="auto"/>
                <w:lang w:bidi="ar"/>
              </w:rPr>
              <w:t>2025</w:t>
            </w:r>
            <w:r>
              <w:rPr>
                <w:rFonts w:hint="eastAsia" w:ascii="仿宋_GB2312" w:hAnsi="Times New Roman" w:eastAsia="仿宋_GB2312" w:cs="仿宋_GB2312"/>
                <w:color w:val="auto"/>
                <w:kern w:val="0"/>
                <w:sz w:val="24"/>
                <w:lang w:bidi="ar"/>
              </w:rPr>
              <w:t>年</w:t>
            </w:r>
            <w:r>
              <w:rPr>
                <w:rStyle w:val="5"/>
                <w:color w:val="auto"/>
                <w:lang w:bidi="ar"/>
              </w:rPr>
              <w:t xml:space="preserve">  </w:t>
            </w:r>
            <w:r>
              <w:rPr>
                <w:rFonts w:hint="eastAsia" w:ascii="仿宋_GB2312" w:hAnsi="Times New Roman" w:eastAsia="仿宋_GB2312" w:cs="仿宋_GB2312"/>
                <w:color w:val="auto"/>
                <w:kern w:val="0"/>
                <w:sz w:val="24"/>
                <w:lang w:bidi="ar"/>
              </w:rPr>
              <w:t>月</w:t>
            </w:r>
            <w:r>
              <w:rPr>
                <w:rStyle w:val="5"/>
                <w:color w:val="auto"/>
                <w:lang w:bidi="ar"/>
              </w:rPr>
              <w:t xml:space="preserve">   </w:t>
            </w:r>
            <w:r>
              <w:rPr>
                <w:rFonts w:hint="eastAsia" w:ascii="仿宋_GB2312" w:hAnsi="Times New Roman" w:eastAsia="仿宋_GB2312" w:cs="仿宋_GB2312"/>
                <w:color w:val="auto"/>
                <w:kern w:val="0"/>
                <w:sz w:val="24"/>
                <w:lang w:bidi="ar"/>
              </w:rPr>
              <w:t>日</w:t>
            </w:r>
          </w:p>
        </w:tc>
      </w:tr>
    </w:tbl>
    <w:p>
      <w:pPr>
        <w:adjustRightInd w:val="0"/>
        <w:spacing w:line="520" w:lineRule="exact"/>
        <w:rPr>
          <w:rFonts w:hint="eastAsia" w:ascii="黑体" w:hAnsi="黑体" w:eastAsia="黑体" w:cs="黑体"/>
          <w:color w:val="auto"/>
          <w:sz w:val="28"/>
          <w:szCs w:val="28"/>
        </w:rPr>
        <w:sectPr>
          <w:pgSz w:w="16838" w:h="11906" w:orient="landscape"/>
          <w:pgMar w:top="1746" w:right="1440" w:bottom="1746" w:left="1440" w:header="851" w:footer="992" w:gutter="0"/>
          <w:cols w:space="720" w:num="1"/>
          <w:docGrid w:type="lines" w:linePitch="319" w:charSpace="0"/>
        </w:sectPr>
      </w:pPr>
      <w:bookmarkStart w:id="0" w:name="OLE_LINK5"/>
    </w:p>
    <w:bookmarkEnd w:id="0"/>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005840"/>
    <w:rsid w:val="37005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font51"/>
    <w:qFormat/>
    <w:uiPriority w:val="0"/>
    <w:rPr>
      <w:rFonts w:hint="default" w:ascii="Times New Roman" w:hAnsi="Times New Roman" w:cs="Times New Roman"/>
      <w:color w:val="000000"/>
      <w:sz w:val="24"/>
      <w:szCs w:val="24"/>
      <w:u w:val="single"/>
    </w:rPr>
  </w:style>
  <w:style w:type="character" w:customStyle="1" w:styleId="5">
    <w:name w:val="font6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2026-03-31T01:39:00Z</dcterms:created>
  <dc:creator>NTKO</dc:creator>
  <cp:lastModifiedBy>NTKO</cp:lastModifiedBy>
  <dcterms:modified xsi:type="dcterms:W3CDTF">2026-03-31T01:39:49Z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