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20" w:lineRule="exact"/>
        <w:jc w:val="left"/>
        <w:rPr>
          <w:rFonts w:hint="eastAsia" w:eastAsia="黑体"/>
          <w:b/>
          <w:color w:val="auto"/>
          <w:sz w:val="44"/>
        </w:rPr>
      </w:pPr>
      <w:bookmarkStart w:id="2" w:name="_GoBack"/>
      <w:bookmarkEnd w:id="2"/>
      <w:bookmarkStart w:id="0" w:name="_Toc29434_WPSOffice_Level2"/>
      <w:r>
        <w:rPr>
          <w:rFonts w:hint="eastAsia" w:ascii="黑体" w:hAnsi="黑体" w:eastAsia="黑体" w:cs="黑体"/>
          <w:color w:val="auto"/>
          <w:sz w:val="28"/>
          <w:szCs w:val="28"/>
        </w:rPr>
        <w:t>附件1</w:t>
      </w:r>
    </w:p>
    <w:p>
      <w:pPr>
        <w:jc w:val="center"/>
        <w:rPr>
          <w:b/>
          <w:color w:val="auto"/>
          <w:sz w:val="44"/>
        </w:rPr>
      </w:pPr>
      <w:r>
        <w:rPr>
          <w:rFonts w:hint="eastAsia"/>
          <w:b/>
          <w:color w:val="auto"/>
          <w:sz w:val="44"/>
        </w:rPr>
        <w:t>项目采购需求书</w:t>
      </w:r>
    </w:p>
    <w:tbl>
      <w:tblPr>
        <w:tblStyle w:val="3"/>
        <w:tblW w:w="9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820"/>
        <w:gridCol w:w="6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序号</w:t>
            </w:r>
          </w:p>
        </w:tc>
        <w:tc>
          <w:tcPr>
            <w:tcW w:w="1820" w:type="dxa"/>
            <w:vAlign w:val="center"/>
          </w:tcPr>
          <w:p>
            <w:pPr>
              <w:jc w:val="cente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类别</w:t>
            </w:r>
          </w:p>
        </w:tc>
        <w:tc>
          <w:tcPr>
            <w:tcW w:w="6457" w:type="dxa"/>
            <w:vAlign w:val="center"/>
          </w:tcPr>
          <w:p>
            <w:pPr>
              <w:jc w:val="center"/>
              <w:rPr>
                <w:rFonts w:ascii="仿宋" w:hAnsi="仿宋" w:eastAsia="仿宋" w:cs="楷体"/>
                <w:color w:val="auto"/>
                <w:sz w:val="32"/>
                <w:szCs w:val="32"/>
                <w:highlight w:val="none"/>
              </w:rPr>
            </w:pPr>
            <w:r>
              <w:rPr>
                <w:rFonts w:hint="eastAsia" w:ascii="仿宋" w:hAnsi="仿宋" w:eastAsia="仿宋" w:cs="仿宋"/>
                <w:color w:val="auto"/>
                <w:sz w:val="32"/>
                <w:szCs w:val="32"/>
                <w:highlight w:val="none"/>
              </w:rPr>
              <w:t>采购需求内容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1</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名称</w:t>
            </w:r>
          </w:p>
        </w:tc>
        <w:tc>
          <w:tcPr>
            <w:tcW w:w="6457"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广州市增城区国土空间规划评估</w:t>
            </w:r>
            <w:r>
              <w:rPr>
                <w:rFonts w:hint="eastAsia" w:ascii="仿宋" w:hAnsi="仿宋" w:eastAsia="仿宋" w:cs="楷体"/>
                <w:color w:val="auto"/>
                <w:sz w:val="32"/>
                <w:szCs w:val="32"/>
                <w:highlight w:val="none"/>
                <w:lang w:val="en-US" w:eastAsia="zh-CN"/>
              </w:rPr>
              <w:t>编制技术服务</w:t>
            </w:r>
            <w:r>
              <w:rPr>
                <w:rFonts w:hint="eastAsia" w:ascii="仿宋" w:hAnsi="仿宋" w:eastAsia="仿宋" w:cs="楷体"/>
                <w:color w:val="auto"/>
                <w:sz w:val="32"/>
                <w:szCs w:val="32"/>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2</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项目业主情况</w:t>
            </w:r>
          </w:p>
        </w:tc>
        <w:tc>
          <w:tcPr>
            <w:tcW w:w="6457"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项目业主：广州市规划和自然资源局增城区分局</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地址：广州市增城区荔城街光明西路108号</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联系电话：82629809</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联系人：刘</w:t>
            </w:r>
            <w:r>
              <w:rPr>
                <w:rFonts w:hint="eastAsia" w:ascii="仿宋" w:hAnsi="仿宋" w:eastAsia="仿宋" w:cs="楷体"/>
                <w:color w:val="auto"/>
                <w:sz w:val="32"/>
                <w:szCs w:val="32"/>
                <w:highlight w:val="none"/>
                <w:lang w:val="en-US" w:eastAsia="zh-CN"/>
              </w:rPr>
              <w:t>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3</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对</w:t>
            </w:r>
            <w:r>
              <w:rPr>
                <w:rFonts w:ascii="仿宋" w:hAnsi="仿宋" w:eastAsia="仿宋" w:cs="楷体"/>
                <w:color w:val="auto"/>
                <w:sz w:val="32"/>
                <w:szCs w:val="32"/>
                <w:highlight w:val="none"/>
              </w:rPr>
              <w:t>响应</w:t>
            </w:r>
            <w:r>
              <w:rPr>
                <w:rFonts w:hint="eastAsia" w:ascii="仿宋" w:hAnsi="仿宋" w:eastAsia="仿宋" w:cs="楷体"/>
                <w:color w:val="auto"/>
                <w:sz w:val="32"/>
                <w:szCs w:val="32"/>
                <w:highlight w:val="none"/>
              </w:rPr>
              <w:t>机构的资格要求</w:t>
            </w:r>
          </w:p>
        </w:tc>
        <w:tc>
          <w:tcPr>
            <w:tcW w:w="6457" w:type="dxa"/>
            <w:vAlign w:val="center"/>
          </w:tcPr>
          <w:p>
            <w:pPr>
              <w:numPr>
                <w:ilvl w:val="0"/>
                <w:numId w:val="1"/>
              </w:num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投标人具有独立承担民事责任的能力，提供以下相关证照的扫描件之一：（1）企业法人提供企业法人营业执照；（2）事业法人提供事业法人登记证；（3）其他组织提供其他组织的营业执照或执业许可证；（4）自然人提供居民身份证等。分支机构投标的，还须提供分支机构的营业执照（执业许可证）扫描件及总公司（总所）出具给分支机构的授权书。</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2.</w:t>
            </w:r>
            <w:r>
              <w:rPr>
                <w:rFonts w:hint="eastAsia" w:ascii="仿宋_GB2312" w:hAnsi="仿宋_GB2312" w:eastAsia="仿宋_GB2312" w:cs="仿宋_GB2312"/>
                <w:color w:val="auto"/>
                <w:sz w:val="32"/>
                <w:szCs w:val="32"/>
                <w:highlight w:val="none"/>
              </w:rPr>
              <w:t>投标人没有处于被责令停业的状态，没有处于被行政主管部门取消投标资格的处罚期内，没有处于财产被接管、冻结、破产的状态。</w:t>
            </w:r>
          </w:p>
          <w:p>
            <w:pPr>
              <w:rPr>
                <w:color w:val="auto"/>
                <w:sz w:val="32"/>
                <w:szCs w:val="32"/>
                <w:highlight w:val="none"/>
              </w:rPr>
            </w:pPr>
            <w:r>
              <w:rPr>
                <w:rFonts w:hint="eastAsia" w:ascii="仿宋" w:hAnsi="仿宋" w:eastAsia="仿宋" w:cs="楷体"/>
                <w:color w:val="auto"/>
                <w:sz w:val="32"/>
                <w:szCs w:val="32"/>
                <w:highlight w:val="none"/>
              </w:rPr>
              <w:t>3.资质要求：具备在有效期内的城乡规划编制乙级或以上资质。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4</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服务内容和服务要求</w:t>
            </w:r>
          </w:p>
        </w:tc>
        <w:tc>
          <w:tcPr>
            <w:tcW w:w="6457"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包括但不限于：</w:t>
            </w:r>
          </w:p>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1.指标体系构建：依据国家相关规程和增城区实际情况，按安全韧性、创新高效、协调集约、绿色低碳、开放繁荣和共享幸福六个维度建立指标体系，包括基本指标、推荐指标和自选指标。在基本指标的基础上，结合增城区发展阶段选择推荐指标或者另行增设城市发展中与时空紧密关联，体现质量、效率、结构和品质的自选指标。各项指标报送周期与评估开展工作相适应。</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2.国土空间规划评估：聚焦规划实施的关键变量和核心任务，对国土空间总体规划实施情况进行监测和评价。工作成果包括但不限于资</w:t>
            </w:r>
            <w:bookmarkStart w:id="1" w:name="OLE_LINK1"/>
            <w:r>
              <w:rPr>
                <w:rFonts w:hint="eastAsia" w:ascii="仿宋" w:hAnsi="仿宋" w:eastAsia="仿宋" w:cs="楷体"/>
                <w:color w:val="auto"/>
                <w:sz w:val="32"/>
                <w:szCs w:val="32"/>
                <w:highlight w:val="none"/>
              </w:rPr>
              <w:t>料收集调查、规划实施分析图与数据库</w:t>
            </w:r>
            <w:bookmarkEnd w:id="1"/>
            <w:r>
              <w:rPr>
                <w:rFonts w:hint="eastAsia" w:ascii="仿宋" w:hAnsi="仿宋" w:eastAsia="仿宋" w:cs="楷体"/>
                <w:color w:val="auto"/>
                <w:sz w:val="32"/>
                <w:szCs w:val="32"/>
                <w:highlight w:val="none"/>
              </w:rPr>
              <w:t>等。</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3.进度要求:按合同约定期限完成。</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4.数量：具体按相关主管部门上报审批要求提供纸质、电子版盖章成果。</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5.质量要求：（1）中标人应具有开展本项目的专业能力，需为本项目配备1名规划专业中级（或以上）技术职称或注册规划资格的项目负责人和不少于4名专业技术人员的服务团队；所投入人员应具有规划类初级（或以上）职称。(2)针对项目</w:t>
            </w:r>
            <w:r>
              <w:rPr>
                <w:rFonts w:ascii="仿宋" w:hAnsi="仿宋" w:eastAsia="仿宋" w:cs="楷体"/>
                <w:color w:val="auto"/>
                <w:sz w:val="32"/>
                <w:szCs w:val="32"/>
                <w:highlight w:val="none"/>
              </w:rPr>
              <w:t>成果编制</w:t>
            </w:r>
            <w:r>
              <w:rPr>
                <w:rFonts w:hint="eastAsia" w:ascii="仿宋" w:hAnsi="仿宋" w:eastAsia="仿宋" w:cs="楷体"/>
                <w:color w:val="auto"/>
                <w:sz w:val="32"/>
                <w:szCs w:val="32"/>
                <w:highlight w:val="none"/>
              </w:rPr>
              <w:t>有详实</w:t>
            </w:r>
            <w:r>
              <w:rPr>
                <w:rFonts w:ascii="仿宋" w:hAnsi="仿宋" w:eastAsia="仿宋" w:cs="楷体"/>
                <w:color w:val="auto"/>
                <w:sz w:val="32"/>
                <w:szCs w:val="32"/>
                <w:highlight w:val="none"/>
              </w:rPr>
              <w:t>可行的</w:t>
            </w:r>
            <w:r>
              <w:rPr>
                <w:rFonts w:hint="eastAsia" w:ascii="仿宋" w:hAnsi="仿宋" w:eastAsia="仿宋" w:cs="楷体"/>
                <w:color w:val="auto"/>
                <w:sz w:val="32"/>
                <w:szCs w:val="32"/>
                <w:highlight w:val="none"/>
              </w:rPr>
              <w:t>工作方案并对项目的全过程进行跟踪服务。(3)为保障项目质量水平，需在响应文件中明确相关措施。(4)提交的成果深度需满足现行国土空间规划相关法律法规及国家规范和行业标准，满足主管部门审批要求。</w:t>
            </w:r>
          </w:p>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6.后续（售后）服务要求：本项目完结后，在涉及复核审计相关工作时，提供技术交底等工作的配合。</w:t>
            </w:r>
          </w:p>
          <w:p>
            <w:pPr>
              <w:rPr>
                <w:rFonts w:eastAsia="仿宋"/>
                <w:color w:val="auto"/>
                <w:sz w:val="32"/>
                <w:szCs w:val="32"/>
                <w:highlight w:val="none"/>
              </w:rPr>
            </w:pPr>
            <w:r>
              <w:rPr>
                <w:rFonts w:hint="eastAsia" w:ascii="仿宋" w:hAnsi="仿宋" w:eastAsia="仿宋" w:cs="楷体"/>
                <w:color w:val="auto"/>
                <w:sz w:val="32"/>
                <w:szCs w:val="32"/>
                <w:highlight w:val="none"/>
              </w:rPr>
              <w:t>7.其他要求;(1).中标方不得对本项目进行分包或转包。(2).中标方必须制订并执行项目安全保密制度，对我局提供的有关技术资料履行保密责任，不得随意将项目成果外泄，必须在取得我局同意的情况下方可将项目成果提交第三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5</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合同履行地点和方式</w:t>
            </w:r>
          </w:p>
        </w:tc>
        <w:tc>
          <w:tcPr>
            <w:tcW w:w="6457" w:type="dxa"/>
            <w:vAlign w:val="center"/>
          </w:tcPr>
          <w:p>
            <w:pPr>
              <w:numPr>
                <w:ilvl w:val="0"/>
                <w:numId w:val="2"/>
              </w:num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地点：广州市增城区。</w:t>
            </w:r>
          </w:p>
          <w:p>
            <w:pPr>
              <w:numPr>
                <w:ilvl w:val="0"/>
                <w:numId w:val="2"/>
              </w:num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履行方式：按国家和省相关规程规范要求按时完成各阶段的工作并保证其成果质量，对项目的全过程进行跟踪服务。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6</w:t>
            </w:r>
          </w:p>
        </w:tc>
        <w:tc>
          <w:tcPr>
            <w:tcW w:w="1820" w:type="dxa"/>
            <w:vAlign w:val="center"/>
          </w:tcPr>
          <w:p>
            <w:pPr>
              <w:rPr>
                <w:rFonts w:ascii="仿宋" w:hAnsi="仿宋" w:eastAsia="仿宋" w:cs="楷体"/>
                <w:color w:val="auto"/>
                <w:sz w:val="32"/>
                <w:szCs w:val="32"/>
                <w:highlight w:val="none"/>
              </w:rPr>
            </w:pPr>
            <w:r>
              <w:rPr>
                <w:rFonts w:ascii="仿宋" w:hAnsi="仿宋" w:eastAsia="仿宋" w:cs="楷体"/>
                <w:color w:val="auto"/>
                <w:sz w:val="32"/>
                <w:szCs w:val="32"/>
                <w:highlight w:val="none"/>
              </w:rPr>
              <w:t>评审</w:t>
            </w:r>
            <w:r>
              <w:rPr>
                <w:rFonts w:hint="eastAsia" w:ascii="仿宋" w:hAnsi="仿宋" w:eastAsia="仿宋" w:cs="楷体"/>
                <w:color w:val="auto"/>
                <w:sz w:val="32"/>
                <w:szCs w:val="32"/>
                <w:highlight w:val="none"/>
              </w:rPr>
              <w:t>方式和计价标准</w:t>
            </w:r>
          </w:p>
        </w:tc>
        <w:tc>
          <w:tcPr>
            <w:tcW w:w="6457"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1.</w:t>
            </w:r>
            <w:r>
              <w:rPr>
                <w:rFonts w:ascii="仿宋" w:hAnsi="仿宋" w:eastAsia="仿宋" w:cs="楷体"/>
                <w:color w:val="auto"/>
                <w:sz w:val="32"/>
                <w:szCs w:val="32"/>
                <w:highlight w:val="none"/>
              </w:rPr>
              <w:t>评审</w:t>
            </w:r>
            <w:r>
              <w:rPr>
                <w:rFonts w:hint="eastAsia" w:ascii="仿宋" w:hAnsi="仿宋" w:eastAsia="仿宋" w:cs="楷体"/>
                <w:color w:val="auto"/>
                <w:sz w:val="32"/>
                <w:szCs w:val="32"/>
                <w:highlight w:val="none"/>
              </w:rPr>
              <w:t>方式：</w:t>
            </w:r>
            <w:r>
              <w:rPr>
                <w:rFonts w:ascii="仿宋" w:hAnsi="仿宋" w:eastAsia="仿宋" w:cs="楷体"/>
                <w:color w:val="auto"/>
                <w:sz w:val="32"/>
                <w:szCs w:val="32"/>
                <w:highlight w:val="none"/>
              </w:rPr>
              <w:t>综合评审法</w:t>
            </w:r>
            <w:r>
              <w:rPr>
                <w:rFonts w:hint="eastAsia" w:ascii="仿宋" w:hAnsi="仿宋" w:eastAsia="仿宋" w:cs="楷体"/>
                <w:color w:val="auto"/>
                <w:sz w:val="32"/>
                <w:szCs w:val="32"/>
                <w:highlight w:val="none"/>
              </w:rPr>
              <w:t>。</w:t>
            </w:r>
          </w:p>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2.报价方式：报总价，最高限价66万元整，上述金额含税费。原则上超出最高限价的为无效报价。</w:t>
            </w:r>
          </w:p>
          <w:p>
            <w:pPr>
              <w:snapToGrid/>
              <w:ind w:firstLine="0" w:firstLineChars="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如出现异常低价报价，则启动异常低价审查：</w:t>
            </w:r>
          </w:p>
          <w:p>
            <w:p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（1）符合性审查通过后，出现下列情形之一的，立即启动异常低价审查：</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1）响应报价低于项目最高限价的45%；</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2）响应报价低于有效报价算术平均值的50%；</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3）响应报价低于有效报价次低报价的50%；</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4）评审小组认为报价明显低于合理成本，可能影响质量与诚信履约的其他情形。</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（2）审查程序</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1）现场质询。评审小组以书面发出质询，要求供应商提交报价合理性说明及成本证明材料。</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2）材料提交。供应商须提交书面说明、成本明细、货源与质量保障等材料；逾期、未按要求提交或拒不说明，视为不能证明合理性。</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3）评审判定。评审小组审核材料真实性、完整性、合理性：</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能证明合理且履约可靠的，报价有效；</w:t>
            </w:r>
          </w:p>
          <w:p>
            <w:pPr>
              <w:numPr>
                <w:ilvl w:val="0"/>
                <w:numId w:val="0"/>
              </w:numPr>
              <w:snapToGrid/>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不能证明、存在履约风险的，响应无效，不推荐为成交候选人。</w:t>
            </w:r>
          </w:p>
          <w:p>
            <w:pPr>
              <w:rPr>
                <w:rFonts w:hint="eastAsia" w:ascii="仿宋" w:hAnsi="仿宋" w:eastAsia="仿宋" w:cs="楷体"/>
                <w:color w:val="auto"/>
                <w:sz w:val="32"/>
                <w:szCs w:val="32"/>
                <w:highlight w:val="none"/>
              </w:rPr>
            </w:pPr>
            <w:r>
              <w:rPr>
                <w:rFonts w:hint="eastAsia" w:ascii="仿宋_GB2312" w:hAnsi="仿宋_GB2312" w:eastAsia="仿宋_GB2312" w:cs="仿宋_GB2312"/>
                <w:color w:val="auto"/>
                <w:sz w:val="32"/>
                <w:szCs w:val="32"/>
                <w:highlight w:val="none"/>
                <w:lang w:val="en-US" w:eastAsia="zh-CN"/>
              </w:rPr>
              <w:t>4）记录归档。全过程记入评审报告，签字确认并存档。</w:t>
            </w:r>
          </w:p>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3.计价标准：参考同类型规划编制项目报价情况，结合增城区的市场行情及项目规模确定。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7</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服务时间</w:t>
            </w:r>
          </w:p>
        </w:tc>
        <w:tc>
          <w:tcPr>
            <w:tcW w:w="6457"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本项目采购合同自双方盖公章后生效。本项目服务期自合同生效之日起开始计算，到本项目成果通过相关主管部门组织审批验收通过为止。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8</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验收</w:t>
            </w:r>
          </w:p>
        </w:tc>
        <w:tc>
          <w:tcPr>
            <w:tcW w:w="6457" w:type="dxa"/>
            <w:vAlign w:val="center"/>
          </w:tcPr>
          <w:p>
            <w:pPr>
              <w:tabs>
                <w:tab w:val="left" w:pos="312"/>
              </w:tabs>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1.验收时间：服务完成后验收。</w:t>
            </w:r>
          </w:p>
          <w:p>
            <w:pPr>
              <w:tabs>
                <w:tab w:val="left" w:pos="312"/>
              </w:tabs>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2.验收程序：以上级部门审批通过或数据启用为验收结论。</w:t>
            </w:r>
          </w:p>
          <w:p>
            <w:pPr>
              <w:tabs>
                <w:tab w:val="left" w:pos="312"/>
              </w:tabs>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3.验收标准：提交的成果满足国家和省相关规程规范，满足主管部门审批要求等。</w:t>
            </w:r>
          </w:p>
          <w:p>
            <w:pPr>
              <w:tabs>
                <w:tab w:val="left" w:pos="312"/>
              </w:tabs>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4.验收不合格的处理方式：负责修编项目成果直至符合主管部门审批要求和合同约定要求。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9</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结算方式</w:t>
            </w:r>
          </w:p>
        </w:tc>
        <w:tc>
          <w:tcPr>
            <w:tcW w:w="6457"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1.本项目分两次付款。（1）合同签订生效后</w:t>
            </w:r>
            <w:r>
              <w:rPr>
                <w:rFonts w:ascii="仿宋" w:hAnsi="仿宋" w:eastAsia="仿宋" w:cs="楷体"/>
                <w:color w:val="auto"/>
                <w:sz w:val="32"/>
                <w:szCs w:val="32"/>
                <w:highlight w:val="none"/>
              </w:rPr>
              <w:t>，甲方于财政拨款到位之日起</w:t>
            </w:r>
            <w:r>
              <w:rPr>
                <w:rFonts w:hint="eastAsia" w:ascii="仿宋" w:hAnsi="仿宋" w:eastAsia="仿宋" w:cs="楷体"/>
                <w:color w:val="auto"/>
                <w:sz w:val="32"/>
                <w:szCs w:val="32"/>
                <w:highlight w:val="none"/>
              </w:rPr>
              <w:t>5个工作日内支付</w:t>
            </w:r>
            <w:r>
              <w:rPr>
                <w:rFonts w:ascii="仿宋" w:hAnsi="仿宋" w:eastAsia="仿宋" w:cs="楷体"/>
                <w:color w:val="auto"/>
                <w:sz w:val="32"/>
                <w:szCs w:val="32"/>
                <w:highlight w:val="none"/>
              </w:rPr>
              <w:t>人民币</w:t>
            </w:r>
            <w:r>
              <w:rPr>
                <w:rFonts w:hint="eastAsia" w:ascii="仿宋" w:hAnsi="仿宋" w:eastAsia="仿宋" w:cs="楷体"/>
                <w:color w:val="auto"/>
                <w:sz w:val="32"/>
                <w:szCs w:val="32"/>
                <w:highlight w:val="none"/>
              </w:rPr>
              <w:t>20</w:t>
            </w:r>
            <w:r>
              <w:rPr>
                <w:rFonts w:ascii="仿宋" w:hAnsi="仿宋" w:eastAsia="仿宋" w:cs="楷体"/>
                <w:color w:val="auto"/>
                <w:sz w:val="32"/>
                <w:szCs w:val="32"/>
                <w:highlight w:val="none"/>
              </w:rPr>
              <w:t>万元</w:t>
            </w:r>
            <w:r>
              <w:rPr>
                <w:rFonts w:hint="eastAsia" w:ascii="仿宋" w:hAnsi="仿宋" w:eastAsia="仿宋" w:cs="楷体"/>
                <w:color w:val="auto"/>
                <w:sz w:val="32"/>
                <w:szCs w:val="32"/>
                <w:highlight w:val="none"/>
              </w:rPr>
              <w:t>给乙方。（2）项目成果上报并通过相关行政主管部门审批验收，自项目验收通过之日起，甲方</w:t>
            </w:r>
            <w:r>
              <w:rPr>
                <w:rFonts w:ascii="仿宋" w:hAnsi="仿宋" w:eastAsia="仿宋" w:cs="楷体"/>
                <w:color w:val="auto"/>
                <w:sz w:val="32"/>
                <w:szCs w:val="32"/>
                <w:highlight w:val="none"/>
              </w:rPr>
              <w:t>于财政拨款到位之日起</w:t>
            </w:r>
            <w:r>
              <w:rPr>
                <w:rFonts w:hint="eastAsia" w:ascii="仿宋" w:hAnsi="仿宋" w:eastAsia="仿宋" w:cs="楷体"/>
                <w:color w:val="auto"/>
                <w:sz w:val="32"/>
                <w:szCs w:val="32"/>
                <w:highlight w:val="none"/>
                <w:lang w:val="en-US" w:eastAsia="zh-CN"/>
              </w:rPr>
              <w:t>5个工作日内</w:t>
            </w:r>
            <w:r>
              <w:rPr>
                <w:rFonts w:ascii="仿宋" w:hAnsi="仿宋" w:eastAsia="仿宋" w:cs="楷体"/>
                <w:color w:val="auto"/>
                <w:sz w:val="32"/>
                <w:szCs w:val="32"/>
                <w:highlight w:val="none"/>
              </w:rPr>
              <w:t>支付合同尾款（即合同总金额扣减首期款后的余额）</w:t>
            </w:r>
            <w:r>
              <w:rPr>
                <w:rFonts w:hint="eastAsia" w:ascii="仿宋" w:hAnsi="仿宋" w:eastAsia="仿宋" w:cs="楷体"/>
                <w:color w:val="auto"/>
                <w:sz w:val="32"/>
                <w:szCs w:val="32"/>
                <w:highlight w:val="none"/>
              </w:rPr>
              <w:t>。</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2.如因政策变动等不可抗力原因导致合同不能履行或继续履行已无意义的，需终止合同，双方互不承担违约责任或其他赔偿责任。合同因此终止履行的，若乙方尚未开展工作的，甲方无需向乙方支付任何费用;</w:t>
            </w:r>
            <w:r>
              <w:rPr>
                <w:rFonts w:hint="eastAsia" w:ascii="仿宋_GB2312" w:hAnsi="仿宋_GB2312" w:eastAsia="仿宋_GB2312" w:cs="仿宋_GB2312"/>
                <w:color w:val="auto"/>
                <w:sz w:val="32"/>
                <w:szCs w:val="32"/>
                <w:highlight w:val="none"/>
              </w:rPr>
              <w:t>若</w:t>
            </w:r>
            <w:r>
              <w:rPr>
                <w:rFonts w:hint="eastAsia" w:ascii="仿宋_GB2312" w:hAnsi="仿宋_GB2312" w:eastAsia="仿宋_GB2312" w:cs="仿宋_GB2312"/>
                <w:color w:val="auto"/>
                <w:sz w:val="32"/>
                <w:szCs w:val="32"/>
                <w:highlight w:val="none"/>
                <w:lang w:val="en-US" w:eastAsia="zh-CN"/>
              </w:rPr>
              <w:t>乙方</w:t>
            </w:r>
            <w:r>
              <w:rPr>
                <w:rFonts w:hint="eastAsia" w:ascii="仿宋_GB2312" w:hAnsi="仿宋_GB2312" w:eastAsia="仿宋_GB2312" w:cs="仿宋_GB2312"/>
                <w:color w:val="auto"/>
                <w:sz w:val="32"/>
                <w:szCs w:val="32"/>
                <w:highlight w:val="none"/>
              </w:rPr>
              <w:t>已启动项目并实施但尚未交付最终成果的，双方按照合同第一期费用结算；</w:t>
            </w:r>
            <w:r>
              <w:rPr>
                <w:rFonts w:hint="eastAsia" w:ascii="仿宋" w:hAnsi="仿宋" w:eastAsia="仿宋" w:cs="楷体"/>
                <w:color w:val="auto"/>
                <w:sz w:val="32"/>
                <w:szCs w:val="32"/>
                <w:highlight w:val="none"/>
              </w:rPr>
              <w:t>若乙方已完成成果编制工作提交相应成果给甲方的，甲方共需支付合同总金额的90%给乙方。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10</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违约责任</w:t>
            </w:r>
          </w:p>
        </w:tc>
        <w:tc>
          <w:tcPr>
            <w:tcW w:w="6457" w:type="dxa"/>
            <w:vAlign w:val="center"/>
          </w:tcPr>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1．乙方提供的服务不符合采购文件、投标文件或本合同规定的，甲方有权拒收，并且乙方须向甲方退还已支付的合同款，并支付本合同总价5%的违约金。</w:t>
            </w:r>
          </w:p>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2．乙方未能按甲方时间要求交付货物的/提供服务，从逾期之日起每日按本合同总价3‰的数额向甲方支付违约金；逾期15天以上（含15天）的，甲方有权解除合同，要求乙方支付本合同总价5%的违约金。</w:t>
            </w:r>
          </w:p>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3．甲方逾期向区财政部门申请付款，则每日按逾期申请款项的3‰向乙方偿付违约金，甲方向乙方偿付的违约金不超过本合同总价的5%。</w:t>
            </w:r>
          </w:p>
          <w:p>
            <w:pP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4．其它违约责任按《中华人民共和国民法典》处理。</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5．除甲方事先书面同意外，乙方不得部分或全部转让、转包或分包其应履行的合同项下的义务，否则甲方有权解除合同，要求乙方退还已支付的合同款，并支付本合同总价5%的违约金，给甲方造成的经济损失由乙方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11</w:t>
            </w:r>
          </w:p>
        </w:tc>
        <w:tc>
          <w:tcPr>
            <w:tcW w:w="1820"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补充合同和</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解决争议方式</w:t>
            </w:r>
          </w:p>
        </w:tc>
        <w:tc>
          <w:tcPr>
            <w:tcW w:w="6457" w:type="dxa"/>
            <w:vAlign w:val="center"/>
          </w:tcPr>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采购合同中如有未尽事宜，双方协商一致后可以签订补充合同，但补充合同不得与《中华人民共和国民法典》相抵触。</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对于合同履行中出现的纠纷，双方应友好协商解决。协商不成的，依法向广州市增城区人民法院提起诉讼。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43" w:type="dxa"/>
            <w:vAlign w:val="center"/>
          </w:tcPr>
          <w:p>
            <w:pPr>
              <w:jc w:val="center"/>
              <w:rPr>
                <w:rFonts w:hint="eastAsia" w:ascii="仿宋" w:hAnsi="仿宋" w:eastAsia="仿宋" w:cs="楷体"/>
                <w:color w:val="auto"/>
                <w:sz w:val="32"/>
                <w:szCs w:val="32"/>
                <w:highlight w:val="none"/>
              </w:rPr>
            </w:pPr>
            <w:r>
              <w:rPr>
                <w:rFonts w:hint="eastAsia" w:ascii="仿宋" w:hAnsi="仿宋" w:eastAsia="仿宋" w:cs="楷体"/>
                <w:color w:val="auto"/>
                <w:sz w:val="32"/>
                <w:szCs w:val="32"/>
                <w:highlight w:val="none"/>
              </w:rPr>
              <w:t>12</w:t>
            </w:r>
          </w:p>
        </w:tc>
        <w:tc>
          <w:tcPr>
            <w:tcW w:w="1820" w:type="dxa"/>
            <w:vAlign w:val="center"/>
          </w:tcPr>
          <w:p>
            <w:pPr>
              <w:jc w:val="left"/>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备注</w:t>
            </w:r>
          </w:p>
        </w:tc>
        <w:tc>
          <w:tcPr>
            <w:tcW w:w="6457" w:type="dxa"/>
            <w:vAlign w:val="center"/>
          </w:tcPr>
          <w:p>
            <w:pPr>
              <w:tabs>
                <w:tab w:val="left" w:pos="312"/>
              </w:tabs>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1.如果监督管理部门对有关服务已经拟定“合同范本”，业主单位、中选机构应当使用有关“合同范本”；如果监督管理部门未有“合同范本”，业主单位、中选机构应当根据《中华人民共和国民法典》等法律法规的规定自行拟定合同。</w:t>
            </w:r>
          </w:p>
          <w:p>
            <w:pPr>
              <w:tabs>
                <w:tab w:val="left" w:pos="312"/>
              </w:tabs>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 xml:space="preserve">2.合同的实质性内容，应当与采购公告、采购结果的内容一致。合同的实质性内容是指合同标的、数量、质量、价款或者报酬、履行期限、履行地点和方式、违约责任和解决争议方法等。 </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3.合同的变更、终止须由双方协商一致，并以书面形式确定，并须适用《中华人民共和国民法典》等法律法规的规定。</w:t>
            </w:r>
          </w:p>
          <w:p>
            <w:pPr>
              <w:rPr>
                <w:rFonts w:ascii="仿宋" w:hAnsi="仿宋" w:eastAsia="仿宋" w:cs="楷体"/>
                <w:color w:val="auto"/>
                <w:sz w:val="32"/>
                <w:szCs w:val="32"/>
                <w:highlight w:val="none"/>
              </w:rPr>
            </w:pPr>
            <w:r>
              <w:rPr>
                <w:rFonts w:hint="eastAsia" w:ascii="仿宋" w:hAnsi="仿宋" w:eastAsia="仿宋" w:cs="楷体"/>
                <w:color w:val="auto"/>
                <w:sz w:val="32"/>
                <w:szCs w:val="32"/>
                <w:highlight w:val="none"/>
              </w:rPr>
              <w:t>4.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tc>
      </w:tr>
      <w:bookmarkEnd w:id="0"/>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A9D2F"/>
    <w:multiLevelType w:val="singleLevel"/>
    <w:tmpl w:val="2C0A9D2F"/>
    <w:lvl w:ilvl="0" w:tentative="0">
      <w:start w:val="1"/>
      <w:numFmt w:val="decimal"/>
      <w:lvlText w:val="%1."/>
      <w:lvlJc w:val="left"/>
      <w:pPr>
        <w:tabs>
          <w:tab w:val="left" w:pos="312"/>
        </w:tabs>
      </w:pPr>
    </w:lvl>
  </w:abstractNum>
  <w:abstractNum w:abstractNumId="1">
    <w:nsid w:val="698FFD82"/>
    <w:multiLevelType w:val="singleLevel"/>
    <w:tmpl w:val="698FFD82"/>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CF5C1D"/>
    <w:rsid w:val="2BCF5C1D"/>
    <w:rsid w:val="67562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2026-03-31T04:11:00Z</dcterms:created>
  <dc:creator>NTKO</dc:creator>
  <cp:lastModifiedBy>NTKO</cp:lastModifiedBy>
  <dcterms:modified xsi:type="dcterms:W3CDTF">2026-03-31T07:15:27Z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