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2C7037">
      <w:pPr>
        <w:keepNext w:val="0"/>
        <w:keepLines w:val="0"/>
        <w:pageBreakBefore w:val="0"/>
        <w:widowControl w:val="0"/>
        <w:kinsoku/>
        <w:wordWrap/>
        <w:overflowPunct/>
        <w:topLinePunct w:val="0"/>
        <w:autoSpaceDE/>
        <w:autoSpaceDN/>
        <w:bidi w:val="0"/>
        <w:adjustRightInd/>
        <w:snapToGrid/>
        <w:spacing w:line="570" w:lineRule="exact"/>
        <w:textAlignment w:val="auto"/>
        <w:rPr>
          <w:rFonts w:hint="eastAsia" w:ascii="仿宋_GB2312" w:hAnsi="仿宋_GB2312" w:eastAsia="仿宋_GB2312" w:cs="仿宋_GB2312"/>
          <w:sz w:val="32"/>
          <w:szCs w:val="32"/>
        </w:rPr>
      </w:pPr>
      <w:bookmarkStart w:id="0" w:name="_GoBack"/>
      <w:bookmarkEnd w:id="0"/>
      <w:r>
        <w:rPr>
          <w:rFonts w:hint="eastAsia" w:ascii="仿宋_GB2312" w:hAnsi="仿宋_GB2312" w:eastAsia="仿宋_GB2312" w:cs="仿宋_GB2312"/>
          <w:sz w:val="32"/>
          <w:szCs w:val="32"/>
        </w:rPr>
        <w:t>附件</w:t>
      </w:r>
    </w:p>
    <w:p w14:paraId="24FC954C">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奖励企业名单</w:t>
      </w:r>
    </w:p>
    <w:p w14:paraId="3B4D5EE4">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sz w:val="44"/>
          <w:szCs w:val="44"/>
        </w:rPr>
      </w:pPr>
    </w:p>
    <w:tbl>
      <w:tblPr>
        <w:tblStyle w:val="6"/>
        <w:tblW w:w="99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53"/>
        <w:gridCol w:w="3933"/>
        <w:gridCol w:w="1627"/>
      </w:tblGrid>
      <w:tr w14:paraId="3FCA4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53" w:type="dxa"/>
            <w:vAlign w:val="center"/>
          </w:tcPr>
          <w:p w14:paraId="6E4BB571">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仿宋_GB2312" w:hAnsi="仿宋_GB2312" w:eastAsia="仿宋_GB2312" w:cs="仿宋_GB2312"/>
                <w:b/>
                <w:bCs/>
                <w:sz w:val="32"/>
                <w:szCs w:val="32"/>
                <w:vertAlign w:val="baseline"/>
                <w:lang w:eastAsia="zh-CN"/>
              </w:rPr>
            </w:pPr>
            <w:r>
              <w:rPr>
                <w:rFonts w:hint="eastAsia" w:ascii="仿宋_GB2312" w:hAnsi="仿宋_GB2312" w:eastAsia="仿宋_GB2312" w:cs="仿宋_GB2312"/>
                <w:b/>
                <w:bCs/>
                <w:sz w:val="32"/>
                <w:szCs w:val="32"/>
                <w:vertAlign w:val="baseline"/>
                <w:lang w:eastAsia="zh-CN"/>
              </w:rPr>
              <w:t>资金项目</w:t>
            </w:r>
          </w:p>
        </w:tc>
        <w:tc>
          <w:tcPr>
            <w:tcW w:w="3933" w:type="dxa"/>
            <w:vAlign w:val="center"/>
          </w:tcPr>
          <w:p w14:paraId="1B2816BC">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仿宋_GB2312" w:hAnsi="仿宋_GB2312" w:eastAsia="仿宋_GB2312" w:cs="仿宋_GB2312"/>
                <w:b/>
                <w:bCs/>
                <w:sz w:val="32"/>
                <w:szCs w:val="32"/>
                <w:vertAlign w:val="baseline"/>
                <w:lang w:eastAsia="zh-CN"/>
              </w:rPr>
            </w:pPr>
            <w:r>
              <w:rPr>
                <w:rFonts w:hint="eastAsia" w:ascii="仿宋_GB2312" w:hAnsi="仿宋_GB2312" w:eastAsia="仿宋_GB2312" w:cs="仿宋_GB2312"/>
                <w:b/>
                <w:bCs/>
                <w:sz w:val="32"/>
                <w:szCs w:val="32"/>
                <w:vertAlign w:val="baseline"/>
                <w:lang w:eastAsia="zh-CN"/>
              </w:rPr>
              <w:t>单位名称</w:t>
            </w:r>
          </w:p>
        </w:tc>
        <w:tc>
          <w:tcPr>
            <w:tcW w:w="1627" w:type="dxa"/>
            <w:vAlign w:val="center"/>
          </w:tcPr>
          <w:p w14:paraId="2B38D75F">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仿宋_GB2312" w:hAnsi="仿宋_GB2312" w:eastAsia="仿宋_GB2312" w:cs="仿宋_GB2312"/>
                <w:b/>
                <w:bCs/>
                <w:sz w:val="32"/>
                <w:szCs w:val="32"/>
                <w:vertAlign w:val="baseline"/>
                <w:lang w:eastAsia="zh-CN"/>
              </w:rPr>
            </w:pPr>
            <w:r>
              <w:rPr>
                <w:rFonts w:hint="eastAsia" w:ascii="仿宋_GB2312" w:hAnsi="仿宋_GB2312" w:eastAsia="仿宋_GB2312" w:cs="仿宋_GB2312"/>
                <w:b/>
                <w:bCs/>
                <w:sz w:val="32"/>
                <w:szCs w:val="32"/>
                <w:vertAlign w:val="baseline"/>
                <w:lang w:eastAsia="zh-CN"/>
              </w:rPr>
              <w:t>奖励金额（万元）</w:t>
            </w:r>
          </w:p>
        </w:tc>
      </w:tr>
      <w:tr w14:paraId="6E262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353" w:type="dxa"/>
            <w:vMerge w:val="restart"/>
            <w:vAlign w:val="center"/>
          </w:tcPr>
          <w:p w14:paraId="1E64EDD6">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sz w:val="32"/>
                <w:szCs w:val="32"/>
                <w:vertAlign w:val="baseline"/>
              </w:rPr>
            </w:pPr>
            <w:r>
              <w:rPr>
                <w:rFonts w:hint="eastAsia" w:ascii="仿宋_GB2312" w:hAnsi="仿宋_GB2312" w:eastAsia="仿宋_GB2312" w:cs="仿宋_GB2312"/>
                <w:color w:val="auto"/>
                <w:sz w:val="32"/>
                <w:szCs w:val="32"/>
                <w:highlight w:val="none"/>
                <w:lang w:val="en-US" w:eastAsia="zh-CN"/>
              </w:rPr>
              <w:t>2025年广东省制造业当家重点任务保障专项普惠性制造业投资奖励资金（第二批）</w:t>
            </w:r>
          </w:p>
        </w:tc>
        <w:tc>
          <w:tcPr>
            <w:tcW w:w="3933" w:type="dxa"/>
            <w:shd w:val="clear" w:color="auto" w:fill="auto"/>
            <w:vAlign w:val="center"/>
          </w:tcPr>
          <w:p w14:paraId="6BA7671D">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snapToGrid w:val="0"/>
                <w:color w:val="auto"/>
                <w:sz w:val="32"/>
                <w:szCs w:val="32"/>
                <w:shd w:val="clear" w:color="auto" w:fill="auto"/>
                <w:lang w:val="en-US" w:eastAsia="zh-CN"/>
              </w:rPr>
              <w:t>广州增芯科技有限公司</w:t>
            </w:r>
          </w:p>
        </w:tc>
        <w:tc>
          <w:tcPr>
            <w:tcW w:w="1627" w:type="dxa"/>
            <w:shd w:val="clear" w:color="auto" w:fill="auto"/>
            <w:vAlign w:val="center"/>
          </w:tcPr>
          <w:p w14:paraId="0954DE1F">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sz w:val="32"/>
                <w:szCs w:val="32"/>
                <w:lang w:val="en-US" w:eastAsia="zh-CN"/>
              </w:rPr>
              <w:t>919</w:t>
            </w:r>
          </w:p>
        </w:tc>
      </w:tr>
      <w:tr w14:paraId="2EADD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353" w:type="dxa"/>
            <w:vMerge w:val="continue"/>
            <w:vAlign w:val="center"/>
          </w:tcPr>
          <w:p w14:paraId="336065EE">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sz w:val="32"/>
                <w:szCs w:val="32"/>
              </w:rPr>
            </w:pPr>
          </w:p>
        </w:tc>
        <w:tc>
          <w:tcPr>
            <w:tcW w:w="3933" w:type="dxa"/>
            <w:shd w:val="clear" w:color="auto" w:fill="auto"/>
            <w:vAlign w:val="center"/>
          </w:tcPr>
          <w:p w14:paraId="44B7191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napToGrid w:val="0"/>
                <w:color w:val="auto"/>
                <w:kern w:val="2"/>
                <w:sz w:val="32"/>
                <w:szCs w:val="32"/>
                <w:shd w:val="clear" w:color="auto" w:fill="auto"/>
                <w:lang w:val="en-US" w:eastAsia="zh-CN" w:bidi="ar-SA"/>
              </w:rPr>
            </w:pPr>
            <w:r>
              <w:rPr>
                <w:rFonts w:hint="eastAsia" w:ascii="仿宋_GB2312" w:hAnsi="仿宋_GB2312" w:eastAsia="仿宋_GB2312" w:cs="仿宋_GB2312"/>
                <w:sz w:val="32"/>
                <w:szCs w:val="32"/>
                <w:vertAlign w:val="baseline"/>
                <w:lang w:val="en-US" w:eastAsia="zh-CN"/>
              </w:rPr>
              <w:t>广州国显科技有限公司</w:t>
            </w:r>
          </w:p>
        </w:tc>
        <w:tc>
          <w:tcPr>
            <w:tcW w:w="1627" w:type="dxa"/>
            <w:shd w:val="clear" w:color="auto" w:fill="auto"/>
            <w:vAlign w:val="center"/>
          </w:tcPr>
          <w:p w14:paraId="5CA93C40">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sz w:val="32"/>
                <w:szCs w:val="32"/>
                <w:lang w:val="en-US" w:eastAsia="zh-CN"/>
              </w:rPr>
              <w:t>63</w:t>
            </w:r>
          </w:p>
        </w:tc>
      </w:tr>
      <w:tr w14:paraId="17243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353" w:type="dxa"/>
            <w:vMerge w:val="continue"/>
            <w:vAlign w:val="center"/>
          </w:tcPr>
          <w:p w14:paraId="5FCF5A67">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sz w:val="32"/>
                <w:szCs w:val="32"/>
                <w:vertAlign w:val="baseline"/>
              </w:rPr>
            </w:pPr>
          </w:p>
        </w:tc>
        <w:tc>
          <w:tcPr>
            <w:tcW w:w="3933" w:type="dxa"/>
            <w:shd w:val="clear" w:color="auto" w:fill="auto"/>
            <w:vAlign w:val="center"/>
          </w:tcPr>
          <w:p w14:paraId="5306248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snapToGrid w:val="0"/>
                <w:color w:val="auto"/>
                <w:sz w:val="32"/>
                <w:szCs w:val="32"/>
                <w:shd w:val="clear" w:color="auto" w:fill="auto"/>
                <w:lang w:val="en-US" w:eastAsia="zh-CN"/>
              </w:rPr>
              <w:t>明治食品（广州）有限公司</w:t>
            </w:r>
          </w:p>
        </w:tc>
        <w:tc>
          <w:tcPr>
            <w:tcW w:w="1627" w:type="dxa"/>
            <w:shd w:val="clear" w:color="auto" w:fill="auto"/>
            <w:vAlign w:val="center"/>
          </w:tcPr>
          <w:p w14:paraId="6BD8318C">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sz w:val="32"/>
                <w:szCs w:val="32"/>
                <w:lang w:val="en-US" w:eastAsia="zh-CN"/>
              </w:rPr>
              <w:t>260</w:t>
            </w:r>
          </w:p>
        </w:tc>
      </w:tr>
      <w:tr w14:paraId="11546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353" w:type="dxa"/>
            <w:vMerge w:val="restart"/>
            <w:vAlign w:val="center"/>
          </w:tcPr>
          <w:p w14:paraId="506F2B9F">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sz w:val="32"/>
                <w:szCs w:val="32"/>
                <w:vertAlign w:val="baseline"/>
              </w:rPr>
            </w:pPr>
            <w:r>
              <w:rPr>
                <w:rFonts w:hint="eastAsia" w:ascii="仿宋_GB2312" w:hAnsi="仿宋_GB2312" w:eastAsia="仿宋_GB2312" w:cs="仿宋_GB2312"/>
                <w:color w:val="auto"/>
                <w:sz w:val="32"/>
                <w:szCs w:val="32"/>
                <w:highlight w:val="none"/>
                <w:lang w:val="en-US" w:eastAsia="zh-CN"/>
              </w:rPr>
              <w:t>2025年广东省制造业当家重点任务保障专项普惠性制造业投资奖励资金（第二批）市级配套资金</w:t>
            </w:r>
          </w:p>
        </w:tc>
        <w:tc>
          <w:tcPr>
            <w:tcW w:w="3933" w:type="dxa"/>
            <w:shd w:val="clear" w:color="auto" w:fill="auto"/>
            <w:vAlign w:val="center"/>
          </w:tcPr>
          <w:p w14:paraId="2E9EECBA">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snapToGrid w:val="0"/>
                <w:color w:val="auto"/>
                <w:sz w:val="32"/>
                <w:szCs w:val="32"/>
                <w:shd w:val="clear" w:color="auto" w:fill="auto"/>
                <w:lang w:val="en-US" w:eastAsia="zh-CN"/>
              </w:rPr>
              <w:t>广州增芯科技有限公司</w:t>
            </w:r>
          </w:p>
        </w:tc>
        <w:tc>
          <w:tcPr>
            <w:tcW w:w="1627" w:type="dxa"/>
            <w:shd w:val="clear" w:color="auto" w:fill="auto"/>
            <w:vAlign w:val="center"/>
          </w:tcPr>
          <w:p w14:paraId="50325BF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sz w:val="32"/>
                <w:szCs w:val="32"/>
                <w:lang w:val="en-US" w:eastAsia="zh-CN"/>
              </w:rPr>
              <w:t>919</w:t>
            </w:r>
          </w:p>
        </w:tc>
      </w:tr>
      <w:tr w14:paraId="57DF3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353" w:type="dxa"/>
            <w:vMerge w:val="continue"/>
            <w:vAlign w:val="center"/>
          </w:tcPr>
          <w:p w14:paraId="04B11991">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sz w:val="32"/>
                <w:szCs w:val="32"/>
              </w:rPr>
            </w:pPr>
          </w:p>
        </w:tc>
        <w:tc>
          <w:tcPr>
            <w:tcW w:w="3933" w:type="dxa"/>
            <w:shd w:val="clear" w:color="auto" w:fill="auto"/>
            <w:vAlign w:val="center"/>
          </w:tcPr>
          <w:p w14:paraId="0DD72D19">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napToGrid w:val="0"/>
                <w:color w:val="auto"/>
                <w:kern w:val="2"/>
                <w:sz w:val="32"/>
                <w:szCs w:val="32"/>
                <w:shd w:val="clear" w:color="auto" w:fill="auto"/>
                <w:lang w:val="en-US" w:eastAsia="zh-CN" w:bidi="ar-SA"/>
              </w:rPr>
            </w:pPr>
            <w:r>
              <w:rPr>
                <w:rFonts w:hint="eastAsia" w:ascii="仿宋_GB2312" w:hAnsi="仿宋_GB2312" w:eastAsia="仿宋_GB2312" w:cs="仿宋_GB2312"/>
                <w:sz w:val="32"/>
                <w:szCs w:val="32"/>
                <w:vertAlign w:val="baseline"/>
                <w:lang w:val="en-US" w:eastAsia="zh-CN"/>
              </w:rPr>
              <w:t>广州国显科技有限公司</w:t>
            </w:r>
          </w:p>
        </w:tc>
        <w:tc>
          <w:tcPr>
            <w:tcW w:w="1627" w:type="dxa"/>
            <w:shd w:val="clear" w:color="auto" w:fill="auto"/>
            <w:vAlign w:val="center"/>
          </w:tcPr>
          <w:p w14:paraId="732F641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sz w:val="32"/>
                <w:szCs w:val="32"/>
                <w:lang w:val="en-US" w:eastAsia="zh-CN"/>
              </w:rPr>
              <w:t>63</w:t>
            </w:r>
          </w:p>
        </w:tc>
      </w:tr>
      <w:tr w14:paraId="17861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353" w:type="dxa"/>
            <w:vMerge w:val="continue"/>
            <w:vAlign w:val="center"/>
          </w:tcPr>
          <w:p w14:paraId="4E3BE98D">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val="0"/>
                <w:bCs w:val="0"/>
                <w:kern w:val="2"/>
                <w:sz w:val="32"/>
                <w:szCs w:val="32"/>
                <w:lang w:val="en-US" w:eastAsia="zh-CN" w:bidi="ar-SA"/>
              </w:rPr>
            </w:pPr>
          </w:p>
        </w:tc>
        <w:tc>
          <w:tcPr>
            <w:tcW w:w="3933" w:type="dxa"/>
            <w:shd w:val="clear" w:color="auto" w:fill="auto"/>
            <w:vAlign w:val="center"/>
          </w:tcPr>
          <w:p w14:paraId="55F1242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snapToGrid w:val="0"/>
                <w:color w:val="auto"/>
                <w:sz w:val="32"/>
                <w:szCs w:val="32"/>
                <w:shd w:val="clear" w:color="auto" w:fill="auto"/>
                <w:lang w:val="en-US" w:eastAsia="zh-CN"/>
              </w:rPr>
              <w:t>明治食品（广州）有限公司</w:t>
            </w:r>
          </w:p>
        </w:tc>
        <w:tc>
          <w:tcPr>
            <w:tcW w:w="1627" w:type="dxa"/>
            <w:shd w:val="clear" w:color="auto" w:fill="auto"/>
            <w:vAlign w:val="center"/>
          </w:tcPr>
          <w:p w14:paraId="365C9890">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sz w:val="32"/>
                <w:szCs w:val="32"/>
                <w:lang w:val="en-US" w:eastAsia="zh-CN"/>
              </w:rPr>
              <w:t>260</w:t>
            </w:r>
          </w:p>
        </w:tc>
      </w:tr>
      <w:tr w14:paraId="74FA4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353" w:type="dxa"/>
            <w:vMerge w:val="restart"/>
            <w:vAlign w:val="center"/>
          </w:tcPr>
          <w:p w14:paraId="3A98FB07">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color w:val="auto"/>
                <w:sz w:val="32"/>
                <w:szCs w:val="32"/>
                <w:highlight w:val="none"/>
                <w:lang w:val="en-US" w:eastAsia="zh-CN"/>
              </w:rPr>
              <w:t>2026年广东省制造业当家重点任务保障专项普惠性制造业投资奖励资金</w:t>
            </w:r>
          </w:p>
        </w:tc>
        <w:tc>
          <w:tcPr>
            <w:tcW w:w="3933" w:type="dxa"/>
            <w:shd w:val="clear" w:color="auto" w:fill="auto"/>
            <w:vAlign w:val="center"/>
          </w:tcPr>
          <w:p w14:paraId="04486986">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snapToGrid w:val="0"/>
                <w:color w:val="auto"/>
                <w:sz w:val="32"/>
                <w:szCs w:val="32"/>
                <w:shd w:val="clear" w:color="auto" w:fill="auto"/>
                <w:lang w:val="en-US" w:eastAsia="zh-CN"/>
              </w:rPr>
              <w:t>广州增芯科技有限公司</w:t>
            </w:r>
          </w:p>
        </w:tc>
        <w:tc>
          <w:tcPr>
            <w:tcW w:w="1627" w:type="dxa"/>
            <w:shd w:val="clear" w:color="auto" w:fill="auto"/>
            <w:vAlign w:val="center"/>
          </w:tcPr>
          <w:p w14:paraId="124F07AF">
            <w:pPr>
              <w:pStyle w:val="3"/>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sz w:val="32"/>
                <w:szCs w:val="32"/>
                <w:vertAlign w:val="baseline"/>
                <w:lang w:val="en-US" w:eastAsia="zh-CN"/>
              </w:rPr>
              <w:t>3710.55</w:t>
            </w:r>
          </w:p>
        </w:tc>
      </w:tr>
      <w:tr w14:paraId="55A70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353" w:type="dxa"/>
            <w:vMerge w:val="continue"/>
            <w:vAlign w:val="center"/>
          </w:tcPr>
          <w:p w14:paraId="75099537">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val="0"/>
                <w:bCs w:val="0"/>
                <w:kern w:val="2"/>
                <w:sz w:val="32"/>
                <w:szCs w:val="32"/>
                <w:lang w:val="en-US" w:eastAsia="zh-CN" w:bidi="ar-SA"/>
              </w:rPr>
            </w:pPr>
          </w:p>
        </w:tc>
        <w:tc>
          <w:tcPr>
            <w:tcW w:w="3933" w:type="dxa"/>
            <w:shd w:val="clear" w:color="auto" w:fill="auto"/>
            <w:vAlign w:val="center"/>
          </w:tcPr>
          <w:p w14:paraId="381B6E0A">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napToGrid w:val="0"/>
                <w:color w:val="auto"/>
                <w:kern w:val="2"/>
                <w:sz w:val="32"/>
                <w:szCs w:val="32"/>
                <w:shd w:val="clear" w:color="auto" w:fill="auto"/>
                <w:lang w:val="en-US" w:eastAsia="zh-CN" w:bidi="ar-SA"/>
              </w:rPr>
            </w:pPr>
            <w:r>
              <w:rPr>
                <w:rFonts w:hint="eastAsia" w:ascii="仿宋_GB2312" w:hAnsi="仿宋_GB2312" w:eastAsia="仿宋_GB2312" w:cs="仿宋_GB2312"/>
                <w:sz w:val="32"/>
                <w:szCs w:val="32"/>
                <w:vertAlign w:val="baseline"/>
                <w:lang w:val="en-US" w:eastAsia="zh-CN"/>
              </w:rPr>
              <w:t>广州国显科技有限公司</w:t>
            </w:r>
          </w:p>
        </w:tc>
        <w:tc>
          <w:tcPr>
            <w:tcW w:w="1627" w:type="dxa"/>
            <w:shd w:val="clear" w:color="auto" w:fill="auto"/>
            <w:vAlign w:val="center"/>
          </w:tcPr>
          <w:p w14:paraId="07990A64">
            <w:pPr>
              <w:pStyle w:val="3"/>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sz w:val="32"/>
                <w:szCs w:val="32"/>
                <w:vertAlign w:val="baseline"/>
                <w:lang w:val="en-US" w:eastAsia="zh-CN"/>
              </w:rPr>
              <w:t>351.36</w:t>
            </w:r>
          </w:p>
        </w:tc>
      </w:tr>
      <w:tr w14:paraId="42977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353" w:type="dxa"/>
            <w:vMerge w:val="restart"/>
            <w:vAlign w:val="center"/>
          </w:tcPr>
          <w:p w14:paraId="7AEC2E1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color w:val="auto"/>
                <w:sz w:val="32"/>
                <w:szCs w:val="32"/>
                <w:highlight w:val="none"/>
                <w:lang w:val="en-US" w:eastAsia="zh-CN"/>
              </w:rPr>
              <w:t>2026年广东省制造业当家重点任务保障专项普惠性制造业投资奖励市级配套资金</w:t>
            </w:r>
          </w:p>
        </w:tc>
        <w:tc>
          <w:tcPr>
            <w:tcW w:w="3933" w:type="dxa"/>
            <w:shd w:val="clear" w:color="auto" w:fill="auto"/>
            <w:vAlign w:val="center"/>
          </w:tcPr>
          <w:p w14:paraId="0F48F77E">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snapToGrid w:val="0"/>
                <w:color w:val="auto"/>
                <w:sz w:val="32"/>
                <w:szCs w:val="32"/>
                <w:shd w:val="clear" w:color="auto" w:fill="auto"/>
                <w:lang w:val="en-US" w:eastAsia="zh-CN"/>
              </w:rPr>
              <w:t>广州增芯科技有限公司</w:t>
            </w:r>
          </w:p>
        </w:tc>
        <w:tc>
          <w:tcPr>
            <w:tcW w:w="1627" w:type="dxa"/>
            <w:shd w:val="clear" w:color="auto" w:fill="auto"/>
            <w:vAlign w:val="center"/>
          </w:tcPr>
          <w:p w14:paraId="66508EEC">
            <w:pPr>
              <w:pStyle w:val="3"/>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sz w:val="32"/>
                <w:szCs w:val="32"/>
                <w:vertAlign w:val="baseline"/>
                <w:lang w:val="en-US" w:eastAsia="zh-CN"/>
              </w:rPr>
              <w:t>3710.55</w:t>
            </w:r>
          </w:p>
        </w:tc>
      </w:tr>
      <w:tr w14:paraId="37D1E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353" w:type="dxa"/>
            <w:vMerge w:val="continue"/>
            <w:vAlign w:val="center"/>
          </w:tcPr>
          <w:p w14:paraId="3019FD99">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val="0"/>
                <w:bCs w:val="0"/>
                <w:kern w:val="2"/>
                <w:sz w:val="32"/>
                <w:szCs w:val="32"/>
                <w:lang w:val="en-US" w:eastAsia="zh-CN" w:bidi="ar-SA"/>
              </w:rPr>
            </w:pPr>
          </w:p>
        </w:tc>
        <w:tc>
          <w:tcPr>
            <w:tcW w:w="3933" w:type="dxa"/>
            <w:shd w:val="clear" w:color="auto" w:fill="auto"/>
            <w:vAlign w:val="center"/>
          </w:tcPr>
          <w:p w14:paraId="182F1567">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napToGrid w:val="0"/>
                <w:color w:val="auto"/>
                <w:kern w:val="2"/>
                <w:sz w:val="32"/>
                <w:szCs w:val="32"/>
                <w:shd w:val="clear" w:color="auto" w:fill="auto"/>
                <w:lang w:val="en-US" w:eastAsia="zh-CN" w:bidi="ar-SA"/>
              </w:rPr>
            </w:pPr>
            <w:r>
              <w:rPr>
                <w:rFonts w:hint="eastAsia" w:ascii="仿宋_GB2312" w:hAnsi="仿宋_GB2312" w:eastAsia="仿宋_GB2312" w:cs="仿宋_GB2312"/>
                <w:sz w:val="32"/>
                <w:szCs w:val="32"/>
                <w:vertAlign w:val="baseline"/>
                <w:lang w:val="en-US" w:eastAsia="zh-CN"/>
              </w:rPr>
              <w:t>广州国显科技有限公司</w:t>
            </w:r>
          </w:p>
        </w:tc>
        <w:tc>
          <w:tcPr>
            <w:tcW w:w="1627" w:type="dxa"/>
            <w:shd w:val="clear" w:color="auto" w:fill="auto"/>
            <w:vAlign w:val="center"/>
          </w:tcPr>
          <w:p w14:paraId="7A256DC7">
            <w:pPr>
              <w:pStyle w:val="3"/>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sz w:val="32"/>
                <w:szCs w:val="32"/>
                <w:vertAlign w:val="baseline"/>
                <w:lang w:val="en-US" w:eastAsia="zh-CN"/>
              </w:rPr>
              <w:t>351.36</w:t>
            </w:r>
          </w:p>
        </w:tc>
      </w:tr>
    </w:tbl>
    <w:p w14:paraId="1366487F">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sz w:val="44"/>
          <w:szCs w:val="44"/>
        </w:rPr>
      </w:pPr>
    </w:p>
    <w:p w14:paraId="37961B36">
      <w:pPr>
        <w:keepNext w:val="0"/>
        <w:keepLines w:val="0"/>
        <w:pageBreakBefore w:val="0"/>
        <w:widowControl w:val="0"/>
        <w:kinsoku/>
        <w:wordWrap/>
        <w:overflowPunct/>
        <w:topLinePunct w:val="0"/>
        <w:autoSpaceDE/>
        <w:autoSpaceDN/>
        <w:bidi w:val="0"/>
        <w:adjustRightInd/>
        <w:snapToGrid/>
        <w:spacing w:line="570" w:lineRule="exact"/>
        <w:textAlignment w:val="auto"/>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BF33EE"/>
    <w:rsid w:val="00D15E01"/>
    <w:rsid w:val="048A36AF"/>
    <w:rsid w:val="07E10F12"/>
    <w:rsid w:val="12737E32"/>
    <w:rsid w:val="13EB04F6"/>
    <w:rsid w:val="1A342A91"/>
    <w:rsid w:val="1D914932"/>
    <w:rsid w:val="1F6125D6"/>
    <w:rsid w:val="21576E88"/>
    <w:rsid w:val="296839E8"/>
    <w:rsid w:val="29AE18A7"/>
    <w:rsid w:val="2BD97EF1"/>
    <w:rsid w:val="2CBF33EE"/>
    <w:rsid w:val="2EC4290F"/>
    <w:rsid w:val="2FE04F62"/>
    <w:rsid w:val="331B377D"/>
    <w:rsid w:val="3B0100FD"/>
    <w:rsid w:val="3D7E1878"/>
    <w:rsid w:val="49CC2177"/>
    <w:rsid w:val="4CB338E2"/>
    <w:rsid w:val="50EB3BD9"/>
    <w:rsid w:val="514574F4"/>
    <w:rsid w:val="52A97ABF"/>
    <w:rsid w:val="575117DC"/>
    <w:rsid w:val="57E760BD"/>
    <w:rsid w:val="5A8B19A1"/>
    <w:rsid w:val="60795F1E"/>
    <w:rsid w:val="632C18EF"/>
    <w:rsid w:val="68E81D0D"/>
    <w:rsid w:val="79625D4E"/>
    <w:rsid w:val="7D0F11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semiHidden/>
    <w:unhideWhenUsed/>
    <w:qFormat/>
    <w:uiPriority w:val="0"/>
    <w:pPr>
      <w:spacing w:before="0" w:beforeAutospacing="1" w:after="0" w:afterAutospacing="1"/>
      <w:jc w:val="left"/>
    </w:pPr>
    <w:rPr>
      <w:rFonts w:hint="eastAsia" w:ascii="宋体" w:hAnsi="宋体" w:eastAsia="宋体" w:cs="宋体"/>
      <w:b/>
      <w:kern w:val="0"/>
      <w:sz w:val="24"/>
      <w:szCs w:val="24"/>
      <w:lang w:val="en-US" w:eastAsia="zh-CN" w:bidi="ar"/>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Normal Indent"/>
    <w:basedOn w:val="1"/>
    <w:unhideWhenUsed/>
    <w:qFormat/>
    <w:uiPriority w:val="99"/>
    <w:pPr>
      <w:ind w:firstLine="420" w:firstLineChars="200"/>
    </w:pPr>
    <w:rPr>
      <w:rFonts w:ascii="Calibri" w:hAnsi="Calibri" w:eastAsia="宋体" w:cs="Times New Roman"/>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877</Words>
  <Characters>1000</Characters>
  <Lines>0</Lines>
  <Paragraphs>0</Paragraphs>
  <TotalTime>5239</TotalTime>
  <ScaleCrop>false</ScaleCrop>
  <LinksUpToDate>false</LinksUpToDate>
  <CharactersWithSpaces>1006</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2023-08-18T03:10:00Z</dcterms:created>
  <dc:creator>钟国良</dc:creator>
  <cp:lastModifiedBy>钟国良</cp:lastModifiedBy>
  <cp:lastPrinted>2026-04-07T11:11:00Z</cp:lastPrinted>
  <dcterms:modified xsi:type="dcterms:W3CDTF">2026-04-08T02:15:14Z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38C3CB3F71AA45DBAEA15A54B0F52635_13</vt:lpwstr>
  </property>
</Properties>
</file>