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2D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0" w:firstLineChars="0"/>
        <w:jc w:val="left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附件2</w:t>
      </w:r>
    </w:p>
    <w:p w14:paraId="20C79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/>
          <w:lang w:val="en-US" w:eastAsia="zh-CN"/>
        </w:rPr>
      </w:pPr>
    </w:p>
    <w:p w14:paraId="2ECAB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增城区未定级不可移动文物保护措施</w:t>
      </w:r>
    </w:p>
    <w:p w14:paraId="606BD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C5E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根据《中华人民共和国文物保护法》有关规定，现将增城区第六批未定级不可移动文物的保护措施予以公布，具体如下：</w:t>
      </w:r>
      <w:bookmarkStart w:id="0" w:name="_GoBack"/>
      <w:bookmarkEnd w:id="0"/>
    </w:p>
    <w:p w14:paraId="702C72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一、未定级不可移动文物由所有人或使用人负责修缮、保养，所有人或使用人应当依法履行文物保护主体责任，对文物安全负责。</w:t>
      </w:r>
    </w:p>
    <w:p w14:paraId="7B5B0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二、未定级不可移动文物的修缮、保养，</w:t>
      </w:r>
      <w:r>
        <w:rPr>
          <w:rFonts w:hint="eastAsia" w:cs="仿宋_GB2312"/>
          <w:sz w:val="32"/>
          <w:szCs w:val="32"/>
          <w:lang w:val="en-US" w:eastAsia="zh-CN"/>
        </w:rPr>
        <w:t>须遵守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不改变文物原状</w:t>
      </w:r>
      <w:r>
        <w:rPr>
          <w:rFonts w:hint="eastAsia" w:cs="仿宋_GB2312"/>
          <w:sz w:val="32"/>
          <w:szCs w:val="32"/>
          <w:lang w:val="en-US" w:eastAsia="zh-CN"/>
        </w:rPr>
        <w:t>和最小干预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的原则，并依法向区文物主管部门履行事前报批、报备手续。</w:t>
      </w:r>
    </w:p>
    <w:p w14:paraId="7DFD6F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三、所有人或使用人，不得损毁、改建、添建或拆除</w:t>
      </w:r>
      <w:r>
        <w:rPr>
          <w:rFonts w:hint="eastAsia" w:cs="仿宋_GB2312"/>
          <w:sz w:val="32"/>
          <w:szCs w:val="32"/>
          <w:lang w:val="en-US" w:eastAsia="zh-CN"/>
        </w:rPr>
        <w:t>不可移动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文物；不得改变文物原建筑立面、结构体系、平面布局、色彩色调、内部特色装饰等。</w:t>
      </w:r>
    </w:p>
    <w:p w14:paraId="61D8FE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四、建设工程选址应尽可能避开未定级不可移动文物，因特殊情况无法避开的，应当</w:t>
      </w:r>
      <w:r>
        <w:rPr>
          <w:rFonts w:hint="eastAsia" w:cs="仿宋_GB2312"/>
          <w:sz w:val="32"/>
          <w:szCs w:val="32"/>
          <w:lang w:val="en-US" w:eastAsia="zh-CN"/>
        </w:rPr>
        <w:t>尽可能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实施原址保护。</w:t>
      </w:r>
    </w:p>
    <w:p w14:paraId="7869E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五、在未定级不可移动文物附近进行建设工程，必须保证文物的安全，不得破坏和污染文物及其历史风貌。</w:t>
      </w:r>
    </w:p>
    <w:p w14:paraId="582B5B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六、文物保护相关法</w:t>
      </w:r>
      <w:r>
        <w:rPr>
          <w:rFonts w:hint="eastAsia" w:cs="仿宋_GB2312"/>
          <w:sz w:val="32"/>
          <w:szCs w:val="32"/>
          <w:lang w:val="en-US" w:eastAsia="zh-CN"/>
        </w:rPr>
        <w:t>律法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规如有新的调整，以上保护措施同步调整更新。</w:t>
      </w:r>
    </w:p>
    <w:p w14:paraId="3188A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七、文物保护需要全社会的共同参与，发现文物出现重大安全隐患及违法行为时，请立即采取有效措施保</w:t>
      </w:r>
      <w:r>
        <w:rPr>
          <w:rFonts w:hint="eastAsia" w:cs="仿宋_GB2312"/>
          <w:sz w:val="32"/>
          <w:szCs w:val="32"/>
          <w:lang w:val="en-US" w:eastAsia="zh-CN"/>
        </w:rPr>
        <w:t>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文物安全，并向区文物主管部门报告（举报电话：020-82752112）。</w:t>
      </w: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04"/>
      </w:pPr>
      <w:r>
        <w:separator/>
      </w:r>
    </w:p>
  </w:endnote>
  <w:endnote w:type="continuationSeparator" w:id="1">
    <w:p>
      <w:pPr>
        <w:spacing w:line="240" w:lineRule="auto"/>
        <w:ind w:firstLine="7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04"/>
      </w:pPr>
      <w:r>
        <w:separator/>
      </w:r>
    </w:p>
  </w:footnote>
  <w:footnote w:type="continuationSeparator" w:id="1">
    <w:p>
      <w:pPr>
        <w:spacing w:line="240" w:lineRule="auto"/>
        <w:ind w:firstLine="70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4663D"/>
    <w:rsid w:val="1E710450"/>
    <w:rsid w:val="258728F8"/>
    <w:rsid w:val="31BD2105"/>
    <w:rsid w:val="45DA0B84"/>
    <w:rsid w:val="4E50394A"/>
    <w:rsid w:val="66154481"/>
    <w:rsid w:val="67F2435C"/>
    <w:rsid w:val="7134663D"/>
    <w:rsid w:val="71F07548"/>
    <w:rsid w:val="75975441"/>
    <w:rsid w:val="7BA1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0" w:lineRule="exact"/>
      <w:ind w:firstLine="972" w:firstLineChars="200"/>
      <w:jc w:val="both"/>
    </w:pPr>
    <w:rPr>
      <w:rFonts w:ascii="仿宋_GB2312" w:hAnsi="仿宋_GB2312" w:eastAsia="仿宋_GB2312" w:cstheme="minorBidi"/>
      <w:spacing w:val="16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next w:val="4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4">
    <w:name w:val="toc 4"/>
    <w:basedOn w:val="1"/>
    <w:next w:val="1"/>
    <w:qFormat/>
    <w:uiPriority w:val="0"/>
    <w:pPr>
      <w:wordWrap w:val="0"/>
      <w:ind w:left="850"/>
    </w:pPr>
    <w:rPr>
      <w:rFonts w:ascii="Calibri" w:hAnsi="Calibri" w:eastAsia="宋体" w:cs="黑体"/>
      <w:szCs w:val="22"/>
    </w:rPr>
  </w:style>
  <w:style w:type="paragraph" w:styleId="5">
    <w:name w:val="toc 2"/>
    <w:basedOn w:val="1"/>
    <w:next w:val="1"/>
    <w:unhideWhenUsed/>
    <w:qFormat/>
    <w:uiPriority w:val="39"/>
    <w:pPr>
      <w:adjustRightInd w:val="0"/>
      <w:snapToGrid w:val="0"/>
      <w:spacing w:after="200" w:line="240" w:lineRule="auto"/>
      <w:ind w:left="420" w:leftChars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8">
    <w:name w:val="正文一"/>
    <w:basedOn w:val="1"/>
    <w:qFormat/>
    <w:uiPriority w:val="0"/>
    <w:pPr>
      <w:ind w:firstLine="200" w:firstLineChars="200"/>
    </w:pPr>
    <w:rPr>
      <w:rFonts w:eastAsia="仿宋_GB2312"/>
      <w:sz w:val="32"/>
      <w:szCs w:val="24"/>
    </w:rPr>
  </w:style>
  <w:style w:type="paragraph" w:customStyle="1" w:styleId="9">
    <w:name w:val="Body Text First Indent 21"/>
    <w:qFormat/>
    <w:uiPriority w:val="0"/>
    <w:pPr>
      <w:widowControl w:val="0"/>
      <w:ind w:left="420" w:leftChars="200" w:firstLine="420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customStyle="1" w:styleId="10">
    <w:name w:val="font6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8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502</Characters>
  <Lines>0</Lines>
  <Paragraphs>0</Paragraphs>
  <TotalTime>8</TotalTime>
  <ScaleCrop>false</ScaleCrop>
  <LinksUpToDate>false</LinksUpToDate>
  <CharactersWithSpaces>502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2026-04-09T01:37:00Z</dcterms:created>
  <dc:creator>victoria</dc:creator>
  <cp:lastModifiedBy>Lieb</cp:lastModifiedBy>
  <dcterms:modified xsi:type="dcterms:W3CDTF">2026-04-10T08:00:49Z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C3BF6B6D51E34FEEBBF382DBCA3F93BB</vt:lpwstr>
  </property>
  <property fmtid="{D5CDD505-2E9C-101B-9397-08002B2CF9AE}" pid="4" name="KSOTemplateDocerSaveRecord">
    <vt:lpwstr>eyJoZGlkIjoiZTBkNzZhZjM1ZDI5NmRiOWExMWY1ZGJhYzFmNDU4MzYiLCJ1c2VySWQiOiIyNTgzMjQyMTkifQ==</vt:lpwstr>
  </property>
</Properties>
</file>