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hint="eastAsia" w:ascii="方正小标宋简体" w:hAnsi="方正小标宋简体" w:eastAsia="方正小标宋简体" w:cs="方正小标宋简体"/>
          <w:b w:val="0"/>
          <w:bCs/>
          <w:sz w:val="52"/>
          <w:szCs w:val="44"/>
        </w:rPr>
      </w:pPr>
      <w:bookmarkStart w:id="0" w:name="_Toc147268387"/>
      <w:bookmarkStart w:id="1" w:name="_Toc146738565"/>
      <w:bookmarkStart w:id="115" w:name="_GoBack"/>
      <w:bookmarkEnd w:id="115"/>
      <w:r>
        <w:rPr>
          <w:rFonts w:hint="eastAsia" w:ascii="方正小标宋简体" w:hAnsi="方正小标宋简体" w:eastAsia="方正小标宋简体" w:cs="方正小标宋简体"/>
          <w:b w:val="0"/>
          <w:bCs/>
          <w:sz w:val="52"/>
          <w:szCs w:val="44"/>
        </w:rPr>
        <w:t>增城区应急避护场所专项规划</w:t>
      </w:r>
      <w:bookmarkEnd w:id="0"/>
      <w:bookmarkEnd w:id="1"/>
      <w:bookmarkStart w:id="2" w:name="_Toc147268388"/>
      <w:bookmarkStart w:id="3" w:name="_Toc146738566"/>
    </w:p>
    <w:p>
      <w:pPr>
        <w:ind w:firstLine="0" w:firstLineChars="0"/>
        <w:jc w:val="center"/>
        <w:rPr>
          <w:rFonts w:hint="eastAsia" w:ascii="方正小标宋简体" w:hAnsi="方正小标宋简体" w:eastAsia="方正小标宋简体" w:cs="方正小标宋简体"/>
          <w:b w:val="0"/>
          <w:bCs/>
          <w:sz w:val="52"/>
          <w:szCs w:val="44"/>
        </w:rPr>
      </w:pPr>
      <w:r>
        <w:rPr>
          <w:rFonts w:hint="eastAsia" w:ascii="方正小标宋简体" w:hAnsi="方正小标宋简体" w:eastAsia="方正小标宋简体" w:cs="方正小标宋简体"/>
          <w:b w:val="0"/>
          <w:bCs/>
          <w:sz w:val="52"/>
          <w:szCs w:val="44"/>
        </w:rPr>
        <w:t>（</w:t>
      </w:r>
      <w:r>
        <w:rPr>
          <w:rFonts w:hint="eastAsia" w:ascii="Times New Roman" w:hAnsi="Times New Roman" w:eastAsia="方正小标宋简体" w:cs="方正小标宋简体"/>
          <w:b w:val="0"/>
          <w:bCs/>
          <w:sz w:val="52"/>
          <w:szCs w:val="44"/>
        </w:rPr>
        <w:t>2025</w:t>
      </w:r>
      <w:r>
        <w:rPr>
          <w:rFonts w:hint="eastAsia" w:ascii="方正小标宋简体" w:hAnsi="方正小标宋简体" w:eastAsia="方正小标宋简体" w:cs="方正小标宋简体"/>
          <w:b w:val="0"/>
          <w:bCs/>
          <w:sz w:val="52"/>
          <w:szCs w:val="44"/>
        </w:rPr>
        <w:t>-</w:t>
      </w:r>
      <w:r>
        <w:rPr>
          <w:rFonts w:hint="eastAsia" w:ascii="Times New Roman" w:hAnsi="Times New Roman" w:eastAsia="方正小标宋简体" w:cs="方正小标宋简体"/>
          <w:b w:val="0"/>
          <w:bCs/>
          <w:sz w:val="52"/>
          <w:szCs w:val="44"/>
        </w:rPr>
        <w:t>2035</w:t>
      </w:r>
      <w:r>
        <w:rPr>
          <w:rFonts w:hint="eastAsia" w:ascii="方正小标宋简体" w:hAnsi="方正小标宋简体" w:eastAsia="方正小标宋简体" w:cs="方正小标宋简体"/>
          <w:b w:val="0"/>
          <w:bCs/>
          <w:sz w:val="52"/>
          <w:szCs w:val="44"/>
        </w:rPr>
        <w:t>年）</w:t>
      </w:r>
      <w:bookmarkEnd w:id="2"/>
      <w:bookmarkEnd w:id="3"/>
    </w:p>
    <w:p>
      <w:pPr>
        <w:ind w:firstLine="1044"/>
        <w:rPr>
          <w:rFonts w:eastAsia="宋体" w:cs="Times New Roman"/>
          <w:b/>
          <w:bCs/>
          <w:sz w:val="52"/>
          <w:szCs w:val="44"/>
        </w:rPr>
      </w:pPr>
    </w:p>
    <w:p>
      <w:pPr>
        <w:ind w:firstLine="560"/>
        <w:rPr>
          <w:rFonts w:cs="Times New Roman"/>
        </w:rPr>
      </w:pPr>
    </w:p>
    <w:p>
      <w:pPr>
        <w:ind w:firstLine="560"/>
        <w:rPr>
          <w:rFonts w:cs="Times New Roman"/>
        </w:rPr>
      </w:pPr>
    </w:p>
    <w:p>
      <w:pPr>
        <w:ind w:firstLine="560"/>
        <w:rPr>
          <w:rFonts w:cs="Times New Roman"/>
        </w:rPr>
      </w:pPr>
    </w:p>
    <w:p>
      <w:pPr>
        <w:ind w:firstLine="560"/>
        <w:rPr>
          <w:rFonts w:cs="Times New Roman"/>
        </w:rPr>
      </w:pPr>
    </w:p>
    <w:p>
      <w:pPr>
        <w:pStyle w:val="2"/>
      </w:pPr>
    </w:p>
    <w:p/>
    <w:p/>
    <w:p>
      <w:pPr>
        <w:pStyle w:val="2"/>
      </w:pPr>
    </w:p>
    <w:p>
      <w:pPr>
        <w:ind w:firstLine="0" w:firstLineChars="0"/>
        <w:jc w:val="center"/>
        <w:rPr>
          <w:rFonts w:hint="eastAsia" w:ascii="仿宋_GB2312" w:hAnsi="仿宋_GB2312" w:eastAsia="仿宋_GB2312" w:cs="仿宋_GB2312"/>
          <w:sz w:val="32"/>
          <w:szCs w:val="20"/>
        </w:rPr>
      </w:pPr>
      <w:r>
        <w:rPr>
          <w:rFonts w:hint="eastAsia" w:ascii="仿宋_GB2312" w:hAnsi="仿宋_GB2312" w:eastAsia="仿宋_GB2312" w:cs="仿宋_GB2312"/>
          <w:sz w:val="32"/>
          <w:szCs w:val="20"/>
        </w:rPr>
        <w:t>广州市增城区应急管理局</w:t>
      </w:r>
    </w:p>
    <w:p>
      <w:pPr>
        <w:ind w:firstLine="0" w:firstLineChars="0"/>
        <w:jc w:val="center"/>
        <w:rPr>
          <w:rFonts w:hint="eastAsia" w:ascii="仿宋_GB2312" w:hAnsi="仿宋_GB2312" w:eastAsia="仿宋_GB2312" w:cs="仿宋_GB2312"/>
          <w:sz w:val="32"/>
          <w:szCs w:val="20"/>
        </w:rPr>
      </w:pPr>
      <w:r>
        <w:rPr>
          <w:rFonts w:hint="eastAsia" w:ascii="Times New Roman" w:hAnsi="Times New Roman" w:eastAsia="仿宋_GB2312" w:cs="仿宋_GB2312"/>
          <w:sz w:val="32"/>
          <w:szCs w:val="20"/>
        </w:rPr>
        <w:t>202</w:t>
      </w:r>
      <w:r>
        <w:rPr>
          <w:rFonts w:hint="eastAsia" w:cs="仿宋_GB2312"/>
          <w:sz w:val="32"/>
          <w:szCs w:val="20"/>
          <w:lang w:val="en-US" w:eastAsia="zh-CN"/>
        </w:rPr>
        <w:t>6</w:t>
      </w:r>
      <w:r>
        <w:rPr>
          <w:rFonts w:hint="eastAsia" w:ascii="仿宋_GB2312" w:hAnsi="仿宋_GB2312" w:eastAsia="仿宋_GB2312" w:cs="仿宋_GB2312"/>
          <w:sz w:val="32"/>
          <w:szCs w:val="20"/>
        </w:rPr>
        <w:t>年</w:t>
      </w:r>
      <w:r>
        <w:rPr>
          <w:rFonts w:hint="eastAsia" w:cs="仿宋_GB2312"/>
          <w:sz w:val="32"/>
          <w:szCs w:val="20"/>
          <w:lang w:val="en-US" w:eastAsia="zh-CN"/>
        </w:rPr>
        <w:t>2</w:t>
      </w:r>
      <w:r>
        <w:rPr>
          <w:rFonts w:hint="eastAsia" w:ascii="仿宋_GB2312" w:hAnsi="仿宋_GB2312" w:eastAsia="仿宋_GB2312" w:cs="仿宋_GB2312"/>
          <w:sz w:val="32"/>
          <w:szCs w:val="20"/>
        </w:rPr>
        <w:t>月</w:t>
      </w:r>
    </w:p>
    <w:sdt>
      <w:sdtPr>
        <w:rPr>
          <w:lang w:val="zh-CN"/>
        </w:rPr>
        <w:id w:val="-1834057775"/>
        <w:docPartObj>
          <w:docPartGallery w:val="Table of Contents"/>
          <w:docPartUnique/>
        </w:docPartObj>
      </w:sdtPr>
      <w:sdtEndPr>
        <w:rPr>
          <w:lang w:val="zh-CN"/>
        </w:rPr>
      </w:sdtEndPr>
      <w:sdtContent>
        <w:p>
          <w:pPr>
            <w:pStyle w:val="34"/>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zh-CN"/>
            </w:rPr>
          </w:pPr>
          <w:r>
            <w:rPr>
              <w:rFonts w:hint="eastAsia" w:ascii="黑体" w:hAnsi="黑体" w:eastAsia="黑体" w:cs="黑体"/>
              <w:sz w:val="32"/>
              <w:szCs w:val="32"/>
              <w:lang w:val="zh-CN"/>
            </w:rPr>
            <w:t>目录</w:t>
          </w:r>
        </w:p>
        <w:p>
          <w:pPr>
            <w:pStyle w:val="34"/>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黑体" w:cs="Times New Roman"/>
              <w:kern w:val="2"/>
              <w:sz w:val="32"/>
              <w:szCs w:val="32"/>
              <w14:ligatures w14:val="standardContextual"/>
            </w:rPr>
          </w:pP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sz w:val="32"/>
              <w:szCs w:val="32"/>
            </w:rPr>
            <w:instrText xml:space="preserve"> TOC \o "1-3" \h \z \u </w:instrText>
          </w:r>
          <w:r>
            <w:rPr>
              <w:rFonts w:hint="eastAsia" w:ascii="仿宋_GB2312" w:hAnsi="仿宋_GB2312" w:eastAsia="仿宋_GB2312" w:cs="仿宋_GB2312"/>
              <w:kern w:val="0"/>
              <w:sz w:val="32"/>
              <w:szCs w:val="32"/>
            </w:rPr>
            <w:fldChar w:fldCharType="separate"/>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"_Toc215490469" </w:instrText>
          </w:r>
          <w:r>
            <w:rPr>
              <w:rFonts w:hint="default" w:ascii="Times New Roman" w:hAnsi="Times New Roman" w:eastAsia="黑体" w:cs="Times New Roman"/>
              <w:sz w:val="32"/>
              <w:szCs w:val="32"/>
            </w:rPr>
            <w:fldChar w:fldCharType="separate"/>
          </w:r>
          <w:r>
            <w:rPr>
              <w:rStyle w:val="57"/>
              <w:rFonts w:hint="default" w:ascii="Times New Roman" w:hAnsi="Times New Roman" w:eastAsia="黑体" w:cs="Times New Roman"/>
              <w:sz w:val="32"/>
              <w:szCs w:val="32"/>
            </w:rPr>
            <w:t>第一章  总则</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_Toc215490469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6</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"_Toc215490470"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第一条 编制目的</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_Toc215490470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"_Toc215490471"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第二条 概念界定</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_Toc215490471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"_Toc215490472"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第三条 规划定位</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_Toc215490472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"_Toc215490473"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第四条 指导思想</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_Toc215490473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"_Toc215490474"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第五条 规划原则</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_Toc215490474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"_Toc215490475"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第六条 规划范围</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_Toc215490475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"_Toc215490476"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第七条 规划期限</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_Toc215490476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"_Toc215490477"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第八条 规划依据</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_Toc215490477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34"/>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"_Toc215490478"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第二章  经济社会及应急管理发展现状</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_Toc215490478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9</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"_Toc215490479"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第九条 经济与社会发展情况</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_Toc215490479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"_Toc215490480"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第十条 应急避护场所发展现状及分析</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_Toc215490480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10</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"_Toc215490481"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第十一条 应急避护需求分析</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_Toc215490481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34"/>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"_Toc215490482"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第三章  规划目标与指标</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_Toc215490482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12</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"_Toc215490483"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第十二条 规划目标</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_Toc215490483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"_Toc215490484"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第十三条 应急避护策略</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_Toc215490484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34"/>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"_Toc215490485"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第四章  应急避护场所布局规划</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_Toc215490485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15</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"_Toc215490486"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第十四条 规划布局原则</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_Toc215490486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"_Toc215490487"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第十五条 应急避护场所总体布局</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_Toc215490487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"_Toc215490488"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第十六条 中心避护场所规划布局</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_Toc215490488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"_Toc215490489"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第十七条 长期避护场所规划布局</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_Toc215490489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"_Toc215490490"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第十八条 短期避护场所规划布局</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_Toc215490490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18</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"_Toc215490491"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第十九条 紧急避护场所规划布局</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_Toc215490491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34"/>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"_Toc215490492"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第五章  应急交通系统规划</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_Toc215490492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20</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"_Toc215490493"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第二十条 应急交通设施体系</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_Toc215490493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"_Toc215490494"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第二十一条 陆上交通</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_Toc215490494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"_Toc215490495"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第二十二条 空中交通</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_Toc215490495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23</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"_Toc215490496"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第二十三条 提高灾时应急交通能力的措施</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_Toc215490496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34"/>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"_Toc215490497"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第六章  应急避护场所设计要求指引</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_Toc215490497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24</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"_Toc215490498"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第二十四条 场地建筑条件</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_Toc215490498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"_Toc215490499"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第二十五条 功能区</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_Toc215490499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"_Toc215490500"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第二十六条 设施设备</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_Toc215490500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"_Toc215490501"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第二十七条 物资储备</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_Toc215490501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"_Toc215490502"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第二十八条 应急转换</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_Toc215490502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34"/>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"_Toc215490503"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第七章  规划实施安排</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_Toc215490503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26</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"_Toc215490504"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第二十九条 近期建设目标</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_Toc215490504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"_Toc215490505"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第三十条 近期建设计划</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_Toc215490505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34"/>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"_Toc215490506"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第八章  规划实施保障</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_Toc215490506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29</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"_Toc215490507"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第三十一条 实施机制保障</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_Toc215490507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"_Toc215490508"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第三十二条 政策法规保障</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_Toc215490508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"_Toc215490509"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第三十三条 资金投入保障</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_Toc215490509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"_Toc215490510"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第三十四条 宣教培训保障</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_Toc215490510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30</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4"/>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"_Toc215490511"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第三十五条 建立定期评估机制</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_Toc215490511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30</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34"/>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仿宋_GB2312" w:cs="Times New Roman"/>
              <w:kern w:val="2"/>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"_Toc215490512"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黑体" w:cs="Times New Roman"/>
              <w:sz w:val="32"/>
              <w:szCs w:val="32"/>
            </w:rPr>
            <w:t>附表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_Toc215490512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"_Toc215490513"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荔城街应急避护场所规划一览表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_Toc215490513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"_Toc215490514"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增江街应急避护场所规划一览表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_Toc215490514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"_Toc215490515"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朱村街应急避护场所规划一览表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_Toc215490515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"_Toc215490516"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永宁街应急避护场所规划一览表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_Toc215490516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38</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"_Toc215490517"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荔湖街应急避护场所规划一览表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_Toc215490517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40</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"_Toc215490518"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宁西街应急避护场所规划一览表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_Toc215490518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41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"_Toc215490519"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新塘镇应急避护场所规划一览表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_Toc215490519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44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"_Toc215490520"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石滩镇应急避护场所规划一览表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_Toc215490520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49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"_Toc215490521"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中新镇应急避护场所规划一览表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_Toc215490521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56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"_Toc215490522"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派潭镇应急避护场所规划一览表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_Toc215490522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"_Toc215490523"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正果镇应急避护场所规划一览表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_Toc215490523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"_Toc215490524"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小楼镇应急避护场所规划一览表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_Toc215490524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70</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2"/>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default" w:ascii="Times New Roman" w:hAnsi="Times New Roman" w:eastAsia="仿宋_GB2312" w:cs="Times New Roman"/>
              <w:sz w:val="32"/>
              <w:szCs w:val="32"/>
              <w14:ligatures w14:val="standardContextual"/>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"_Toc215490525" </w:instrText>
          </w:r>
          <w:r>
            <w:rPr>
              <w:rFonts w:hint="default" w:ascii="Times New Roman" w:hAnsi="Times New Roman" w:eastAsia="仿宋_GB2312" w:cs="Times New Roman"/>
              <w:sz w:val="32"/>
              <w:szCs w:val="32"/>
            </w:rPr>
            <w:fldChar w:fldCharType="separate"/>
          </w:r>
          <w:r>
            <w:rPr>
              <w:rStyle w:val="57"/>
              <w:rFonts w:hint="default" w:ascii="Times New Roman" w:hAnsi="Times New Roman" w:eastAsia="仿宋_GB2312" w:cs="Times New Roman"/>
              <w:sz w:val="32"/>
              <w:szCs w:val="32"/>
            </w:rPr>
            <w:t>仙村镇应急避护场所规划一览表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_Toc215490525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73</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34"/>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黑体" w:hAnsi="黑体" w:eastAsia="黑体" w:cs="黑体"/>
              <w:kern w:val="2"/>
              <w:sz w:val="32"/>
              <w:szCs w:val="32"/>
              <w14:ligatures w14:val="standardContextual"/>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"_Toc215490526" </w:instrText>
          </w:r>
          <w:r>
            <w:rPr>
              <w:rFonts w:hint="default" w:ascii="Times New Roman" w:hAnsi="Times New Roman" w:eastAsia="黑体" w:cs="Times New Roman"/>
              <w:sz w:val="32"/>
              <w:szCs w:val="32"/>
            </w:rPr>
            <w:fldChar w:fldCharType="separate"/>
          </w:r>
          <w:r>
            <w:rPr>
              <w:rStyle w:val="57"/>
              <w:rFonts w:hint="default" w:ascii="Times New Roman" w:hAnsi="Times New Roman" w:eastAsia="黑体" w:cs="Times New Roman"/>
              <w:sz w:val="32"/>
              <w:szCs w:val="32"/>
            </w:rPr>
            <w:t>附图</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_Toc215490526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75</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34"/>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sectPr>
              <w:footerReference r:id="rId9" w:type="first"/>
              <w:headerReference r:id="rId5" w:type="default"/>
              <w:footerReference r:id="rId7" w:type="default"/>
              <w:headerReference r:id="rId6" w:type="even"/>
              <w:footerReference r:id="rId8" w:type="even"/>
              <w:pgSz w:w="11906" w:h="16838"/>
              <w:pgMar w:top="2098" w:right="1474" w:bottom="1928" w:left="1588" w:header="851" w:footer="1757" w:gutter="0"/>
              <w:pgNumType w:fmt="decimal" w:start="1"/>
              <w:cols w:space="0" w:num="1"/>
              <w:rtlGutter w:val="0"/>
              <w:docGrid w:type="linesAndChars" w:linePitch="582" w:charSpace="-849"/>
            </w:sectPr>
          </w:pPr>
          <w:r>
            <w:rPr>
              <w:rFonts w:hint="eastAsia" w:ascii="仿宋_GB2312" w:hAnsi="仿宋_GB2312" w:eastAsia="仿宋_GB2312" w:cs="仿宋_GB2312"/>
              <w:sz w:val="32"/>
              <w:szCs w:val="32"/>
              <w:lang w:val="zh-CN"/>
            </w:rPr>
            <w:fldChar w:fldCharType="end"/>
          </w:r>
        </w:p>
      </w:sdtContent>
    </w:sdt>
    <w:p>
      <w:pPr>
        <w:pStyle w:val="3"/>
        <w:keepNext w:val="0"/>
        <w:keepLines w:val="0"/>
        <w:pageBreakBefore w:val="0"/>
        <w:widowControl w:val="0"/>
        <w:kinsoku/>
        <w:wordWrap/>
        <w:overflowPunct/>
        <w:topLinePunct w:val="0"/>
        <w:autoSpaceDE/>
        <w:autoSpaceDN/>
        <w:bidi w:val="0"/>
        <w:adjustRightInd/>
        <w:snapToGrid/>
        <w:spacing w:before="0" w:after="0" w:line="570" w:lineRule="exact"/>
        <w:textAlignment w:val="auto"/>
        <w:rPr>
          <w:rFonts w:cs="Times New Roman"/>
          <w:kern w:val="2"/>
          <w:sz w:val="32"/>
          <w:szCs w:val="32"/>
        </w:rPr>
      </w:pPr>
      <w:bookmarkStart w:id="4" w:name="_Toc215490469"/>
      <w:bookmarkStart w:id="5" w:name="_Toc1797"/>
      <w:r>
        <w:rPr>
          <w:rFonts w:cs="Times New Roman"/>
          <w:kern w:val="2"/>
          <w:sz w:val="32"/>
          <w:szCs w:val="32"/>
        </w:rPr>
        <w:t>第一章  总则</w:t>
      </w:r>
      <w:bookmarkEnd w:id="4"/>
    </w:p>
    <w:p>
      <w:pPr>
        <w:keepNext w:val="0"/>
        <w:keepLines w:val="0"/>
        <w:pageBreakBefore w:val="0"/>
        <w:widowControl w:val="0"/>
        <w:kinsoku/>
        <w:wordWrap/>
        <w:overflowPunct/>
        <w:topLinePunct w:val="0"/>
        <w:autoSpaceDE/>
        <w:autoSpaceDN/>
        <w:bidi w:val="0"/>
        <w:adjustRightInd/>
        <w:snapToGrid/>
        <w:spacing w:line="570" w:lineRule="exact"/>
        <w:textAlignment w:val="auto"/>
      </w:pP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6" w:name="_Toc215490470"/>
      <w:r>
        <w:rPr>
          <w:rFonts w:cs="Times New Roman"/>
          <w:kern w:val="2"/>
        </w:rPr>
        <w:t xml:space="preserve">第一条 </w:t>
      </w:r>
      <w:r>
        <w:rPr>
          <w:rFonts w:hint="eastAsia" w:cs="Times New Roman"/>
          <w:kern w:val="2"/>
          <w:lang w:val="en-US" w:eastAsia="zh-CN"/>
        </w:rPr>
        <w:t xml:space="preserve"> </w:t>
      </w:r>
      <w:r>
        <w:rPr>
          <w:rFonts w:cs="Times New Roman"/>
          <w:kern w:val="2"/>
        </w:rPr>
        <w:t>编制目的</w:t>
      </w:r>
      <w:bookmarkEnd w:id="6"/>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hint="eastAsia" w:cs="Times New Roman"/>
          <w:kern w:val="2"/>
        </w:rPr>
        <w:t>为落实《关于加强应急避难场所建设的指导意见》《广东省突发事件应对条例》《广州市应急避护场所管理办法》等国家、省、市相关法规政策要求</w:t>
      </w:r>
      <w:r>
        <w:rPr>
          <w:rFonts w:cs="Times New Roman"/>
          <w:kern w:val="2"/>
        </w:rPr>
        <w:t>，</w:t>
      </w:r>
      <w:r>
        <w:rPr>
          <w:rFonts w:hint="eastAsia" w:cs="Times New Roman"/>
          <w:kern w:val="2"/>
        </w:rPr>
        <w:t>结合</w:t>
      </w:r>
      <w:r>
        <w:rPr>
          <w:rFonts w:cs="Times New Roman"/>
          <w:kern w:val="2"/>
        </w:rPr>
        <w:t>增城区亚热带海洋性季风气候下暴雨洪涝灾害多发、地形复杂的实际，以保障人民生命财产安全为核心，</w:t>
      </w:r>
      <w:r>
        <w:rPr>
          <w:rFonts w:hint="eastAsia" w:cs="Times New Roman"/>
          <w:kern w:val="2"/>
        </w:rPr>
        <w:t>特制定</w:t>
      </w:r>
      <w:r>
        <w:rPr>
          <w:rFonts w:cs="Times New Roman"/>
          <w:kern w:val="2"/>
        </w:rPr>
        <w:t>本规划，</w:t>
      </w:r>
      <w:r>
        <w:rPr>
          <w:rFonts w:hint="eastAsia" w:cs="Times New Roman"/>
          <w:kern w:val="2"/>
        </w:rPr>
        <w:t>以</w:t>
      </w:r>
      <w:r>
        <w:rPr>
          <w:rFonts w:cs="Times New Roman"/>
          <w:kern w:val="2"/>
        </w:rPr>
        <w:t>科学高效的应急避护设施体系护航增城</w:t>
      </w:r>
      <w:r>
        <w:rPr>
          <w:rFonts w:hint="eastAsia" w:cs="Times New Roman"/>
          <w:kern w:val="2"/>
        </w:rPr>
        <w:t>区</w:t>
      </w:r>
      <w:r>
        <w:rPr>
          <w:rFonts w:cs="Times New Roman"/>
          <w:kern w:val="2"/>
        </w:rPr>
        <w:t>高质量安全发展。</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7" w:name="_Toc215490471"/>
      <w:r>
        <w:rPr>
          <w:rFonts w:cs="Times New Roman"/>
          <w:kern w:val="2"/>
        </w:rPr>
        <w:t xml:space="preserve">第二条 </w:t>
      </w:r>
      <w:r>
        <w:rPr>
          <w:rFonts w:hint="eastAsia" w:cs="Times New Roman"/>
          <w:kern w:val="2"/>
          <w:lang w:val="en-US" w:eastAsia="zh-CN"/>
        </w:rPr>
        <w:t xml:space="preserve"> </w:t>
      </w:r>
      <w:r>
        <w:rPr>
          <w:rFonts w:cs="Times New Roman"/>
          <w:kern w:val="2"/>
        </w:rPr>
        <w:t>概念界定</w:t>
      </w:r>
      <w:bookmarkEnd w:id="7"/>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应急避护场所是指为应对地震、台风、暴雨、洪涝、地质灾害等自然灾害为主，兼顾其他突发事件的应对，按照规划和相关规范标准建设，可用于居民应急防灾避险、临时安置并可供政府组织开展救灾工作的安全场所。</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本规划中“应急避护场所”即</w:t>
      </w:r>
      <w:bookmarkStart w:id="8" w:name="OLE_LINK5"/>
      <w:r>
        <w:rPr>
          <w:rFonts w:hint="eastAsia" w:ascii="仿宋_GB2312" w:hAnsi="仿宋_GB2312" w:eastAsia="仿宋_GB2312" w:cs="仿宋_GB2312"/>
          <w:kern w:val="2"/>
        </w:rPr>
        <w:t>《应急避难场所分级及分类》</w:t>
      </w:r>
      <w:r>
        <w:rPr>
          <w:rFonts w:hint="eastAsia" w:ascii="Times New Roman" w:hAnsi="Times New Roman" w:eastAsia="仿宋_GB2312" w:cs="仿宋_GB2312"/>
          <w:kern w:val="2"/>
        </w:rPr>
        <w:t>GB</w:t>
      </w:r>
      <w:r>
        <w:rPr>
          <w:rFonts w:hint="eastAsia" w:ascii="仿宋_GB2312" w:hAnsi="仿宋_GB2312" w:eastAsia="仿宋_GB2312" w:cs="仿宋_GB2312"/>
          <w:kern w:val="2"/>
        </w:rPr>
        <w:t>/</w:t>
      </w:r>
      <w:r>
        <w:rPr>
          <w:rFonts w:hint="eastAsia" w:ascii="Times New Roman" w:hAnsi="Times New Roman" w:eastAsia="仿宋_GB2312" w:cs="仿宋_GB2312"/>
          <w:kern w:val="2"/>
        </w:rPr>
        <w:t>T44013</w:t>
      </w:r>
      <w:r>
        <w:rPr>
          <w:rFonts w:hint="eastAsia" w:ascii="仿宋_GB2312" w:hAnsi="仿宋_GB2312" w:eastAsia="仿宋_GB2312" w:cs="仿宋_GB2312"/>
          <w:kern w:val="2"/>
        </w:rPr>
        <w:t>—</w:t>
      </w:r>
      <w:r>
        <w:rPr>
          <w:rFonts w:hint="eastAsia" w:ascii="Times New Roman" w:hAnsi="Times New Roman" w:eastAsia="仿宋_GB2312" w:cs="仿宋_GB2312"/>
          <w:kern w:val="2"/>
        </w:rPr>
        <w:t>2024</w:t>
      </w:r>
      <w:r>
        <w:rPr>
          <w:rFonts w:hint="eastAsia" w:ascii="仿宋_GB2312" w:hAnsi="仿宋_GB2312" w:eastAsia="仿宋_GB2312" w:cs="仿宋_GB2312"/>
          <w:kern w:val="2"/>
        </w:rPr>
        <w:t>和《广东省突发事件条例》（</w:t>
      </w:r>
      <w:r>
        <w:rPr>
          <w:rFonts w:hint="eastAsia" w:ascii="Times New Roman" w:hAnsi="Times New Roman" w:eastAsia="仿宋_GB2312" w:cs="仿宋_GB2312"/>
          <w:kern w:val="2"/>
        </w:rPr>
        <w:t>2025</w:t>
      </w:r>
      <w:r>
        <w:rPr>
          <w:rFonts w:hint="eastAsia" w:ascii="仿宋_GB2312" w:hAnsi="仿宋_GB2312" w:eastAsia="仿宋_GB2312" w:cs="仿宋_GB2312"/>
          <w:kern w:val="2"/>
        </w:rPr>
        <w:t>年修订）</w:t>
      </w:r>
      <w:bookmarkEnd w:id="8"/>
      <w:r>
        <w:rPr>
          <w:rFonts w:hint="eastAsia" w:ascii="仿宋_GB2312" w:hAnsi="仿宋_GB2312" w:eastAsia="仿宋_GB2312" w:cs="仿宋_GB2312"/>
          <w:kern w:val="2"/>
        </w:rPr>
        <w:t>中的“应急避难场所”。</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9" w:name="_Toc215490472"/>
      <w:r>
        <w:rPr>
          <w:rFonts w:cs="Times New Roman"/>
          <w:kern w:val="2"/>
        </w:rPr>
        <w:t xml:space="preserve">第三条 </w:t>
      </w:r>
      <w:r>
        <w:rPr>
          <w:rFonts w:hint="eastAsia" w:cs="Times New Roman"/>
          <w:kern w:val="2"/>
          <w:lang w:val="en-US" w:eastAsia="zh-CN"/>
        </w:rPr>
        <w:t xml:space="preserve"> </w:t>
      </w:r>
      <w:r>
        <w:rPr>
          <w:rFonts w:cs="Times New Roman"/>
          <w:kern w:val="2"/>
        </w:rPr>
        <w:t>规划定位</w:t>
      </w:r>
      <w:bookmarkEnd w:id="9"/>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本规划是广州市增城区国土空间规划体系中的区级专项规划，是广州市增城区应急避护场所规划建设的指导性文件，是广州市增城区防灾减灾应急管理体系的组成部分。</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10" w:name="_Toc215490473"/>
      <w:r>
        <w:rPr>
          <w:rFonts w:cs="Times New Roman"/>
          <w:kern w:val="2"/>
        </w:rPr>
        <w:t xml:space="preserve">第四条 </w:t>
      </w:r>
      <w:r>
        <w:rPr>
          <w:rFonts w:hint="eastAsia" w:cs="Times New Roman"/>
          <w:kern w:val="2"/>
          <w:lang w:val="en-US" w:eastAsia="zh-CN"/>
        </w:rPr>
        <w:t xml:space="preserve"> </w:t>
      </w:r>
      <w:r>
        <w:rPr>
          <w:rFonts w:cs="Times New Roman"/>
          <w:kern w:val="2"/>
        </w:rPr>
        <w:t>指导思想</w:t>
      </w:r>
      <w:bookmarkEnd w:id="10"/>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hint="eastAsia" w:cs="Times New Roman"/>
          <w:kern w:val="2"/>
        </w:rPr>
        <w:t>深入贯彻习近平总书记关于应急管理、防灾减灾救灾的重要论述精神，全面落实党的二十届四中全会关于推进国家安全体系和能力现代化、建设更高水平平安中国的战略部署，牢固树立“安全第一、预防为主”理念，健全大安全大应急框架，推动公共安全治理模式向事前预防转型。一体落实《中共中央关于制定国民经济和社会发展第十五个五年规划的建议》中关于“安全是发展的前提，发展是安全的保障”的核心要求，坚持以高水平安全服务高质量发展，科学规划、系统</w:t>
      </w:r>
      <w:r>
        <w:rPr>
          <w:rFonts w:cs="Times New Roman"/>
          <w:kern w:val="2"/>
        </w:rPr>
        <w:t>推动全区应急避护设施建设，</w:t>
      </w:r>
      <w:r>
        <w:rPr>
          <w:rFonts w:hint="eastAsia" w:cs="Times New Roman"/>
          <w:kern w:val="2"/>
        </w:rPr>
        <w:t>切实增强区域重大安全风险防控能力和突发事件应对能力</w:t>
      </w:r>
      <w:r>
        <w:rPr>
          <w:rFonts w:cs="Times New Roman"/>
          <w:kern w:val="2"/>
        </w:rPr>
        <w:t>。</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11" w:name="_Toc215490474"/>
      <w:r>
        <w:rPr>
          <w:rFonts w:cs="Times New Roman"/>
          <w:kern w:val="2"/>
        </w:rPr>
        <w:t xml:space="preserve">第五条 </w:t>
      </w:r>
      <w:r>
        <w:rPr>
          <w:rFonts w:hint="eastAsia" w:cs="Times New Roman"/>
          <w:kern w:val="2"/>
          <w:lang w:val="en-US" w:eastAsia="zh-CN"/>
        </w:rPr>
        <w:t xml:space="preserve"> </w:t>
      </w:r>
      <w:r>
        <w:rPr>
          <w:rFonts w:cs="Times New Roman"/>
          <w:kern w:val="2"/>
        </w:rPr>
        <w:t>规划原则</w:t>
      </w:r>
      <w:bookmarkEnd w:id="11"/>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w:t>
      </w:r>
      <w:r>
        <w:rPr>
          <w:rFonts w:hint="eastAsia" w:ascii="仿宋_GB2312" w:hAnsi="仿宋_GB2312" w:eastAsia="仿宋_GB2312" w:cs="仿宋_GB2312"/>
          <w:kern w:val="2"/>
        </w:rPr>
        <w:t>.以人为本，安全可靠</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坚持人民至上、生命至上，始终把保护人民群众生命财产安全放在首位，科学规范规划、建设应急避护场所。</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2</w:t>
      </w:r>
      <w:r>
        <w:rPr>
          <w:rFonts w:hint="eastAsia" w:ascii="仿宋_GB2312" w:hAnsi="仿宋_GB2312" w:eastAsia="仿宋_GB2312" w:cs="仿宋_GB2312"/>
          <w:kern w:val="2"/>
        </w:rPr>
        <w:t>.因地制宜，平灾结合</w:t>
      </w:r>
    </w:p>
    <w:p>
      <w:pPr>
        <w:keepNext w:val="0"/>
        <w:keepLines w:val="0"/>
        <w:pageBreakBefore w:val="0"/>
        <w:widowControl w:val="0"/>
        <w:kinsoku/>
        <w:wordWrap/>
        <w:overflowPunct/>
        <w:topLinePunct w:val="0"/>
        <w:autoSpaceDE/>
        <w:autoSpaceDN/>
        <w:bidi w:val="0"/>
        <w:adjustRightInd/>
        <w:snapToGrid/>
        <w:spacing w:line="570" w:lineRule="exact"/>
        <w:ind w:firstLine="560"/>
        <w:jc w:val="left"/>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因地制宜利用公共设施，将城市公园、广场、绿地、学校、体育场所、福利设施、镇（街）或社区（村）服务中心、大型露天公共停车场等室内外空间及设施，通过配置必要的应急功能，整合形成应急避护场所，强化平时功能和灾时功能的衔接和转换，提高灾时公共设施转换利用效率。</w:t>
      </w:r>
    </w:p>
    <w:p>
      <w:pPr>
        <w:keepNext w:val="0"/>
        <w:keepLines w:val="0"/>
        <w:pageBreakBefore w:val="0"/>
        <w:widowControl w:val="0"/>
        <w:kinsoku/>
        <w:wordWrap/>
        <w:overflowPunct/>
        <w:topLinePunct w:val="0"/>
        <w:autoSpaceDE/>
        <w:autoSpaceDN/>
        <w:bidi w:val="0"/>
        <w:adjustRightInd/>
        <w:snapToGrid/>
        <w:spacing w:line="570" w:lineRule="exact"/>
        <w:ind w:firstLine="560"/>
        <w:jc w:val="left"/>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3</w:t>
      </w:r>
      <w:r>
        <w:rPr>
          <w:rFonts w:hint="eastAsia" w:ascii="仿宋_GB2312" w:hAnsi="仿宋_GB2312" w:eastAsia="仿宋_GB2312" w:cs="仿宋_GB2312"/>
          <w:kern w:val="2"/>
        </w:rPr>
        <w:t>.统筹规划，分步实施</w:t>
      </w:r>
    </w:p>
    <w:p>
      <w:pPr>
        <w:keepNext w:val="0"/>
        <w:keepLines w:val="0"/>
        <w:pageBreakBefore w:val="0"/>
        <w:widowControl w:val="0"/>
        <w:kinsoku/>
        <w:wordWrap/>
        <w:overflowPunct/>
        <w:topLinePunct w:val="0"/>
        <w:autoSpaceDE/>
        <w:autoSpaceDN/>
        <w:bidi w:val="0"/>
        <w:adjustRightInd/>
        <w:snapToGrid/>
        <w:spacing w:line="570" w:lineRule="exact"/>
        <w:ind w:firstLine="560"/>
        <w:jc w:val="left"/>
        <w:textAlignment w:val="auto"/>
        <w:rPr>
          <w:rFonts w:cs="Times New Roman"/>
          <w:kern w:val="2"/>
        </w:rPr>
      </w:pPr>
      <w:r>
        <w:rPr>
          <w:rFonts w:hint="eastAsia" w:ascii="仿宋_GB2312" w:hAnsi="仿宋_GB2312" w:eastAsia="仿宋_GB2312" w:cs="仿宋_GB2312"/>
          <w:kern w:val="2"/>
        </w:rPr>
        <w:t>坚持全区一盘棋，统筹规划全区应急避护场所，根据城市经济社会发展实际和防灾救灾需求区分轻重缓急，按计划分期、分</w:t>
      </w:r>
      <w:r>
        <w:rPr>
          <w:rFonts w:cs="Times New Roman"/>
          <w:kern w:val="2"/>
        </w:rPr>
        <w:t>批建设应急避护场所。</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12" w:name="_Toc215490475"/>
      <w:r>
        <w:rPr>
          <w:rFonts w:cs="Times New Roman"/>
          <w:kern w:val="2"/>
        </w:rPr>
        <w:t xml:space="preserve">第六条 </w:t>
      </w:r>
      <w:r>
        <w:rPr>
          <w:rFonts w:hint="eastAsia" w:cs="Times New Roman"/>
          <w:kern w:val="2"/>
          <w:lang w:val="en-US" w:eastAsia="zh-CN"/>
        </w:rPr>
        <w:t xml:space="preserve"> </w:t>
      </w:r>
      <w:r>
        <w:rPr>
          <w:rFonts w:cs="Times New Roman"/>
          <w:kern w:val="2"/>
        </w:rPr>
        <w:t>规划范围</w:t>
      </w:r>
      <w:bookmarkEnd w:id="12"/>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本规划确定的规划范围为增城区行政辖区范围，包括</w:t>
      </w:r>
      <w:bookmarkStart w:id="13" w:name="OLE_LINK8"/>
      <w:r>
        <w:rPr>
          <w:rFonts w:hint="eastAsia" w:ascii="仿宋_GB2312" w:hAnsi="仿宋_GB2312" w:eastAsia="仿宋_GB2312" w:cs="仿宋_GB2312"/>
          <w:kern w:val="2"/>
        </w:rPr>
        <w:t>荔城街道、增江街道、朱村街道、永宁街道、荔湖街道、宁西街道、新塘镇、石滩镇、中新镇、正果镇、派潭镇、小楼镇、仙村镇</w:t>
      </w:r>
      <w:bookmarkEnd w:id="13"/>
      <w:r>
        <w:rPr>
          <w:rFonts w:hint="eastAsia" w:ascii="仿宋_GB2312" w:hAnsi="仿宋_GB2312" w:eastAsia="仿宋_GB2312" w:cs="仿宋_GB2312"/>
          <w:kern w:val="2"/>
        </w:rPr>
        <w:t>共</w:t>
      </w:r>
      <w:r>
        <w:rPr>
          <w:rFonts w:hint="eastAsia" w:ascii="Times New Roman" w:hAnsi="Times New Roman" w:eastAsia="仿宋_GB2312" w:cs="仿宋_GB2312"/>
          <w:kern w:val="2"/>
        </w:rPr>
        <w:t>13</w:t>
      </w:r>
      <w:r>
        <w:rPr>
          <w:rFonts w:hint="eastAsia" w:ascii="仿宋_GB2312" w:hAnsi="仿宋_GB2312" w:eastAsia="仿宋_GB2312" w:cs="仿宋_GB2312"/>
          <w:kern w:val="2"/>
        </w:rPr>
        <w:t>个镇（街），面积为</w:t>
      </w:r>
      <w:r>
        <w:rPr>
          <w:rFonts w:hint="eastAsia" w:ascii="Times New Roman" w:hAnsi="Times New Roman" w:eastAsia="仿宋_GB2312" w:cs="仿宋_GB2312"/>
          <w:kern w:val="2"/>
          <w:szCs w:val="28"/>
          <w:shd w:val="clear" w:color="auto" w:fill="FFFFFF"/>
        </w:rPr>
        <w:t>1616</w:t>
      </w:r>
      <w:r>
        <w:rPr>
          <w:rFonts w:hint="eastAsia" w:ascii="仿宋_GB2312" w:hAnsi="仿宋_GB2312" w:eastAsia="仿宋_GB2312" w:cs="仿宋_GB2312"/>
          <w:kern w:val="2"/>
          <w:szCs w:val="28"/>
          <w:shd w:val="clear" w:color="auto" w:fill="FFFFFF"/>
        </w:rPr>
        <w:t>.</w:t>
      </w:r>
      <w:r>
        <w:rPr>
          <w:rFonts w:hint="eastAsia" w:ascii="Times New Roman" w:hAnsi="Times New Roman" w:eastAsia="仿宋_GB2312" w:cs="仿宋_GB2312"/>
          <w:kern w:val="2"/>
          <w:szCs w:val="28"/>
          <w:shd w:val="clear" w:color="auto" w:fill="FFFFFF"/>
        </w:rPr>
        <w:t>47</w:t>
      </w:r>
      <w:r>
        <w:rPr>
          <w:rFonts w:hint="eastAsia" w:ascii="仿宋_GB2312" w:hAnsi="仿宋_GB2312" w:eastAsia="仿宋_GB2312" w:cs="仿宋_GB2312"/>
          <w:kern w:val="2"/>
        </w:rPr>
        <w:t>平方公里。</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14" w:name="_Toc215490476"/>
      <w:r>
        <w:rPr>
          <w:rFonts w:cs="Times New Roman"/>
          <w:kern w:val="2"/>
        </w:rPr>
        <w:t xml:space="preserve">第七条 </w:t>
      </w:r>
      <w:r>
        <w:rPr>
          <w:rFonts w:hint="eastAsia" w:cs="Times New Roman"/>
          <w:kern w:val="2"/>
          <w:lang w:val="en-US" w:eastAsia="zh-CN"/>
        </w:rPr>
        <w:t xml:space="preserve"> </w:t>
      </w:r>
      <w:r>
        <w:rPr>
          <w:rFonts w:cs="Times New Roman"/>
          <w:kern w:val="2"/>
        </w:rPr>
        <w:t>规划期限</w:t>
      </w:r>
      <w:bookmarkEnd w:id="14"/>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本规划期限为</w:t>
      </w:r>
      <w:r>
        <w:rPr>
          <w:rFonts w:hint="eastAsia" w:ascii="Times New Roman" w:hAnsi="Times New Roman" w:eastAsia="仿宋_GB2312" w:cs="仿宋_GB2312"/>
          <w:kern w:val="2"/>
        </w:rPr>
        <w:t>2025</w:t>
      </w:r>
      <w:r>
        <w:rPr>
          <w:rFonts w:hint="eastAsia" w:ascii="仿宋_GB2312" w:hAnsi="仿宋_GB2312" w:eastAsia="仿宋_GB2312" w:cs="仿宋_GB2312"/>
          <w:kern w:val="2"/>
        </w:rPr>
        <w:t>年至</w:t>
      </w:r>
      <w:r>
        <w:rPr>
          <w:rFonts w:hint="eastAsia" w:ascii="Times New Roman" w:hAnsi="Times New Roman" w:eastAsia="仿宋_GB2312" w:cs="仿宋_GB2312"/>
          <w:kern w:val="2"/>
        </w:rPr>
        <w:t>2035</w:t>
      </w:r>
      <w:r>
        <w:rPr>
          <w:rFonts w:hint="eastAsia" w:ascii="仿宋_GB2312" w:hAnsi="仿宋_GB2312" w:eastAsia="仿宋_GB2312" w:cs="仿宋_GB2312"/>
          <w:kern w:val="2"/>
        </w:rPr>
        <w:t>年。</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15" w:name="_Toc215490477"/>
      <w:r>
        <w:rPr>
          <w:rFonts w:cs="Times New Roman"/>
          <w:kern w:val="2"/>
        </w:rPr>
        <w:t xml:space="preserve">第八条 </w:t>
      </w:r>
      <w:r>
        <w:rPr>
          <w:rFonts w:hint="eastAsia" w:cs="Times New Roman"/>
          <w:kern w:val="2"/>
          <w:lang w:val="en-US" w:eastAsia="zh-CN"/>
        </w:rPr>
        <w:t xml:space="preserve"> </w:t>
      </w:r>
      <w:r>
        <w:rPr>
          <w:rFonts w:cs="Times New Roman"/>
          <w:kern w:val="2"/>
        </w:rPr>
        <w:t>规划依据</w:t>
      </w:r>
      <w:bookmarkEnd w:id="15"/>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w:t>
      </w:r>
      <w:r>
        <w:rPr>
          <w:rFonts w:hint="eastAsia" w:ascii="仿宋_GB2312" w:hAnsi="仿宋_GB2312" w:eastAsia="仿宋_GB2312" w:cs="仿宋_GB2312"/>
          <w:kern w:val="2"/>
        </w:rPr>
        <w:t>.《中华人民共和国突发事件应对法》（</w:t>
      </w:r>
      <w:r>
        <w:rPr>
          <w:rFonts w:hint="eastAsia" w:ascii="Times New Roman" w:hAnsi="Times New Roman" w:eastAsia="仿宋_GB2312" w:cs="仿宋_GB2312"/>
          <w:kern w:val="2"/>
        </w:rPr>
        <w:t>2024</w:t>
      </w:r>
      <w:r>
        <w:rPr>
          <w:rFonts w:hint="eastAsia" w:ascii="仿宋_GB2312" w:hAnsi="仿宋_GB2312" w:eastAsia="仿宋_GB2312" w:cs="仿宋_GB2312"/>
          <w:kern w:val="2"/>
        </w:rPr>
        <w:t>年修订）</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2</w:t>
      </w:r>
      <w:r>
        <w:rPr>
          <w:rFonts w:hint="eastAsia" w:ascii="仿宋_GB2312" w:hAnsi="仿宋_GB2312" w:eastAsia="仿宋_GB2312" w:cs="仿宋_GB2312"/>
          <w:kern w:val="2"/>
        </w:rPr>
        <w:t>.《中华人民共和国城乡规划法》（</w:t>
      </w:r>
      <w:r>
        <w:rPr>
          <w:rFonts w:hint="eastAsia" w:ascii="Times New Roman" w:hAnsi="Times New Roman" w:eastAsia="仿宋_GB2312" w:cs="仿宋_GB2312"/>
          <w:kern w:val="2"/>
        </w:rPr>
        <w:t>2019</w:t>
      </w:r>
      <w:r>
        <w:rPr>
          <w:rFonts w:hint="eastAsia" w:ascii="仿宋_GB2312" w:hAnsi="仿宋_GB2312" w:eastAsia="仿宋_GB2312" w:cs="仿宋_GB2312"/>
          <w:kern w:val="2"/>
        </w:rPr>
        <w:t>年修正）</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3</w:t>
      </w:r>
      <w:r>
        <w:rPr>
          <w:rFonts w:hint="eastAsia" w:ascii="仿宋_GB2312" w:hAnsi="仿宋_GB2312" w:eastAsia="仿宋_GB2312" w:cs="仿宋_GB2312"/>
          <w:kern w:val="2"/>
        </w:rPr>
        <w:t>.《中华人民共和国防震减灾法》（</w:t>
      </w:r>
      <w:r>
        <w:rPr>
          <w:rFonts w:hint="eastAsia" w:ascii="Times New Roman" w:hAnsi="Times New Roman" w:eastAsia="仿宋_GB2312" w:cs="仿宋_GB2312"/>
          <w:kern w:val="2"/>
        </w:rPr>
        <w:t>2008</w:t>
      </w:r>
      <w:r>
        <w:rPr>
          <w:rFonts w:hint="eastAsia" w:ascii="仿宋_GB2312" w:hAnsi="仿宋_GB2312" w:eastAsia="仿宋_GB2312" w:cs="仿宋_GB2312"/>
          <w:kern w:val="2"/>
        </w:rPr>
        <w:t>年修订）</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4</w:t>
      </w:r>
      <w:r>
        <w:rPr>
          <w:rFonts w:hint="eastAsia" w:ascii="仿宋_GB2312" w:hAnsi="仿宋_GB2312" w:eastAsia="仿宋_GB2312" w:cs="仿宋_GB2312"/>
          <w:kern w:val="2"/>
        </w:rPr>
        <w:t>.《广东省突发事件应对条例》（</w:t>
      </w:r>
      <w:r>
        <w:rPr>
          <w:rFonts w:hint="eastAsia" w:ascii="Times New Roman" w:hAnsi="Times New Roman" w:eastAsia="仿宋_GB2312" w:cs="仿宋_GB2312"/>
          <w:kern w:val="2"/>
        </w:rPr>
        <w:t>2025</w:t>
      </w:r>
      <w:r>
        <w:rPr>
          <w:rFonts w:hint="eastAsia" w:ascii="仿宋_GB2312" w:hAnsi="仿宋_GB2312" w:eastAsia="仿宋_GB2312" w:cs="仿宋_GB2312"/>
          <w:kern w:val="2"/>
        </w:rPr>
        <w:t>年修订）</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5</w:t>
      </w:r>
      <w:r>
        <w:rPr>
          <w:rFonts w:hint="eastAsia" w:ascii="仿宋_GB2312" w:hAnsi="仿宋_GB2312" w:eastAsia="仿宋_GB2312" w:cs="仿宋_GB2312"/>
          <w:kern w:val="2"/>
        </w:rPr>
        <w:t>.《广州市国土空间总体规划（</w:t>
      </w:r>
      <w:r>
        <w:rPr>
          <w:rFonts w:hint="eastAsia" w:ascii="Times New Roman" w:hAnsi="Times New Roman" w:eastAsia="仿宋_GB2312" w:cs="仿宋_GB2312"/>
          <w:kern w:val="2"/>
        </w:rPr>
        <w:t>2021</w:t>
      </w:r>
      <w:r>
        <w:rPr>
          <w:rFonts w:hint="eastAsia" w:ascii="仿宋_GB2312" w:hAnsi="仿宋_GB2312" w:eastAsia="仿宋_GB2312" w:cs="仿宋_GB2312"/>
          <w:kern w:val="2"/>
        </w:rPr>
        <w:t>-</w:t>
      </w:r>
      <w:r>
        <w:rPr>
          <w:rFonts w:hint="eastAsia" w:ascii="Times New Roman" w:hAnsi="Times New Roman" w:eastAsia="仿宋_GB2312" w:cs="仿宋_GB2312"/>
          <w:kern w:val="2"/>
        </w:rPr>
        <w:t>2035</w:t>
      </w:r>
      <w:r>
        <w:rPr>
          <w:rFonts w:hint="eastAsia" w:ascii="仿宋_GB2312" w:hAnsi="仿宋_GB2312" w:eastAsia="仿宋_GB2312" w:cs="仿宋_GB2312"/>
          <w:kern w:val="2"/>
        </w:rPr>
        <w:t>年）》</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6</w:t>
      </w:r>
      <w:r>
        <w:rPr>
          <w:rFonts w:hint="eastAsia" w:ascii="仿宋_GB2312" w:hAnsi="仿宋_GB2312" w:eastAsia="仿宋_GB2312" w:cs="仿宋_GB2312"/>
          <w:kern w:val="2"/>
        </w:rPr>
        <w:t>.《广州市应急避护场所建设规划（</w:t>
      </w:r>
      <w:r>
        <w:rPr>
          <w:rFonts w:hint="eastAsia" w:ascii="Times New Roman" w:hAnsi="Times New Roman" w:eastAsia="仿宋_GB2312" w:cs="仿宋_GB2312"/>
          <w:kern w:val="2"/>
        </w:rPr>
        <w:t>2023</w:t>
      </w:r>
      <w:r>
        <w:rPr>
          <w:rFonts w:hint="eastAsia" w:ascii="仿宋_GB2312" w:hAnsi="仿宋_GB2312" w:eastAsia="仿宋_GB2312" w:cs="仿宋_GB2312"/>
          <w:kern w:val="2"/>
        </w:rPr>
        <w:t>-</w:t>
      </w:r>
      <w:r>
        <w:rPr>
          <w:rFonts w:hint="eastAsia" w:ascii="Times New Roman" w:hAnsi="Times New Roman" w:eastAsia="仿宋_GB2312" w:cs="仿宋_GB2312"/>
          <w:kern w:val="2"/>
        </w:rPr>
        <w:t>2035</w:t>
      </w:r>
      <w:r>
        <w:rPr>
          <w:rFonts w:hint="eastAsia" w:ascii="仿宋_GB2312" w:hAnsi="仿宋_GB2312" w:eastAsia="仿宋_GB2312" w:cs="仿宋_GB2312"/>
          <w:kern w:val="2"/>
        </w:rPr>
        <w:t>年）》</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7</w:t>
      </w:r>
      <w:r>
        <w:rPr>
          <w:rFonts w:hint="eastAsia" w:ascii="仿宋_GB2312" w:hAnsi="仿宋_GB2312" w:eastAsia="仿宋_GB2312" w:cs="仿宋_GB2312"/>
          <w:kern w:val="2"/>
        </w:rPr>
        <w:t>.《广州市应急避护场所管理办法》</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8</w:t>
      </w:r>
      <w:r>
        <w:rPr>
          <w:rFonts w:hint="eastAsia" w:ascii="仿宋_GB2312" w:hAnsi="仿宋_GB2312" w:eastAsia="仿宋_GB2312" w:cs="仿宋_GB2312"/>
          <w:kern w:val="2"/>
        </w:rPr>
        <w:t>.《广州市城市建设防灾减灾规划（</w:t>
      </w:r>
      <w:r>
        <w:rPr>
          <w:rFonts w:hint="eastAsia" w:ascii="Times New Roman" w:hAnsi="Times New Roman" w:eastAsia="仿宋_GB2312" w:cs="仿宋_GB2312"/>
          <w:kern w:val="2"/>
        </w:rPr>
        <w:t>2019</w:t>
      </w:r>
      <w:r>
        <w:rPr>
          <w:rFonts w:hint="eastAsia" w:ascii="仿宋_GB2312" w:hAnsi="仿宋_GB2312" w:eastAsia="仿宋_GB2312" w:cs="仿宋_GB2312"/>
          <w:kern w:val="2"/>
        </w:rPr>
        <w:t>-</w:t>
      </w:r>
      <w:r>
        <w:rPr>
          <w:rFonts w:hint="eastAsia" w:ascii="Times New Roman" w:hAnsi="Times New Roman" w:eastAsia="仿宋_GB2312" w:cs="仿宋_GB2312"/>
          <w:kern w:val="2"/>
        </w:rPr>
        <w:t>2025</w:t>
      </w:r>
      <w:r>
        <w:rPr>
          <w:rFonts w:hint="eastAsia" w:ascii="仿宋_GB2312" w:hAnsi="仿宋_GB2312" w:eastAsia="仿宋_GB2312" w:cs="仿宋_GB2312"/>
          <w:kern w:val="2"/>
        </w:rPr>
        <w:t>年）》</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9</w:t>
      </w:r>
      <w:r>
        <w:rPr>
          <w:rFonts w:hint="eastAsia" w:ascii="仿宋_GB2312" w:hAnsi="仿宋_GB2312" w:eastAsia="仿宋_GB2312" w:cs="仿宋_GB2312"/>
          <w:kern w:val="2"/>
        </w:rPr>
        <w:t>.《广州市应急管理第十四个五年规划（</w:t>
      </w:r>
      <w:r>
        <w:rPr>
          <w:rFonts w:hint="eastAsia" w:ascii="Times New Roman" w:hAnsi="Times New Roman" w:eastAsia="仿宋_GB2312" w:cs="仿宋_GB2312"/>
          <w:kern w:val="2"/>
        </w:rPr>
        <w:t>2021</w:t>
      </w:r>
      <w:r>
        <w:rPr>
          <w:rFonts w:hint="eastAsia" w:ascii="仿宋_GB2312" w:hAnsi="仿宋_GB2312" w:eastAsia="仿宋_GB2312" w:cs="仿宋_GB2312"/>
          <w:kern w:val="2"/>
        </w:rPr>
        <w:t>—</w:t>
      </w:r>
      <w:r>
        <w:rPr>
          <w:rFonts w:hint="eastAsia" w:ascii="Times New Roman" w:hAnsi="Times New Roman" w:eastAsia="仿宋_GB2312" w:cs="仿宋_GB2312"/>
          <w:kern w:val="2"/>
        </w:rPr>
        <w:t>2025</w:t>
      </w:r>
      <w:r>
        <w:rPr>
          <w:rFonts w:hint="eastAsia" w:ascii="仿宋_GB2312" w:hAnsi="仿宋_GB2312" w:eastAsia="仿宋_GB2312" w:cs="仿宋_GB2312"/>
          <w:kern w:val="2"/>
        </w:rPr>
        <w:t>年）》</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10</w:t>
      </w:r>
      <w:r>
        <w:rPr>
          <w:rFonts w:hint="eastAsia" w:ascii="仿宋_GB2312" w:hAnsi="仿宋_GB2312" w:eastAsia="仿宋_GB2312" w:cs="仿宋_GB2312"/>
          <w:kern w:val="2"/>
        </w:rPr>
        <w:t>.《广州市防灾减灾“十四五”规划》</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11</w:t>
      </w:r>
      <w:r>
        <w:rPr>
          <w:rFonts w:hint="eastAsia" w:ascii="仿宋_GB2312" w:hAnsi="仿宋_GB2312" w:eastAsia="仿宋_GB2312" w:cs="仿宋_GB2312"/>
          <w:kern w:val="2"/>
        </w:rPr>
        <w:t>.《广州市地质灾害防治“十四五”规划》</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12</w:t>
      </w:r>
      <w:r>
        <w:rPr>
          <w:rFonts w:hint="eastAsia" w:ascii="仿宋_GB2312" w:hAnsi="仿宋_GB2312" w:eastAsia="仿宋_GB2312" w:cs="仿宋_GB2312"/>
          <w:kern w:val="2"/>
        </w:rPr>
        <w:t>.《广州市增城区国土空间总体规划（</w:t>
      </w:r>
      <w:r>
        <w:rPr>
          <w:rFonts w:hint="eastAsia" w:ascii="Times New Roman" w:hAnsi="Times New Roman" w:eastAsia="仿宋_GB2312" w:cs="仿宋_GB2312"/>
          <w:kern w:val="2"/>
        </w:rPr>
        <w:t>2021</w:t>
      </w:r>
      <w:r>
        <w:rPr>
          <w:rFonts w:hint="eastAsia" w:ascii="仿宋_GB2312" w:hAnsi="仿宋_GB2312" w:eastAsia="仿宋_GB2312" w:cs="仿宋_GB2312"/>
          <w:kern w:val="2"/>
        </w:rPr>
        <w:t>-</w:t>
      </w:r>
      <w:r>
        <w:rPr>
          <w:rFonts w:hint="eastAsia" w:ascii="Times New Roman" w:hAnsi="Times New Roman" w:eastAsia="仿宋_GB2312" w:cs="仿宋_GB2312"/>
          <w:kern w:val="2"/>
        </w:rPr>
        <w:t>2035</w:t>
      </w:r>
      <w:r>
        <w:rPr>
          <w:rFonts w:hint="eastAsia" w:ascii="仿宋_GB2312" w:hAnsi="仿宋_GB2312" w:eastAsia="仿宋_GB2312" w:cs="仿宋_GB2312"/>
          <w:kern w:val="2"/>
        </w:rPr>
        <w:t>年）》</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13</w:t>
      </w:r>
      <w:r>
        <w:rPr>
          <w:rFonts w:hint="eastAsia" w:ascii="仿宋_GB2312" w:hAnsi="仿宋_GB2312" w:eastAsia="仿宋_GB2312" w:cs="仿宋_GB2312"/>
          <w:kern w:val="2"/>
        </w:rPr>
        <w:t>.《广州市增城区应急管理第十四个五年规划（</w:t>
      </w:r>
      <w:r>
        <w:rPr>
          <w:rFonts w:hint="eastAsia" w:ascii="Times New Roman" w:hAnsi="Times New Roman" w:eastAsia="仿宋_GB2312" w:cs="仿宋_GB2312"/>
          <w:kern w:val="2"/>
        </w:rPr>
        <w:t>2021</w:t>
      </w:r>
      <w:r>
        <w:rPr>
          <w:rFonts w:hint="eastAsia" w:ascii="仿宋_GB2312" w:hAnsi="仿宋_GB2312" w:eastAsia="仿宋_GB2312" w:cs="仿宋_GB2312"/>
          <w:kern w:val="2"/>
        </w:rPr>
        <w:t>-</w:t>
      </w:r>
      <w:r>
        <w:rPr>
          <w:rFonts w:hint="eastAsia" w:ascii="Times New Roman" w:hAnsi="Times New Roman" w:eastAsia="仿宋_GB2312" w:cs="仿宋_GB2312"/>
          <w:kern w:val="2"/>
        </w:rPr>
        <w:t>2025</w:t>
      </w:r>
      <w:r>
        <w:rPr>
          <w:rFonts w:hint="eastAsia" w:ascii="仿宋_GB2312" w:hAnsi="仿宋_GB2312" w:eastAsia="仿宋_GB2312" w:cs="仿宋_GB2312"/>
          <w:kern w:val="2"/>
        </w:rPr>
        <w:t>年）》</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14</w:t>
      </w:r>
      <w:r>
        <w:rPr>
          <w:rFonts w:hint="eastAsia" w:ascii="仿宋_GB2312" w:hAnsi="仿宋_GB2312" w:eastAsia="仿宋_GB2312" w:cs="仿宋_GB2312"/>
          <w:kern w:val="2"/>
        </w:rPr>
        <w:t>.《增城区防灾减灾“十四五”规划》</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15</w:t>
      </w:r>
      <w:r>
        <w:rPr>
          <w:rFonts w:hint="eastAsia" w:ascii="仿宋_GB2312" w:hAnsi="仿宋_GB2312" w:eastAsia="仿宋_GB2312" w:cs="仿宋_GB2312"/>
          <w:kern w:val="2"/>
        </w:rPr>
        <w:t>.《增城区地质灾害防治“十四五”规划》</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16</w:t>
      </w:r>
      <w:r>
        <w:rPr>
          <w:rFonts w:hint="eastAsia" w:ascii="仿宋_GB2312" w:hAnsi="仿宋_GB2312" w:eastAsia="仿宋_GB2312" w:cs="仿宋_GB2312"/>
          <w:kern w:val="2"/>
        </w:rPr>
        <w:t>.《应急避难场所术语》</w:t>
      </w:r>
      <w:r>
        <w:rPr>
          <w:rFonts w:hint="eastAsia" w:ascii="Times New Roman" w:hAnsi="Times New Roman" w:eastAsia="仿宋_GB2312" w:cs="仿宋_GB2312"/>
          <w:kern w:val="2"/>
        </w:rPr>
        <w:t>GB</w:t>
      </w:r>
      <w:r>
        <w:rPr>
          <w:rFonts w:hint="eastAsia" w:ascii="仿宋_GB2312" w:hAnsi="仿宋_GB2312" w:eastAsia="仿宋_GB2312" w:cs="仿宋_GB2312"/>
          <w:kern w:val="2"/>
        </w:rPr>
        <w:t>/</w:t>
      </w:r>
      <w:r>
        <w:rPr>
          <w:rFonts w:hint="eastAsia" w:ascii="Times New Roman" w:hAnsi="Times New Roman" w:eastAsia="仿宋_GB2312" w:cs="仿宋_GB2312"/>
          <w:kern w:val="2"/>
        </w:rPr>
        <w:t>T44012</w:t>
      </w:r>
      <w:r>
        <w:rPr>
          <w:rFonts w:hint="eastAsia" w:ascii="仿宋_GB2312" w:hAnsi="仿宋_GB2312" w:eastAsia="仿宋_GB2312" w:cs="仿宋_GB2312"/>
          <w:kern w:val="2"/>
        </w:rPr>
        <w:t>—</w:t>
      </w:r>
      <w:r>
        <w:rPr>
          <w:rFonts w:hint="eastAsia" w:ascii="Times New Roman" w:hAnsi="Times New Roman" w:eastAsia="仿宋_GB2312" w:cs="仿宋_GB2312"/>
          <w:kern w:val="2"/>
        </w:rPr>
        <w:t>2024</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17</w:t>
      </w:r>
      <w:r>
        <w:rPr>
          <w:rFonts w:hint="eastAsia" w:ascii="仿宋_GB2312" w:hAnsi="仿宋_GB2312" w:eastAsia="仿宋_GB2312" w:cs="仿宋_GB2312"/>
          <w:kern w:val="2"/>
        </w:rPr>
        <w:t>.《应急避难场所标志》</w:t>
      </w:r>
      <w:r>
        <w:rPr>
          <w:rFonts w:hint="eastAsia" w:ascii="Times New Roman" w:hAnsi="Times New Roman" w:eastAsia="仿宋_GB2312" w:cs="仿宋_GB2312"/>
          <w:kern w:val="2"/>
        </w:rPr>
        <w:t>GB</w:t>
      </w:r>
      <w:r>
        <w:rPr>
          <w:rFonts w:hint="eastAsia" w:ascii="仿宋_GB2312" w:hAnsi="仿宋_GB2312" w:eastAsia="仿宋_GB2312" w:cs="仿宋_GB2312"/>
          <w:kern w:val="2"/>
        </w:rPr>
        <w:t>/</w:t>
      </w:r>
      <w:r>
        <w:rPr>
          <w:rFonts w:hint="eastAsia" w:ascii="Times New Roman" w:hAnsi="Times New Roman" w:eastAsia="仿宋_GB2312" w:cs="仿宋_GB2312"/>
          <w:kern w:val="2"/>
        </w:rPr>
        <w:t>T44014</w:t>
      </w:r>
      <w:r>
        <w:rPr>
          <w:rFonts w:hint="eastAsia" w:ascii="仿宋_GB2312" w:hAnsi="仿宋_GB2312" w:eastAsia="仿宋_GB2312" w:cs="仿宋_GB2312"/>
          <w:kern w:val="2"/>
        </w:rPr>
        <w:t>—</w:t>
      </w:r>
      <w:r>
        <w:rPr>
          <w:rFonts w:hint="eastAsia" w:ascii="Times New Roman" w:hAnsi="Times New Roman" w:eastAsia="仿宋_GB2312" w:cs="仿宋_GB2312"/>
          <w:kern w:val="2"/>
        </w:rPr>
        <w:t>2024</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18</w:t>
      </w:r>
      <w:r>
        <w:rPr>
          <w:rFonts w:hint="eastAsia" w:ascii="仿宋_GB2312" w:hAnsi="仿宋_GB2312" w:eastAsia="仿宋_GB2312" w:cs="仿宋_GB2312"/>
          <w:kern w:val="2"/>
        </w:rPr>
        <w:t>.《应急避难场所分级及分类》</w:t>
      </w:r>
      <w:r>
        <w:rPr>
          <w:rFonts w:hint="eastAsia" w:ascii="Times New Roman" w:hAnsi="Times New Roman" w:eastAsia="仿宋_GB2312" w:cs="仿宋_GB2312"/>
          <w:kern w:val="2"/>
        </w:rPr>
        <w:t>GB</w:t>
      </w:r>
      <w:r>
        <w:rPr>
          <w:rFonts w:hint="eastAsia" w:ascii="仿宋_GB2312" w:hAnsi="仿宋_GB2312" w:eastAsia="仿宋_GB2312" w:cs="仿宋_GB2312"/>
          <w:kern w:val="2"/>
        </w:rPr>
        <w:t>/</w:t>
      </w:r>
      <w:r>
        <w:rPr>
          <w:rFonts w:hint="eastAsia" w:ascii="Times New Roman" w:hAnsi="Times New Roman" w:eastAsia="仿宋_GB2312" w:cs="仿宋_GB2312"/>
          <w:kern w:val="2"/>
        </w:rPr>
        <w:t>T44013</w:t>
      </w:r>
      <w:r>
        <w:rPr>
          <w:rFonts w:hint="eastAsia" w:ascii="仿宋_GB2312" w:hAnsi="仿宋_GB2312" w:eastAsia="仿宋_GB2312" w:cs="仿宋_GB2312"/>
          <w:kern w:val="2"/>
        </w:rPr>
        <w:t>—</w:t>
      </w:r>
      <w:r>
        <w:rPr>
          <w:rFonts w:hint="eastAsia" w:ascii="Times New Roman" w:hAnsi="Times New Roman" w:eastAsia="仿宋_GB2312" w:cs="仿宋_GB2312"/>
          <w:kern w:val="2"/>
        </w:rPr>
        <w:t>2024</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19</w:t>
      </w:r>
      <w:r>
        <w:rPr>
          <w:rFonts w:hint="eastAsia" w:ascii="仿宋_GB2312" w:hAnsi="仿宋_GB2312" w:eastAsia="仿宋_GB2312" w:cs="仿宋_GB2312"/>
          <w:kern w:val="2"/>
        </w:rPr>
        <w:t>.《乡村应急避难场所设计规范》</w:t>
      </w:r>
      <w:r>
        <w:rPr>
          <w:rFonts w:hint="eastAsia" w:ascii="Times New Roman" w:hAnsi="Times New Roman" w:eastAsia="仿宋_GB2312" w:cs="仿宋_GB2312"/>
          <w:kern w:val="2"/>
        </w:rPr>
        <w:t>GB</w:t>
      </w:r>
      <w:r>
        <w:rPr>
          <w:rFonts w:hint="eastAsia" w:ascii="仿宋_GB2312" w:hAnsi="仿宋_GB2312" w:eastAsia="仿宋_GB2312" w:cs="仿宋_GB2312"/>
          <w:kern w:val="2"/>
        </w:rPr>
        <w:t>/</w:t>
      </w:r>
      <w:r>
        <w:rPr>
          <w:rFonts w:hint="eastAsia" w:ascii="Times New Roman" w:hAnsi="Times New Roman" w:eastAsia="仿宋_GB2312" w:cs="仿宋_GB2312"/>
          <w:kern w:val="2"/>
        </w:rPr>
        <w:t>T45290</w:t>
      </w:r>
      <w:r>
        <w:rPr>
          <w:rFonts w:hint="eastAsia" w:ascii="仿宋_GB2312" w:hAnsi="仿宋_GB2312" w:eastAsia="仿宋_GB2312" w:cs="仿宋_GB2312"/>
          <w:kern w:val="2"/>
        </w:rPr>
        <w:t>—</w:t>
      </w:r>
      <w:r>
        <w:rPr>
          <w:rFonts w:hint="eastAsia" w:ascii="Times New Roman" w:hAnsi="Times New Roman" w:eastAsia="仿宋_GB2312" w:cs="仿宋_GB2312"/>
          <w:kern w:val="2"/>
        </w:rPr>
        <w:t>2025</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20</w:t>
      </w:r>
      <w:r>
        <w:rPr>
          <w:rFonts w:hint="eastAsia" w:ascii="仿宋_GB2312" w:hAnsi="仿宋_GB2312" w:eastAsia="仿宋_GB2312" w:cs="仿宋_GB2312"/>
          <w:kern w:val="2"/>
        </w:rPr>
        <w:t>.《应急避难场所通用技术要求》</w:t>
      </w:r>
      <w:r>
        <w:rPr>
          <w:rFonts w:hint="eastAsia" w:ascii="Times New Roman" w:hAnsi="Times New Roman" w:eastAsia="仿宋_GB2312" w:cs="仿宋_GB2312"/>
          <w:kern w:val="2"/>
        </w:rPr>
        <w:t>GB</w:t>
      </w:r>
      <w:r>
        <w:rPr>
          <w:rFonts w:hint="eastAsia" w:ascii="仿宋_GB2312" w:hAnsi="仿宋_GB2312" w:eastAsia="仿宋_GB2312" w:cs="仿宋_GB2312"/>
          <w:kern w:val="2"/>
        </w:rPr>
        <w:t>/</w:t>
      </w:r>
      <w:r>
        <w:rPr>
          <w:rFonts w:hint="eastAsia" w:ascii="Times New Roman" w:hAnsi="Times New Roman" w:eastAsia="仿宋_GB2312" w:cs="仿宋_GB2312"/>
          <w:kern w:val="2"/>
        </w:rPr>
        <w:t>T35624</w:t>
      </w:r>
      <w:r>
        <w:rPr>
          <w:rFonts w:hint="eastAsia" w:ascii="仿宋_GB2312" w:hAnsi="仿宋_GB2312" w:eastAsia="仿宋_GB2312" w:cs="仿宋_GB2312"/>
          <w:kern w:val="2"/>
        </w:rPr>
        <w:t>—</w:t>
      </w:r>
      <w:r>
        <w:rPr>
          <w:rFonts w:hint="eastAsia" w:ascii="Times New Roman" w:hAnsi="Times New Roman" w:eastAsia="仿宋_GB2312" w:cs="仿宋_GB2312"/>
          <w:kern w:val="2"/>
        </w:rPr>
        <w:t>2025</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21</w:t>
      </w:r>
      <w:r>
        <w:rPr>
          <w:rFonts w:hint="eastAsia" w:ascii="仿宋_GB2312" w:hAnsi="仿宋_GB2312" w:eastAsia="仿宋_GB2312" w:cs="仿宋_GB2312"/>
          <w:kern w:val="2"/>
        </w:rPr>
        <w:t>.《应急避难场所管护使用规范》</w:t>
      </w:r>
      <w:r>
        <w:rPr>
          <w:rFonts w:hint="eastAsia" w:ascii="Times New Roman" w:hAnsi="Times New Roman" w:eastAsia="仿宋_GB2312" w:cs="仿宋_GB2312"/>
          <w:kern w:val="2"/>
        </w:rPr>
        <w:t>GB</w:t>
      </w:r>
      <w:r>
        <w:rPr>
          <w:rFonts w:hint="eastAsia" w:ascii="仿宋_GB2312" w:hAnsi="仿宋_GB2312" w:eastAsia="仿宋_GB2312" w:cs="仿宋_GB2312"/>
          <w:kern w:val="2"/>
        </w:rPr>
        <w:t>/</w:t>
      </w:r>
      <w:r>
        <w:rPr>
          <w:rFonts w:hint="eastAsia" w:ascii="Times New Roman" w:hAnsi="Times New Roman" w:eastAsia="仿宋_GB2312" w:cs="仿宋_GB2312"/>
          <w:kern w:val="2"/>
        </w:rPr>
        <w:t>T33744</w:t>
      </w:r>
      <w:r>
        <w:rPr>
          <w:rFonts w:hint="eastAsia" w:ascii="仿宋_GB2312" w:hAnsi="仿宋_GB2312" w:eastAsia="仿宋_GB2312" w:cs="仿宋_GB2312"/>
          <w:kern w:val="2"/>
        </w:rPr>
        <w:t>—</w:t>
      </w:r>
      <w:r>
        <w:rPr>
          <w:rFonts w:hint="eastAsia" w:ascii="Times New Roman" w:hAnsi="Times New Roman" w:eastAsia="仿宋_GB2312" w:cs="仿宋_GB2312"/>
          <w:kern w:val="2"/>
        </w:rPr>
        <w:t>2025</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22</w:t>
      </w:r>
      <w:r>
        <w:rPr>
          <w:rFonts w:hint="eastAsia" w:ascii="仿宋_GB2312" w:hAnsi="仿宋_GB2312" w:eastAsia="仿宋_GB2312" w:cs="仿宋_GB2312"/>
          <w:kern w:val="2"/>
        </w:rPr>
        <w:t>.国家、省、市相关法律法规和相关应急预案</w:t>
      </w:r>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pPr>
    </w:p>
    <w:p>
      <w:pPr>
        <w:pStyle w:val="3"/>
        <w:keepNext w:val="0"/>
        <w:keepLines w:val="0"/>
        <w:pageBreakBefore w:val="0"/>
        <w:widowControl w:val="0"/>
        <w:kinsoku/>
        <w:wordWrap/>
        <w:overflowPunct/>
        <w:topLinePunct w:val="0"/>
        <w:autoSpaceDE/>
        <w:autoSpaceDN/>
        <w:bidi w:val="0"/>
        <w:adjustRightInd/>
        <w:snapToGrid/>
        <w:spacing w:before="0" w:after="0" w:line="570" w:lineRule="exact"/>
        <w:textAlignment w:val="auto"/>
        <w:rPr>
          <w:rFonts w:cs="Times New Roman"/>
          <w:kern w:val="2"/>
          <w:sz w:val="32"/>
          <w:szCs w:val="32"/>
        </w:rPr>
      </w:pPr>
      <w:bookmarkStart w:id="16" w:name="_Toc215490478"/>
      <w:r>
        <w:rPr>
          <w:rFonts w:cs="Times New Roman"/>
          <w:kern w:val="2"/>
          <w:sz w:val="32"/>
          <w:szCs w:val="32"/>
        </w:rPr>
        <w:t>第二章  经济社会及应急管理发展现状</w:t>
      </w:r>
      <w:bookmarkEnd w:id="16"/>
    </w:p>
    <w:p>
      <w:pPr>
        <w:keepNext w:val="0"/>
        <w:keepLines w:val="0"/>
        <w:pageBreakBefore w:val="0"/>
        <w:widowControl w:val="0"/>
        <w:kinsoku/>
        <w:wordWrap/>
        <w:overflowPunct/>
        <w:topLinePunct w:val="0"/>
        <w:autoSpaceDE/>
        <w:autoSpaceDN/>
        <w:bidi w:val="0"/>
        <w:adjustRightInd/>
        <w:snapToGrid/>
        <w:spacing w:line="570" w:lineRule="exact"/>
        <w:textAlignment w:val="auto"/>
      </w:pP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17" w:name="_Toc215490479"/>
      <w:r>
        <w:rPr>
          <w:rFonts w:cs="Times New Roman"/>
          <w:kern w:val="2"/>
        </w:rPr>
        <w:t xml:space="preserve">第九条 </w:t>
      </w:r>
      <w:r>
        <w:rPr>
          <w:rFonts w:hint="eastAsia" w:cs="Times New Roman"/>
          <w:kern w:val="2"/>
          <w:lang w:val="en-US" w:eastAsia="zh-CN"/>
        </w:rPr>
        <w:t xml:space="preserve"> </w:t>
      </w:r>
      <w:r>
        <w:rPr>
          <w:rFonts w:cs="Times New Roman"/>
          <w:kern w:val="2"/>
        </w:rPr>
        <w:t>经济与社会发展情况</w:t>
      </w:r>
      <w:bookmarkEnd w:id="17"/>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经济稳定增长。根据广州市统计局统一核算，</w:t>
      </w:r>
      <w:r>
        <w:rPr>
          <w:rFonts w:hint="eastAsia" w:ascii="Times New Roman" w:hAnsi="Times New Roman" w:eastAsia="仿宋_GB2312" w:cs="仿宋_GB2312"/>
          <w:kern w:val="2"/>
        </w:rPr>
        <w:t>2024</w:t>
      </w:r>
      <w:r>
        <w:rPr>
          <w:rFonts w:hint="eastAsia" w:ascii="仿宋_GB2312" w:hAnsi="仿宋_GB2312" w:eastAsia="仿宋_GB2312" w:cs="仿宋_GB2312"/>
          <w:kern w:val="2"/>
        </w:rPr>
        <w:t>年增城区实现地区生产总值</w:t>
      </w:r>
      <w:r>
        <w:rPr>
          <w:rFonts w:hint="eastAsia" w:ascii="Times New Roman" w:hAnsi="Times New Roman" w:eastAsia="仿宋_GB2312" w:cs="仿宋_GB2312"/>
          <w:kern w:val="2"/>
        </w:rPr>
        <w:t>1412</w:t>
      </w:r>
      <w:r>
        <w:rPr>
          <w:rFonts w:hint="eastAsia" w:ascii="仿宋_GB2312" w:hAnsi="仿宋_GB2312" w:eastAsia="仿宋_GB2312" w:cs="仿宋_GB2312"/>
          <w:kern w:val="2"/>
        </w:rPr>
        <w:t>.</w:t>
      </w:r>
      <w:r>
        <w:rPr>
          <w:rFonts w:hint="eastAsia" w:ascii="Times New Roman" w:hAnsi="Times New Roman" w:eastAsia="仿宋_GB2312" w:cs="仿宋_GB2312"/>
          <w:kern w:val="2"/>
        </w:rPr>
        <w:t>37</w:t>
      </w:r>
      <w:r>
        <w:rPr>
          <w:rFonts w:hint="eastAsia" w:ascii="仿宋_GB2312" w:hAnsi="仿宋_GB2312" w:eastAsia="仿宋_GB2312" w:cs="仿宋_GB2312"/>
          <w:kern w:val="2"/>
        </w:rPr>
        <w:t>亿元，按可比价格计算，比上年（以下简称同比）增长</w:t>
      </w:r>
      <w:r>
        <w:rPr>
          <w:rFonts w:hint="eastAsia" w:ascii="Times New Roman" w:hAnsi="Times New Roman" w:eastAsia="仿宋_GB2312" w:cs="仿宋_GB2312"/>
          <w:kern w:val="2"/>
        </w:rPr>
        <w:t>1</w:t>
      </w:r>
      <w:r>
        <w:rPr>
          <w:rFonts w:hint="eastAsia" w:ascii="仿宋_GB2312" w:hAnsi="仿宋_GB2312" w:eastAsia="仿宋_GB2312" w:cs="仿宋_GB2312"/>
          <w:kern w:val="2"/>
        </w:rPr>
        <w:t>.</w:t>
      </w:r>
      <w:r>
        <w:rPr>
          <w:rFonts w:hint="eastAsia" w:ascii="Times New Roman" w:hAnsi="Times New Roman" w:eastAsia="仿宋_GB2312" w:cs="仿宋_GB2312"/>
          <w:kern w:val="2"/>
        </w:rPr>
        <w:t>1</w:t>
      </w:r>
      <w:r>
        <w:rPr>
          <w:rFonts w:hint="eastAsia" w:ascii="仿宋_GB2312" w:hAnsi="仿宋_GB2312" w:eastAsia="仿宋_GB2312" w:cs="仿宋_GB2312"/>
          <w:kern w:val="2"/>
        </w:rPr>
        <w:t>%。其中，第一产业增加值</w:t>
      </w:r>
      <w:r>
        <w:rPr>
          <w:rFonts w:hint="eastAsia" w:ascii="Times New Roman" w:hAnsi="Times New Roman" w:eastAsia="仿宋_GB2312" w:cs="仿宋_GB2312"/>
          <w:kern w:val="2"/>
        </w:rPr>
        <w:t>75</w:t>
      </w:r>
      <w:r>
        <w:rPr>
          <w:rFonts w:hint="eastAsia" w:ascii="仿宋_GB2312" w:hAnsi="仿宋_GB2312" w:eastAsia="仿宋_GB2312" w:cs="仿宋_GB2312"/>
          <w:kern w:val="2"/>
        </w:rPr>
        <w:t>.</w:t>
      </w:r>
      <w:r>
        <w:rPr>
          <w:rFonts w:hint="eastAsia" w:ascii="Times New Roman" w:hAnsi="Times New Roman" w:eastAsia="仿宋_GB2312" w:cs="仿宋_GB2312"/>
          <w:kern w:val="2"/>
        </w:rPr>
        <w:t>16</w:t>
      </w:r>
      <w:r>
        <w:rPr>
          <w:rFonts w:hint="eastAsia" w:ascii="仿宋_GB2312" w:hAnsi="仿宋_GB2312" w:eastAsia="仿宋_GB2312" w:cs="仿宋_GB2312"/>
          <w:kern w:val="2"/>
        </w:rPr>
        <w:t>亿元；第二产业增加值</w:t>
      </w:r>
      <w:r>
        <w:rPr>
          <w:rFonts w:hint="eastAsia" w:ascii="Times New Roman" w:hAnsi="Times New Roman" w:eastAsia="仿宋_GB2312" w:cs="仿宋_GB2312"/>
          <w:kern w:val="2"/>
        </w:rPr>
        <w:t>599</w:t>
      </w:r>
      <w:r>
        <w:rPr>
          <w:rFonts w:hint="eastAsia" w:ascii="仿宋_GB2312" w:hAnsi="仿宋_GB2312" w:eastAsia="仿宋_GB2312" w:cs="仿宋_GB2312"/>
          <w:kern w:val="2"/>
        </w:rPr>
        <w:t>.</w:t>
      </w:r>
      <w:r>
        <w:rPr>
          <w:rFonts w:hint="eastAsia" w:ascii="Times New Roman" w:hAnsi="Times New Roman" w:eastAsia="仿宋_GB2312" w:cs="仿宋_GB2312"/>
          <w:kern w:val="2"/>
        </w:rPr>
        <w:t>30</w:t>
      </w:r>
      <w:r>
        <w:rPr>
          <w:rFonts w:hint="eastAsia" w:ascii="仿宋_GB2312" w:hAnsi="仿宋_GB2312" w:eastAsia="仿宋_GB2312" w:cs="仿宋_GB2312"/>
          <w:kern w:val="2"/>
        </w:rPr>
        <w:t>亿元；第三产业增加值</w:t>
      </w:r>
      <w:r>
        <w:rPr>
          <w:rFonts w:hint="eastAsia" w:ascii="Times New Roman" w:hAnsi="Times New Roman" w:eastAsia="仿宋_GB2312" w:cs="仿宋_GB2312"/>
          <w:kern w:val="2"/>
        </w:rPr>
        <w:t>737</w:t>
      </w:r>
      <w:r>
        <w:rPr>
          <w:rFonts w:hint="eastAsia" w:ascii="仿宋_GB2312" w:hAnsi="仿宋_GB2312" w:eastAsia="仿宋_GB2312" w:cs="仿宋_GB2312"/>
          <w:kern w:val="2"/>
        </w:rPr>
        <w:t>.</w:t>
      </w:r>
      <w:r>
        <w:rPr>
          <w:rFonts w:hint="eastAsia" w:ascii="Times New Roman" w:hAnsi="Times New Roman" w:eastAsia="仿宋_GB2312" w:cs="仿宋_GB2312"/>
          <w:kern w:val="2"/>
        </w:rPr>
        <w:t>91</w:t>
      </w:r>
      <w:r>
        <w:rPr>
          <w:rFonts w:hint="eastAsia" w:ascii="仿宋_GB2312" w:hAnsi="仿宋_GB2312" w:eastAsia="仿宋_GB2312" w:cs="仿宋_GB2312"/>
          <w:kern w:val="2"/>
        </w:rPr>
        <w:t>亿元。第一、二、三次产业增加值的比例为</w:t>
      </w:r>
      <w:r>
        <w:rPr>
          <w:rFonts w:hint="eastAsia" w:ascii="Times New Roman" w:hAnsi="Times New Roman" w:eastAsia="仿宋_GB2312" w:cs="仿宋_GB2312"/>
          <w:kern w:val="2"/>
        </w:rPr>
        <w:t>5</w:t>
      </w:r>
      <w:r>
        <w:rPr>
          <w:rFonts w:hint="eastAsia" w:ascii="仿宋_GB2312" w:hAnsi="仿宋_GB2312" w:eastAsia="仿宋_GB2312" w:cs="仿宋_GB2312"/>
          <w:kern w:val="2"/>
        </w:rPr>
        <w:t>.</w:t>
      </w:r>
      <w:r>
        <w:rPr>
          <w:rFonts w:hint="eastAsia" w:ascii="Times New Roman" w:hAnsi="Times New Roman" w:eastAsia="仿宋_GB2312" w:cs="仿宋_GB2312"/>
          <w:kern w:val="2"/>
        </w:rPr>
        <w:t>3</w:t>
      </w:r>
      <w:r>
        <w:rPr>
          <w:rFonts w:hint="eastAsia" w:ascii="仿宋_GB2312" w:hAnsi="仿宋_GB2312" w:eastAsia="仿宋_GB2312" w:cs="仿宋_GB2312"/>
          <w:kern w:val="2"/>
        </w:rPr>
        <w:t>:</w:t>
      </w:r>
      <w:r>
        <w:rPr>
          <w:rFonts w:hint="eastAsia" w:ascii="Times New Roman" w:hAnsi="Times New Roman" w:eastAsia="仿宋_GB2312" w:cs="仿宋_GB2312"/>
          <w:kern w:val="2"/>
        </w:rPr>
        <w:t>42</w:t>
      </w:r>
      <w:r>
        <w:rPr>
          <w:rFonts w:hint="eastAsia" w:ascii="仿宋_GB2312" w:hAnsi="仿宋_GB2312" w:eastAsia="仿宋_GB2312" w:cs="仿宋_GB2312"/>
          <w:kern w:val="2"/>
        </w:rPr>
        <w:t>.</w:t>
      </w:r>
      <w:r>
        <w:rPr>
          <w:rFonts w:hint="eastAsia" w:ascii="Times New Roman" w:hAnsi="Times New Roman" w:eastAsia="仿宋_GB2312" w:cs="仿宋_GB2312"/>
          <w:kern w:val="2"/>
        </w:rPr>
        <w:t>4</w:t>
      </w:r>
      <w:r>
        <w:rPr>
          <w:rFonts w:hint="eastAsia" w:ascii="仿宋_GB2312" w:hAnsi="仿宋_GB2312" w:eastAsia="仿宋_GB2312" w:cs="仿宋_GB2312"/>
          <w:kern w:val="2"/>
        </w:rPr>
        <w:t>:</w:t>
      </w:r>
      <w:r>
        <w:rPr>
          <w:rFonts w:hint="eastAsia" w:ascii="Times New Roman" w:hAnsi="Times New Roman" w:eastAsia="仿宋_GB2312" w:cs="仿宋_GB2312"/>
          <w:kern w:val="2"/>
        </w:rPr>
        <w:t>52</w:t>
      </w:r>
      <w:r>
        <w:rPr>
          <w:rFonts w:hint="eastAsia" w:ascii="仿宋_GB2312" w:hAnsi="仿宋_GB2312" w:eastAsia="仿宋_GB2312" w:cs="仿宋_GB2312"/>
          <w:kern w:val="2"/>
        </w:rPr>
        <w:t>.</w:t>
      </w:r>
      <w:r>
        <w:rPr>
          <w:rFonts w:hint="eastAsia" w:ascii="Times New Roman" w:hAnsi="Times New Roman" w:eastAsia="仿宋_GB2312" w:cs="仿宋_GB2312"/>
          <w:kern w:val="2"/>
        </w:rPr>
        <w:t>3</w:t>
      </w:r>
      <w:r>
        <w:rPr>
          <w:rFonts w:hint="eastAsia" w:ascii="仿宋_GB2312" w:hAnsi="仿宋_GB2312" w:eastAsia="仿宋_GB2312" w:cs="仿宋_GB2312"/>
          <w:kern w:val="2"/>
        </w:rPr>
        <w:t>。</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人口持续增加，呈现出明显的</w:t>
      </w:r>
      <w:bookmarkStart w:id="18" w:name="OLE_LINK13"/>
      <w:r>
        <w:rPr>
          <w:rFonts w:hint="eastAsia" w:ascii="仿宋_GB2312" w:hAnsi="仿宋_GB2312" w:eastAsia="仿宋_GB2312" w:cs="仿宋_GB2312"/>
          <w:kern w:val="2"/>
        </w:rPr>
        <w:t>“南密北疏”</w:t>
      </w:r>
      <w:bookmarkEnd w:id="18"/>
      <w:r>
        <w:rPr>
          <w:rFonts w:hint="eastAsia" w:ascii="仿宋_GB2312" w:hAnsi="仿宋_GB2312" w:eastAsia="仿宋_GB2312" w:cs="仿宋_GB2312"/>
          <w:kern w:val="2"/>
        </w:rPr>
        <w:t>分布特点。</w:t>
      </w:r>
      <w:bookmarkStart w:id="19" w:name="OLE_LINK26"/>
      <w:r>
        <w:rPr>
          <w:rFonts w:hint="eastAsia" w:ascii="Times New Roman" w:hAnsi="Times New Roman" w:eastAsia="仿宋_GB2312" w:cs="仿宋_GB2312"/>
          <w:kern w:val="2"/>
        </w:rPr>
        <w:t>2024</w:t>
      </w:r>
      <w:r>
        <w:rPr>
          <w:rFonts w:hint="eastAsia" w:ascii="仿宋_GB2312" w:hAnsi="仿宋_GB2312" w:eastAsia="仿宋_GB2312" w:cs="仿宋_GB2312"/>
          <w:kern w:val="2"/>
        </w:rPr>
        <w:t>年末常住人口</w:t>
      </w:r>
      <w:r>
        <w:rPr>
          <w:rFonts w:hint="eastAsia" w:ascii="Times New Roman" w:hAnsi="Times New Roman" w:eastAsia="仿宋_GB2312" w:cs="仿宋_GB2312"/>
          <w:kern w:val="2"/>
        </w:rPr>
        <w:t>159</w:t>
      </w:r>
      <w:r>
        <w:rPr>
          <w:rFonts w:hint="eastAsia" w:ascii="仿宋_GB2312" w:hAnsi="仿宋_GB2312" w:eastAsia="仿宋_GB2312" w:cs="仿宋_GB2312"/>
          <w:kern w:val="2"/>
        </w:rPr>
        <w:t>.</w:t>
      </w:r>
      <w:r>
        <w:rPr>
          <w:rFonts w:hint="eastAsia" w:ascii="Times New Roman" w:hAnsi="Times New Roman" w:eastAsia="仿宋_GB2312" w:cs="仿宋_GB2312"/>
          <w:kern w:val="2"/>
        </w:rPr>
        <w:t>97</w:t>
      </w:r>
      <w:r>
        <w:rPr>
          <w:rFonts w:hint="eastAsia" w:ascii="仿宋_GB2312" w:hAnsi="仿宋_GB2312" w:eastAsia="仿宋_GB2312" w:cs="仿宋_GB2312"/>
          <w:kern w:val="2"/>
        </w:rPr>
        <w:t>万人，</w:t>
      </w:r>
      <w:bookmarkEnd w:id="19"/>
      <w:r>
        <w:rPr>
          <w:rFonts w:hint="eastAsia" w:ascii="仿宋_GB2312" w:hAnsi="仿宋_GB2312" w:eastAsia="仿宋_GB2312" w:cs="仿宋_GB2312"/>
          <w:kern w:val="2"/>
        </w:rPr>
        <w:t>较</w:t>
      </w:r>
      <w:r>
        <w:rPr>
          <w:rFonts w:hint="eastAsia" w:ascii="Times New Roman" w:hAnsi="Times New Roman" w:eastAsia="仿宋_GB2312" w:cs="仿宋_GB2312"/>
          <w:kern w:val="2"/>
        </w:rPr>
        <w:t>2020</w:t>
      </w:r>
      <w:r>
        <w:rPr>
          <w:rFonts w:hint="eastAsia" w:ascii="仿宋_GB2312" w:hAnsi="仿宋_GB2312" w:eastAsia="仿宋_GB2312" w:cs="仿宋_GB2312"/>
          <w:kern w:val="2"/>
        </w:rPr>
        <w:t xml:space="preserve"> 年第七次人口普查的常住人口</w:t>
      </w:r>
      <w:r>
        <w:rPr>
          <w:rFonts w:hint="eastAsia" w:ascii="Times New Roman" w:hAnsi="Times New Roman" w:eastAsia="仿宋_GB2312" w:cs="仿宋_GB2312"/>
          <w:kern w:val="2"/>
        </w:rPr>
        <w:t>146</w:t>
      </w:r>
      <w:r>
        <w:rPr>
          <w:rFonts w:hint="eastAsia" w:ascii="仿宋_GB2312" w:hAnsi="仿宋_GB2312" w:eastAsia="仿宋_GB2312" w:cs="仿宋_GB2312"/>
          <w:kern w:val="2"/>
        </w:rPr>
        <w:t>.</w:t>
      </w:r>
      <w:r>
        <w:rPr>
          <w:rFonts w:hint="eastAsia" w:ascii="Times New Roman" w:hAnsi="Times New Roman" w:eastAsia="仿宋_GB2312" w:cs="仿宋_GB2312"/>
          <w:kern w:val="2"/>
        </w:rPr>
        <w:t>63</w:t>
      </w:r>
      <w:r>
        <w:rPr>
          <w:rFonts w:hint="eastAsia" w:ascii="仿宋_GB2312" w:hAnsi="仿宋_GB2312" w:eastAsia="仿宋_GB2312" w:cs="仿宋_GB2312"/>
          <w:kern w:val="2"/>
        </w:rPr>
        <w:t>万人增长</w:t>
      </w:r>
      <w:r>
        <w:rPr>
          <w:rFonts w:hint="eastAsia" w:ascii="Times New Roman" w:hAnsi="Times New Roman" w:eastAsia="仿宋_GB2312" w:cs="仿宋_GB2312"/>
          <w:kern w:val="2"/>
        </w:rPr>
        <w:t>9</w:t>
      </w:r>
      <w:r>
        <w:rPr>
          <w:rFonts w:hint="eastAsia" w:ascii="仿宋_GB2312" w:hAnsi="仿宋_GB2312" w:eastAsia="仿宋_GB2312" w:cs="仿宋_GB2312"/>
          <w:kern w:val="2"/>
        </w:rPr>
        <w:t>.</w:t>
      </w:r>
      <w:r>
        <w:rPr>
          <w:rFonts w:hint="eastAsia" w:ascii="Times New Roman" w:hAnsi="Times New Roman" w:eastAsia="仿宋_GB2312" w:cs="仿宋_GB2312"/>
          <w:kern w:val="2"/>
        </w:rPr>
        <w:t>10</w:t>
      </w:r>
      <w:r>
        <w:rPr>
          <w:rFonts w:hint="eastAsia" w:ascii="仿宋_GB2312" w:hAnsi="仿宋_GB2312" w:eastAsia="仿宋_GB2312" w:cs="仿宋_GB2312"/>
          <w:kern w:val="2"/>
        </w:rPr>
        <w:t>%，近四年新增常住人口近</w:t>
      </w:r>
      <w:r>
        <w:rPr>
          <w:rFonts w:hint="eastAsia" w:ascii="Times New Roman" w:hAnsi="Times New Roman" w:eastAsia="仿宋_GB2312" w:cs="仿宋_GB2312"/>
          <w:kern w:val="2"/>
        </w:rPr>
        <w:t>13</w:t>
      </w:r>
      <w:r>
        <w:rPr>
          <w:rFonts w:hint="eastAsia" w:ascii="仿宋_GB2312" w:hAnsi="仿宋_GB2312" w:eastAsia="仿宋_GB2312" w:cs="仿宋_GB2312"/>
          <w:kern w:val="2"/>
        </w:rPr>
        <w:t>万人；</w:t>
      </w:r>
      <w:r>
        <w:rPr>
          <w:rFonts w:hint="eastAsia" w:ascii="Times New Roman" w:hAnsi="Times New Roman" w:eastAsia="仿宋_GB2312" w:cs="仿宋_GB2312"/>
          <w:kern w:val="2"/>
        </w:rPr>
        <w:t>2020</w:t>
      </w:r>
      <w:r>
        <w:rPr>
          <w:rFonts w:hint="eastAsia" w:ascii="仿宋_GB2312" w:hAnsi="仿宋_GB2312" w:eastAsia="仿宋_GB2312" w:cs="仿宋_GB2312"/>
          <w:kern w:val="2"/>
        </w:rPr>
        <w:t>年第七次人口普查较</w:t>
      </w:r>
      <w:r>
        <w:rPr>
          <w:rFonts w:hint="eastAsia" w:ascii="Times New Roman" w:hAnsi="Times New Roman" w:eastAsia="仿宋_GB2312" w:cs="仿宋_GB2312"/>
          <w:kern w:val="2"/>
        </w:rPr>
        <w:t>2010</w:t>
      </w:r>
      <w:r>
        <w:rPr>
          <w:rFonts w:hint="eastAsia" w:ascii="仿宋_GB2312" w:hAnsi="仿宋_GB2312" w:eastAsia="仿宋_GB2312" w:cs="仿宋_GB2312"/>
          <w:kern w:val="2"/>
        </w:rPr>
        <w:t>年第六次人口普查的</w:t>
      </w:r>
      <w:r>
        <w:rPr>
          <w:rFonts w:hint="eastAsia" w:ascii="Times New Roman" w:hAnsi="Times New Roman" w:eastAsia="仿宋_GB2312" w:cs="仿宋_GB2312"/>
          <w:kern w:val="2"/>
        </w:rPr>
        <w:t>103</w:t>
      </w:r>
      <w:r>
        <w:rPr>
          <w:rFonts w:hint="eastAsia" w:ascii="仿宋_GB2312" w:hAnsi="仿宋_GB2312" w:eastAsia="仿宋_GB2312" w:cs="仿宋_GB2312"/>
          <w:kern w:val="2"/>
        </w:rPr>
        <w:t>.</w:t>
      </w:r>
      <w:r>
        <w:rPr>
          <w:rFonts w:hint="eastAsia" w:ascii="Times New Roman" w:hAnsi="Times New Roman" w:eastAsia="仿宋_GB2312" w:cs="仿宋_GB2312"/>
          <w:kern w:val="2"/>
        </w:rPr>
        <w:t>67</w:t>
      </w:r>
      <w:r>
        <w:rPr>
          <w:rFonts w:hint="eastAsia" w:ascii="仿宋_GB2312" w:hAnsi="仿宋_GB2312" w:eastAsia="仿宋_GB2312" w:cs="仿宋_GB2312"/>
          <w:kern w:val="2"/>
        </w:rPr>
        <w:t>万人增长</w:t>
      </w:r>
      <w:r>
        <w:rPr>
          <w:rFonts w:hint="eastAsia" w:ascii="Times New Roman" w:hAnsi="Times New Roman" w:eastAsia="仿宋_GB2312" w:cs="仿宋_GB2312"/>
          <w:kern w:val="2"/>
        </w:rPr>
        <w:t>41</w:t>
      </w:r>
      <w:r>
        <w:rPr>
          <w:rFonts w:hint="eastAsia" w:ascii="仿宋_GB2312" w:hAnsi="仿宋_GB2312" w:eastAsia="仿宋_GB2312" w:cs="仿宋_GB2312"/>
          <w:kern w:val="2"/>
        </w:rPr>
        <w:t>.</w:t>
      </w:r>
      <w:r>
        <w:rPr>
          <w:rFonts w:hint="eastAsia" w:ascii="Times New Roman" w:hAnsi="Times New Roman" w:eastAsia="仿宋_GB2312" w:cs="仿宋_GB2312"/>
          <w:kern w:val="2"/>
        </w:rPr>
        <w:t>44</w:t>
      </w:r>
      <w:r>
        <w:rPr>
          <w:rFonts w:hint="eastAsia" w:ascii="仿宋_GB2312" w:hAnsi="仿宋_GB2312" w:eastAsia="仿宋_GB2312" w:cs="仿宋_GB2312"/>
          <w:kern w:val="2"/>
        </w:rPr>
        <w:t>%，十年间新增常住人口近</w:t>
      </w:r>
      <w:r>
        <w:rPr>
          <w:rFonts w:hint="eastAsia" w:ascii="Times New Roman" w:hAnsi="Times New Roman" w:eastAsia="仿宋_GB2312" w:cs="仿宋_GB2312"/>
          <w:kern w:val="2"/>
        </w:rPr>
        <w:t>43</w:t>
      </w:r>
      <w:r>
        <w:rPr>
          <w:rFonts w:hint="eastAsia" w:ascii="仿宋_GB2312" w:hAnsi="仿宋_GB2312" w:eastAsia="仿宋_GB2312" w:cs="仿宋_GB2312"/>
          <w:kern w:val="2"/>
        </w:rPr>
        <w:t>万人，可以看出人口持续增加。从人口分布看，根据</w:t>
      </w:r>
      <w:r>
        <w:rPr>
          <w:rFonts w:hint="eastAsia" w:ascii="Times New Roman" w:hAnsi="Times New Roman" w:eastAsia="仿宋_GB2312" w:cs="仿宋_GB2312"/>
          <w:kern w:val="2"/>
        </w:rPr>
        <w:t>2020</w:t>
      </w:r>
      <w:r>
        <w:rPr>
          <w:rFonts w:hint="eastAsia" w:ascii="仿宋_GB2312" w:hAnsi="仿宋_GB2312" w:eastAsia="仿宋_GB2312" w:cs="仿宋_GB2312"/>
          <w:kern w:val="2"/>
        </w:rPr>
        <w:t>年第七次人口普查，位于区域核心的</w:t>
      </w:r>
      <w:bookmarkStart w:id="20" w:name="OLE_LINK27"/>
      <w:r>
        <w:rPr>
          <w:rFonts w:hint="eastAsia" w:ascii="仿宋_GB2312" w:hAnsi="仿宋_GB2312" w:eastAsia="仿宋_GB2312" w:cs="仿宋_GB2312"/>
          <w:kern w:val="2"/>
        </w:rPr>
        <w:t>新塘镇、荔城街、永宁街等地的常住人口普遍在</w:t>
      </w:r>
      <w:r>
        <w:rPr>
          <w:rFonts w:hint="eastAsia" w:ascii="Times New Roman" w:hAnsi="Times New Roman" w:eastAsia="仿宋_GB2312" w:cs="仿宋_GB2312"/>
          <w:kern w:val="2"/>
        </w:rPr>
        <w:t>15</w:t>
      </w:r>
      <w:r>
        <w:rPr>
          <w:rFonts w:hint="eastAsia" w:ascii="仿宋_GB2312" w:hAnsi="仿宋_GB2312" w:eastAsia="仿宋_GB2312" w:cs="仿宋_GB2312"/>
          <w:kern w:val="2"/>
        </w:rPr>
        <w:t>万-</w:t>
      </w:r>
      <w:r>
        <w:rPr>
          <w:rFonts w:hint="eastAsia" w:ascii="Times New Roman" w:hAnsi="Times New Roman" w:eastAsia="仿宋_GB2312" w:cs="仿宋_GB2312"/>
          <w:kern w:val="2"/>
        </w:rPr>
        <w:t>40</w:t>
      </w:r>
      <w:r>
        <w:rPr>
          <w:rFonts w:hint="eastAsia" w:ascii="仿宋_GB2312" w:hAnsi="仿宋_GB2312" w:eastAsia="仿宋_GB2312" w:cs="仿宋_GB2312"/>
          <w:kern w:val="2"/>
        </w:rPr>
        <w:t>万人之间，局部如新塘镇高达</w:t>
      </w:r>
      <w:r>
        <w:rPr>
          <w:rFonts w:hint="eastAsia" w:ascii="Times New Roman" w:hAnsi="Times New Roman" w:eastAsia="仿宋_GB2312" w:cs="仿宋_GB2312"/>
          <w:kern w:val="2"/>
        </w:rPr>
        <w:t>38</w:t>
      </w:r>
      <w:r>
        <w:rPr>
          <w:rFonts w:hint="eastAsia" w:ascii="仿宋_GB2312" w:hAnsi="仿宋_GB2312" w:eastAsia="仿宋_GB2312" w:cs="仿宋_GB2312"/>
          <w:kern w:val="2"/>
        </w:rPr>
        <w:t>.</w:t>
      </w:r>
      <w:r>
        <w:rPr>
          <w:rFonts w:hint="eastAsia" w:ascii="Times New Roman" w:hAnsi="Times New Roman" w:eastAsia="仿宋_GB2312" w:cs="仿宋_GB2312"/>
          <w:kern w:val="2"/>
        </w:rPr>
        <w:t>9</w:t>
      </w:r>
      <w:r>
        <w:rPr>
          <w:rFonts w:hint="eastAsia" w:ascii="仿宋_GB2312" w:hAnsi="仿宋_GB2312" w:eastAsia="仿宋_GB2312" w:cs="仿宋_GB2312"/>
          <w:kern w:val="2"/>
        </w:rPr>
        <w:t>万人；而生态发展区的正果镇、派潭镇、小楼镇等人口普遍在</w:t>
      </w:r>
      <w:r>
        <w:rPr>
          <w:rFonts w:hint="eastAsia" w:ascii="Times New Roman" w:hAnsi="Times New Roman" w:eastAsia="仿宋_GB2312" w:cs="仿宋_GB2312"/>
          <w:kern w:val="2"/>
        </w:rPr>
        <w:t>6</w:t>
      </w:r>
      <w:r>
        <w:rPr>
          <w:rFonts w:hint="eastAsia" w:ascii="仿宋_GB2312" w:hAnsi="仿宋_GB2312" w:eastAsia="仿宋_GB2312" w:cs="仿宋_GB2312"/>
          <w:kern w:val="2"/>
        </w:rPr>
        <w:t>万人以下，</w:t>
      </w:r>
      <w:bookmarkEnd w:id="20"/>
      <w:r>
        <w:rPr>
          <w:rFonts w:hint="eastAsia" w:ascii="仿宋_GB2312" w:hAnsi="仿宋_GB2312" w:eastAsia="仿宋_GB2312" w:cs="仿宋_GB2312"/>
          <w:kern w:val="2"/>
        </w:rPr>
        <w:t>呈现出明显的“南聚北疏” 分布特点。</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shd w:val="clear" w:color="auto" w:fill="FFFFFF"/>
        </w:rPr>
        <w:t>综上</w:t>
      </w:r>
      <w:r>
        <w:rPr>
          <w:rFonts w:hint="eastAsia" w:ascii="仿宋_GB2312" w:hAnsi="仿宋_GB2312" w:cs="仿宋_GB2312"/>
          <w:kern w:val="2"/>
          <w:shd w:val="clear" w:color="auto" w:fill="FFFFFF"/>
          <w:lang w:eastAsia="zh-CN"/>
        </w:rPr>
        <w:t>，</w:t>
      </w:r>
      <w:r>
        <w:rPr>
          <w:rFonts w:hint="eastAsia" w:ascii="仿宋_GB2312" w:hAnsi="仿宋_GB2312" w:eastAsia="仿宋_GB2312" w:cs="仿宋_GB2312"/>
          <w:kern w:val="2"/>
        </w:rPr>
        <w:t>增城区应急避护场所的布局与管理需紧密结合其经济发展和“南聚北疏”的人口特征，在新塘镇和荔城街道常住人口密度较高地区优化场所布局；在派潭镇、正果镇等农业高风险区，结合农业人口分布特点与应急避护潜在资源，选址于地势较高的公共设施（如学校、文化站）优化场所布局，完善多部门联动机制，并通过日常维护和公众教育提升整体应急能力。</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21" w:name="OLE_LINK1"/>
      <w:bookmarkStart w:id="22" w:name="_Toc215490480"/>
      <w:r>
        <w:rPr>
          <w:rFonts w:cs="Times New Roman"/>
          <w:kern w:val="2"/>
        </w:rPr>
        <w:t xml:space="preserve">第十条 </w:t>
      </w:r>
      <w:bookmarkEnd w:id="21"/>
      <w:r>
        <w:rPr>
          <w:rFonts w:hint="eastAsia" w:cs="Times New Roman"/>
          <w:kern w:val="2"/>
          <w:lang w:val="en-US" w:eastAsia="zh-CN"/>
        </w:rPr>
        <w:t xml:space="preserve"> </w:t>
      </w:r>
      <w:r>
        <w:rPr>
          <w:rFonts w:cs="Times New Roman"/>
          <w:kern w:val="2"/>
        </w:rPr>
        <w:t>应急避护场所发展现状及分析</w:t>
      </w:r>
      <w:bookmarkEnd w:id="22"/>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增城区应急管理工作成效显著：在组织架构上，构建了“区-部门-镇（街）”三级联动体系，配套完善的应急预案；应急响应方面，依托统一指挥平台和最小应急响应圈，实现快速处置；风险防控运用电子地图和监测点实现动态预警，结合专项整治消除隐患；全区已建立各类应急救援队伍，积极演练，确保遇突发事件能有效处置；截至</w:t>
      </w:r>
      <w:r>
        <w:rPr>
          <w:rFonts w:hint="eastAsia" w:ascii="Times New Roman" w:hAnsi="Times New Roman" w:eastAsia="仿宋_GB2312" w:cs="仿宋_GB2312"/>
          <w:kern w:val="2"/>
        </w:rPr>
        <w:t>2025</w:t>
      </w:r>
      <w:r>
        <w:rPr>
          <w:rFonts w:hint="eastAsia" w:ascii="仿宋_GB2312" w:hAnsi="仿宋_GB2312" w:eastAsia="仿宋_GB2312" w:cs="仿宋_GB2312"/>
          <w:kern w:val="2"/>
        </w:rPr>
        <w:t>年</w:t>
      </w:r>
      <w:r>
        <w:rPr>
          <w:rFonts w:hint="eastAsia" w:cs="仿宋_GB2312"/>
          <w:kern w:val="2"/>
          <w:lang w:val="en-US" w:eastAsia="zh-CN"/>
        </w:rPr>
        <w:t>11</w:t>
      </w:r>
      <w:r>
        <w:rPr>
          <w:rFonts w:hint="eastAsia" w:ascii="仿宋_GB2312" w:hAnsi="仿宋_GB2312" w:eastAsia="仿宋_GB2312" w:cs="仿宋_GB2312"/>
          <w:kern w:val="2"/>
        </w:rPr>
        <w:t>月，全区依托公园绿地与广场、学校操场、体育场馆、社区服务中心、福利设施、文化设施等共建成应急避护场所</w:t>
      </w:r>
      <w:r>
        <w:rPr>
          <w:rFonts w:hint="eastAsia" w:ascii="Times New Roman" w:hAnsi="Times New Roman" w:eastAsia="仿宋_GB2312" w:cs="仿宋_GB2312"/>
          <w:kern w:val="2"/>
        </w:rPr>
        <w:t>303</w:t>
      </w:r>
      <w:r>
        <w:rPr>
          <w:rFonts w:hint="eastAsia" w:ascii="仿宋_GB2312" w:hAnsi="仿宋_GB2312" w:eastAsia="仿宋_GB2312" w:cs="仿宋_GB2312"/>
          <w:kern w:val="2"/>
        </w:rPr>
        <w:t>处。</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面临三大挑战：一是因地处珠三角东北部且城市功能复杂，自然灾害与社会安全隐患交织，应急管理形势严峻；二是基层应急能力存在短板，部分社区和农村应急设施、救援力量不足；三是 “大应急” 管理理念亟待加强，防灾科普宣传覆盖不足。</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23" w:name="_Toc215490481"/>
      <w:r>
        <w:rPr>
          <w:rFonts w:cs="Times New Roman"/>
          <w:kern w:val="2"/>
        </w:rPr>
        <w:t xml:space="preserve">第十一条 </w:t>
      </w:r>
      <w:r>
        <w:rPr>
          <w:rFonts w:hint="eastAsia" w:cs="Times New Roman"/>
          <w:kern w:val="2"/>
          <w:lang w:val="en-US" w:eastAsia="zh-CN"/>
        </w:rPr>
        <w:t xml:space="preserve"> </w:t>
      </w:r>
      <w:r>
        <w:rPr>
          <w:rFonts w:cs="Times New Roman"/>
          <w:kern w:val="2"/>
        </w:rPr>
        <w:t>应急避护需求分析</w:t>
      </w:r>
      <w:bookmarkEnd w:id="23"/>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w:t>
      </w:r>
      <w:r>
        <w:rPr>
          <w:rFonts w:hint="eastAsia" w:ascii="仿宋_GB2312" w:hAnsi="仿宋_GB2312" w:eastAsia="仿宋_GB2312" w:cs="仿宋_GB2312"/>
          <w:kern w:val="2"/>
        </w:rPr>
        <w:t>.灾害事故风险分析</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根据增城区第一次自然灾害风险普查结果显示，增城区面临台风、暴雨、洪涝、风暴潮、地质灾害、地震等自然灾害风险，全区南北地形地貌差异大、城区人口密集且流动性大，自然灾害影响带来较大的人员疏散避险、转移安置、应急救援等空间需求。</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增城区综合性灾害风险较高的镇（街）主要集中在派潭镇、新塘镇、石滩镇、荔城街道、增江街道及中新镇等区域。其中，派潭镇因地处山区，受暴雨、台风、大风及洪水等多重灾害影响，叠加人口分布相对密集、山体滑坡隐患及水利工程设施隐患等因素，综合致灾危险性尤为突出；新塘镇经济活跃、人口稠密，受台风、暴雨及高温灾害的影响较大；石滩镇受洪水、台风及气象干旱威胁较大，局部地区水利工程隐患未完全消除，加剧了灾害风险影响。此外，荔城街道、增江街道等核心区域人口高度集中、老旧房屋比例较高、市政基础设施不完善，气象灾害与次生风险叠加的挑战较大。</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2</w:t>
      </w:r>
      <w:r>
        <w:rPr>
          <w:rFonts w:hint="eastAsia" w:ascii="仿宋_GB2312" w:hAnsi="仿宋_GB2312" w:eastAsia="仿宋_GB2312" w:cs="仿宋_GB2312"/>
          <w:kern w:val="2"/>
        </w:rPr>
        <w:t>.应急避护人口需求分析</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根据《广州市增城区国土空间总体规划（</w:t>
      </w:r>
      <w:r>
        <w:rPr>
          <w:rFonts w:hint="eastAsia" w:ascii="Times New Roman" w:hAnsi="Times New Roman" w:eastAsia="仿宋_GB2312" w:cs="仿宋_GB2312"/>
          <w:kern w:val="2"/>
        </w:rPr>
        <w:t>2021</w:t>
      </w:r>
      <w:r>
        <w:rPr>
          <w:rFonts w:hint="eastAsia" w:ascii="仿宋_GB2312" w:hAnsi="仿宋_GB2312" w:eastAsia="仿宋_GB2312" w:cs="仿宋_GB2312"/>
          <w:kern w:val="2"/>
        </w:rPr>
        <w:t>-</w:t>
      </w:r>
      <w:r>
        <w:rPr>
          <w:rFonts w:hint="eastAsia" w:ascii="Times New Roman" w:hAnsi="Times New Roman" w:eastAsia="仿宋_GB2312" w:cs="仿宋_GB2312"/>
          <w:kern w:val="2"/>
        </w:rPr>
        <w:t>2035</w:t>
      </w:r>
      <w:r>
        <w:rPr>
          <w:rFonts w:hint="eastAsia" w:ascii="仿宋_GB2312" w:hAnsi="仿宋_GB2312" w:eastAsia="仿宋_GB2312" w:cs="仿宋_GB2312"/>
          <w:kern w:val="2"/>
        </w:rPr>
        <w:t>年）》，规划至</w:t>
      </w:r>
      <w:r>
        <w:rPr>
          <w:rFonts w:hint="eastAsia" w:ascii="Times New Roman" w:hAnsi="Times New Roman" w:eastAsia="仿宋_GB2312" w:cs="仿宋_GB2312"/>
          <w:kern w:val="2"/>
        </w:rPr>
        <w:t>2035</w:t>
      </w:r>
      <w:r>
        <w:rPr>
          <w:rFonts w:hint="eastAsia" w:ascii="仿宋_GB2312" w:hAnsi="仿宋_GB2312" w:eastAsia="仿宋_GB2312" w:cs="仿宋_GB2312"/>
          <w:kern w:val="2"/>
        </w:rPr>
        <w:t>年全区常住人口</w:t>
      </w:r>
      <w:r>
        <w:rPr>
          <w:rFonts w:hint="eastAsia" w:ascii="Times New Roman" w:hAnsi="Times New Roman" w:eastAsia="仿宋_GB2312" w:cs="仿宋_GB2312"/>
          <w:kern w:val="2"/>
        </w:rPr>
        <w:t>185</w:t>
      </w:r>
      <w:r>
        <w:rPr>
          <w:rFonts w:hint="eastAsia" w:ascii="仿宋_GB2312" w:hAnsi="仿宋_GB2312" w:eastAsia="仿宋_GB2312" w:cs="仿宋_GB2312"/>
          <w:kern w:val="2"/>
        </w:rPr>
        <w:t>万人，应急避护人数按不低于规划人口</w:t>
      </w:r>
      <w:r>
        <w:rPr>
          <w:rFonts w:hint="eastAsia" w:ascii="Times New Roman" w:hAnsi="Times New Roman" w:eastAsia="仿宋_GB2312" w:cs="仿宋_GB2312"/>
          <w:kern w:val="2"/>
        </w:rPr>
        <w:t>70</w:t>
      </w:r>
      <w:r>
        <w:rPr>
          <w:rFonts w:hint="eastAsia" w:ascii="仿宋_GB2312" w:hAnsi="仿宋_GB2312" w:eastAsia="仿宋_GB2312" w:cs="仿宋_GB2312"/>
          <w:kern w:val="2"/>
        </w:rPr>
        <w:t>%计，紧急避护人数不低于</w:t>
      </w:r>
      <w:r>
        <w:rPr>
          <w:rFonts w:hint="eastAsia" w:ascii="Times New Roman" w:hAnsi="Times New Roman" w:eastAsia="仿宋_GB2312" w:cs="仿宋_GB2312"/>
          <w:kern w:val="2"/>
        </w:rPr>
        <w:t>129</w:t>
      </w:r>
      <w:r>
        <w:rPr>
          <w:rFonts w:hint="eastAsia" w:ascii="仿宋_GB2312" w:hAnsi="仿宋_GB2312" w:eastAsia="仿宋_GB2312" w:cs="仿宋_GB2312"/>
          <w:kern w:val="2"/>
        </w:rPr>
        <w:t>.</w:t>
      </w:r>
      <w:r>
        <w:rPr>
          <w:rFonts w:hint="eastAsia" w:ascii="Times New Roman" w:hAnsi="Times New Roman" w:eastAsia="仿宋_GB2312" w:cs="仿宋_GB2312"/>
          <w:kern w:val="2"/>
        </w:rPr>
        <w:t>5</w:t>
      </w:r>
      <w:r>
        <w:rPr>
          <w:rFonts w:hint="eastAsia" w:ascii="仿宋_GB2312" w:hAnsi="仿宋_GB2312" w:eastAsia="仿宋_GB2312" w:cs="仿宋_GB2312"/>
          <w:kern w:val="2"/>
        </w:rPr>
        <w:t>万人；短期避护人数不低于规划人口的</w:t>
      </w:r>
      <w:r>
        <w:rPr>
          <w:rFonts w:hint="eastAsia" w:ascii="Times New Roman" w:hAnsi="Times New Roman" w:eastAsia="仿宋_GB2312" w:cs="仿宋_GB2312"/>
          <w:kern w:val="2"/>
        </w:rPr>
        <w:t>15</w:t>
      </w:r>
      <w:r>
        <w:rPr>
          <w:rFonts w:hint="eastAsia" w:ascii="仿宋_GB2312" w:hAnsi="仿宋_GB2312" w:eastAsia="仿宋_GB2312" w:cs="仿宋_GB2312"/>
          <w:kern w:val="2"/>
        </w:rPr>
        <w:t>％，约为</w:t>
      </w:r>
      <w:r>
        <w:rPr>
          <w:rFonts w:hint="eastAsia" w:ascii="Times New Roman" w:hAnsi="Times New Roman" w:eastAsia="仿宋_GB2312" w:cs="仿宋_GB2312"/>
          <w:kern w:val="2"/>
        </w:rPr>
        <w:t>27</w:t>
      </w:r>
      <w:r>
        <w:rPr>
          <w:rFonts w:hint="eastAsia" w:ascii="仿宋_GB2312" w:hAnsi="仿宋_GB2312" w:eastAsia="仿宋_GB2312" w:cs="仿宋_GB2312"/>
          <w:kern w:val="2"/>
        </w:rPr>
        <w:t>.</w:t>
      </w:r>
      <w:r>
        <w:rPr>
          <w:rFonts w:hint="eastAsia" w:ascii="Times New Roman" w:hAnsi="Times New Roman" w:eastAsia="仿宋_GB2312" w:cs="仿宋_GB2312"/>
          <w:kern w:val="2"/>
        </w:rPr>
        <w:t>75</w:t>
      </w:r>
      <w:r>
        <w:rPr>
          <w:rFonts w:hint="eastAsia" w:ascii="仿宋_GB2312" w:hAnsi="仿宋_GB2312" w:eastAsia="仿宋_GB2312" w:cs="仿宋_GB2312"/>
          <w:kern w:val="2"/>
        </w:rPr>
        <w:t>万人；长期避护人数不低于规划人口的</w:t>
      </w:r>
      <w:r>
        <w:rPr>
          <w:rFonts w:hint="eastAsia" w:ascii="Times New Roman" w:hAnsi="Times New Roman" w:eastAsia="仿宋_GB2312" w:cs="仿宋_GB2312"/>
          <w:kern w:val="2"/>
        </w:rPr>
        <w:t>5</w:t>
      </w:r>
      <w:r>
        <w:rPr>
          <w:rFonts w:hint="eastAsia" w:ascii="仿宋_GB2312" w:hAnsi="仿宋_GB2312" w:eastAsia="仿宋_GB2312" w:cs="仿宋_GB2312"/>
          <w:kern w:val="2"/>
        </w:rPr>
        <w:t>%，约为</w:t>
      </w:r>
      <w:r>
        <w:rPr>
          <w:rFonts w:hint="eastAsia" w:ascii="Times New Roman" w:hAnsi="Times New Roman" w:eastAsia="仿宋_GB2312" w:cs="仿宋_GB2312"/>
          <w:kern w:val="2"/>
        </w:rPr>
        <w:t>9</w:t>
      </w:r>
      <w:r>
        <w:rPr>
          <w:rFonts w:hint="eastAsia" w:ascii="仿宋_GB2312" w:hAnsi="仿宋_GB2312" w:eastAsia="仿宋_GB2312" w:cs="仿宋_GB2312"/>
          <w:kern w:val="2"/>
        </w:rPr>
        <w:t>.</w:t>
      </w:r>
      <w:r>
        <w:rPr>
          <w:rFonts w:hint="eastAsia" w:ascii="Times New Roman" w:hAnsi="Times New Roman" w:eastAsia="仿宋_GB2312" w:cs="仿宋_GB2312"/>
          <w:kern w:val="2"/>
        </w:rPr>
        <w:t>25</w:t>
      </w:r>
      <w:r>
        <w:rPr>
          <w:rFonts w:hint="eastAsia" w:ascii="仿宋_GB2312" w:hAnsi="仿宋_GB2312" w:eastAsia="仿宋_GB2312" w:cs="仿宋_GB2312"/>
          <w:kern w:val="2"/>
        </w:rPr>
        <w:t>万人。</w:t>
      </w:r>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pPr>
    </w:p>
    <w:p>
      <w:pPr>
        <w:pStyle w:val="3"/>
        <w:keepNext w:val="0"/>
        <w:keepLines w:val="0"/>
        <w:pageBreakBefore w:val="0"/>
        <w:widowControl w:val="0"/>
        <w:kinsoku/>
        <w:wordWrap/>
        <w:overflowPunct/>
        <w:topLinePunct w:val="0"/>
        <w:autoSpaceDE/>
        <w:autoSpaceDN/>
        <w:bidi w:val="0"/>
        <w:adjustRightInd/>
        <w:snapToGrid/>
        <w:spacing w:before="0" w:after="0" w:line="570" w:lineRule="exact"/>
        <w:textAlignment w:val="auto"/>
        <w:rPr>
          <w:rFonts w:cs="Times New Roman"/>
          <w:kern w:val="2"/>
        </w:rPr>
      </w:pPr>
      <w:bookmarkStart w:id="24" w:name="_Toc215490482"/>
      <w:r>
        <w:rPr>
          <w:rFonts w:cs="Times New Roman"/>
          <w:kern w:val="2"/>
        </w:rPr>
        <w:t>第三章  规划目标与指标</w:t>
      </w:r>
      <w:bookmarkEnd w:id="24"/>
    </w:p>
    <w:p>
      <w:pPr>
        <w:keepNext w:val="0"/>
        <w:keepLines w:val="0"/>
        <w:pageBreakBefore w:val="0"/>
        <w:widowControl w:val="0"/>
        <w:kinsoku/>
        <w:wordWrap/>
        <w:overflowPunct/>
        <w:topLinePunct w:val="0"/>
        <w:autoSpaceDE/>
        <w:autoSpaceDN/>
        <w:bidi w:val="0"/>
        <w:adjustRightInd/>
        <w:snapToGrid/>
        <w:spacing w:line="570" w:lineRule="exact"/>
        <w:textAlignment w:val="auto"/>
      </w:pP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25" w:name="_Toc215490483"/>
      <w:r>
        <w:rPr>
          <w:rFonts w:cs="Times New Roman"/>
          <w:kern w:val="2"/>
        </w:rPr>
        <w:t xml:space="preserve">第十二条 </w:t>
      </w:r>
      <w:r>
        <w:rPr>
          <w:rFonts w:hint="eastAsia" w:cs="Times New Roman"/>
          <w:kern w:val="2"/>
          <w:lang w:val="en-US" w:eastAsia="zh-CN"/>
        </w:rPr>
        <w:t xml:space="preserve"> </w:t>
      </w:r>
      <w:r>
        <w:rPr>
          <w:rFonts w:cs="Times New Roman"/>
          <w:kern w:val="2"/>
        </w:rPr>
        <w:t>规划目标</w:t>
      </w:r>
      <w:bookmarkEnd w:id="25"/>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构建能够应对自然灾害为主兼顾其他突发事件的应急避护场所空间体系，建设适应广州市增城区经济社会发展的应急避护设施，全面提升全区应急避护承载能力与灾害综合防御水平。</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规划至</w:t>
      </w:r>
      <w:r>
        <w:rPr>
          <w:rFonts w:hint="eastAsia" w:ascii="Times New Roman" w:hAnsi="Times New Roman" w:eastAsia="仿宋_GB2312" w:cs="仿宋_GB2312"/>
          <w:kern w:val="2"/>
        </w:rPr>
        <w:t>2035</w:t>
      </w:r>
      <w:r>
        <w:rPr>
          <w:rFonts w:hint="eastAsia" w:ascii="仿宋_GB2312" w:hAnsi="仿宋_GB2312" w:eastAsia="仿宋_GB2312" w:cs="仿宋_GB2312"/>
          <w:kern w:val="2"/>
        </w:rPr>
        <w:t>年全区有效避护总面积不少于</w:t>
      </w:r>
      <w:r>
        <w:rPr>
          <w:rFonts w:hint="eastAsia" w:ascii="Times New Roman" w:hAnsi="Times New Roman" w:eastAsia="仿宋_GB2312" w:cs="仿宋_GB2312"/>
          <w:kern w:val="2"/>
        </w:rPr>
        <w:t>259</w:t>
      </w:r>
      <w:r>
        <w:rPr>
          <w:rFonts w:hint="eastAsia" w:ascii="仿宋_GB2312" w:hAnsi="仿宋_GB2312" w:eastAsia="仿宋_GB2312" w:cs="仿宋_GB2312"/>
          <w:kern w:val="2"/>
        </w:rPr>
        <w:t>万平方米，其中室内有效避护面积不少于</w:t>
      </w:r>
      <w:r>
        <w:rPr>
          <w:rFonts w:hint="eastAsia" w:ascii="Times New Roman" w:hAnsi="Times New Roman" w:eastAsia="仿宋_GB2312" w:cs="仿宋_GB2312"/>
          <w:kern w:val="2"/>
        </w:rPr>
        <w:t>52</w:t>
      </w:r>
      <w:r>
        <w:rPr>
          <w:rFonts w:hint="eastAsia" w:ascii="仿宋_GB2312" w:hAnsi="仿宋_GB2312" w:eastAsia="仿宋_GB2312" w:cs="仿宋_GB2312"/>
          <w:kern w:val="2"/>
        </w:rPr>
        <w:t>万平方米。规划至</w:t>
      </w:r>
      <w:r>
        <w:rPr>
          <w:rFonts w:hint="eastAsia" w:ascii="Times New Roman" w:hAnsi="Times New Roman" w:eastAsia="仿宋_GB2312" w:cs="仿宋_GB2312"/>
          <w:kern w:val="2"/>
        </w:rPr>
        <w:t>2035</w:t>
      </w:r>
      <w:r>
        <w:rPr>
          <w:rFonts w:hint="eastAsia" w:ascii="仿宋_GB2312" w:hAnsi="仿宋_GB2312" w:eastAsia="仿宋_GB2312" w:cs="仿宋_GB2312"/>
          <w:kern w:val="2"/>
        </w:rPr>
        <w:t>年全区人均应急避护场所面积不低于</w:t>
      </w:r>
      <w:r>
        <w:rPr>
          <w:rFonts w:hint="eastAsia" w:ascii="Times New Roman" w:hAnsi="Times New Roman" w:eastAsia="仿宋_GB2312" w:cs="仿宋_GB2312"/>
          <w:kern w:val="2"/>
        </w:rPr>
        <w:t>2</w:t>
      </w:r>
      <w:r>
        <w:rPr>
          <w:rFonts w:hint="eastAsia" w:ascii="仿宋_GB2312" w:hAnsi="仿宋_GB2312" w:eastAsia="仿宋_GB2312" w:cs="仿宋_GB2312"/>
          <w:kern w:val="2"/>
        </w:rPr>
        <w:t>平方米。</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708" w:firstLineChars="300"/>
        <w:textAlignment w:val="auto"/>
        <w:rPr>
          <w:rFonts w:cs="Times New Roman"/>
          <w:kern w:val="2"/>
          <w:sz w:val="22"/>
          <w:szCs w:val="20"/>
        </w:rPr>
      </w:pPr>
      <w:r>
        <w:rPr>
          <w:rFonts w:hint="eastAsia" w:ascii="楷体_GB2312" w:hAnsi="楷体_GB2312" w:eastAsia="楷体_GB2312" w:cs="楷体_GB2312"/>
          <w:kern w:val="2"/>
          <w:sz w:val="24"/>
          <w:szCs w:val="24"/>
        </w:rPr>
        <w:t>备注：根据《国土空间规划城市体检评估规程》，人均应急避难场所面积指按照避难人数为</w:t>
      </w:r>
      <w:r>
        <w:rPr>
          <w:rFonts w:hint="eastAsia" w:ascii="Times New Roman" w:hAnsi="Times New Roman" w:eastAsia="楷体_GB2312" w:cs="楷体_GB2312"/>
          <w:kern w:val="2"/>
          <w:sz w:val="24"/>
          <w:szCs w:val="24"/>
        </w:rPr>
        <w:t>70</w:t>
      </w:r>
      <w:r>
        <w:rPr>
          <w:rFonts w:hint="eastAsia" w:ascii="楷体_GB2312" w:hAnsi="楷体_GB2312" w:eastAsia="楷体_GB2312" w:cs="楷体_GB2312"/>
          <w:kern w:val="2"/>
          <w:sz w:val="24"/>
          <w:szCs w:val="24"/>
        </w:rPr>
        <w:t>%的常住人口计算全区应急避难场所人均面积，即避难场所有效面积/(常住人口*</w:t>
      </w:r>
      <w:r>
        <w:rPr>
          <w:rFonts w:hint="eastAsia" w:ascii="Times New Roman" w:hAnsi="Times New Roman" w:eastAsia="楷体_GB2312" w:cs="楷体_GB2312"/>
          <w:kern w:val="2"/>
          <w:sz w:val="24"/>
          <w:szCs w:val="24"/>
        </w:rPr>
        <w:t>70</w:t>
      </w:r>
      <w:r>
        <w:rPr>
          <w:rFonts w:hint="eastAsia" w:ascii="楷体_GB2312" w:hAnsi="楷体_GB2312" w:eastAsia="楷体_GB2312" w:cs="楷体_GB2312"/>
          <w:kern w:val="2"/>
          <w:sz w:val="24"/>
          <w:szCs w:val="24"/>
        </w:rPr>
        <w:t>%)。按照《</w:t>
      </w:r>
      <w:r>
        <w:rPr>
          <w:rFonts w:hint="eastAsia" w:ascii="Times New Roman" w:hAnsi="Times New Roman" w:eastAsia="楷体_GB2312" w:cs="楷体_GB2312"/>
          <w:kern w:val="2"/>
          <w:sz w:val="24"/>
          <w:szCs w:val="24"/>
        </w:rPr>
        <w:t>2025</w:t>
      </w:r>
      <w:r>
        <w:rPr>
          <w:rFonts w:hint="eastAsia" w:ascii="楷体_GB2312" w:hAnsi="楷体_GB2312" w:eastAsia="楷体_GB2312" w:cs="楷体_GB2312"/>
          <w:kern w:val="2"/>
          <w:sz w:val="24"/>
          <w:szCs w:val="24"/>
        </w:rPr>
        <w:t>年城市体检基础指标体系》中人均避难场所有效避难面积达到</w:t>
      </w:r>
      <w:r>
        <w:rPr>
          <w:rFonts w:hint="eastAsia" w:ascii="Times New Roman" w:hAnsi="Times New Roman" w:eastAsia="楷体_GB2312" w:cs="楷体_GB2312"/>
          <w:kern w:val="2"/>
          <w:sz w:val="24"/>
          <w:szCs w:val="24"/>
        </w:rPr>
        <w:t>2</w:t>
      </w:r>
      <w:r>
        <w:rPr>
          <w:rFonts w:hint="eastAsia" w:ascii="楷体_GB2312" w:hAnsi="楷体_GB2312" w:eastAsia="楷体_GB2312" w:cs="楷体_GB2312"/>
          <w:kern w:val="2"/>
          <w:sz w:val="24"/>
          <w:szCs w:val="24"/>
        </w:rPr>
        <w:t>平方米的要求，依据《广州市增城区国土空间总体规划（</w:t>
      </w:r>
      <w:r>
        <w:rPr>
          <w:rFonts w:hint="eastAsia" w:ascii="Times New Roman" w:hAnsi="Times New Roman" w:eastAsia="楷体_GB2312" w:cs="楷体_GB2312"/>
          <w:kern w:val="2"/>
          <w:sz w:val="24"/>
          <w:szCs w:val="24"/>
        </w:rPr>
        <w:t>2021</w:t>
      </w:r>
      <w:r>
        <w:rPr>
          <w:rFonts w:hint="eastAsia" w:ascii="楷体_GB2312" w:hAnsi="楷体_GB2312" w:eastAsia="楷体_GB2312" w:cs="楷体_GB2312"/>
          <w:kern w:val="2"/>
          <w:sz w:val="24"/>
          <w:szCs w:val="24"/>
        </w:rPr>
        <w:t>-</w:t>
      </w:r>
      <w:r>
        <w:rPr>
          <w:rFonts w:hint="eastAsia" w:ascii="Times New Roman" w:hAnsi="Times New Roman" w:eastAsia="楷体_GB2312" w:cs="楷体_GB2312"/>
          <w:kern w:val="2"/>
          <w:sz w:val="24"/>
          <w:szCs w:val="24"/>
        </w:rPr>
        <w:t>2035</w:t>
      </w:r>
      <w:r>
        <w:rPr>
          <w:rFonts w:hint="eastAsia" w:ascii="楷体_GB2312" w:hAnsi="楷体_GB2312" w:eastAsia="楷体_GB2312" w:cs="楷体_GB2312"/>
          <w:kern w:val="2"/>
          <w:sz w:val="24"/>
          <w:szCs w:val="24"/>
        </w:rPr>
        <w:t>年）》规划</w:t>
      </w:r>
      <w:r>
        <w:rPr>
          <w:rFonts w:hint="eastAsia" w:ascii="Times New Roman" w:hAnsi="Times New Roman" w:eastAsia="楷体_GB2312" w:cs="楷体_GB2312"/>
          <w:kern w:val="2"/>
          <w:sz w:val="24"/>
          <w:szCs w:val="24"/>
        </w:rPr>
        <w:t>2035</w:t>
      </w:r>
      <w:r>
        <w:rPr>
          <w:rFonts w:hint="eastAsia" w:ascii="楷体_GB2312" w:hAnsi="楷体_GB2312" w:eastAsia="楷体_GB2312" w:cs="楷体_GB2312"/>
          <w:kern w:val="2"/>
          <w:sz w:val="24"/>
          <w:szCs w:val="24"/>
        </w:rPr>
        <w:t>年全</w:t>
      </w:r>
      <w:bookmarkStart w:id="26" w:name="OLE_LINK6"/>
      <w:r>
        <w:rPr>
          <w:rFonts w:hint="eastAsia" w:ascii="楷体_GB2312" w:hAnsi="楷体_GB2312" w:eastAsia="楷体_GB2312" w:cs="楷体_GB2312"/>
          <w:kern w:val="2"/>
          <w:sz w:val="24"/>
          <w:szCs w:val="24"/>
        </w:rPr>
        <w:t>区</w:t>
      </w:r>
      <w:bookmarkEnd w:id="26"/>
      <w:r>
        <w:rPr>
          <w:rFonts w:hint="eastAsia" w:ascii="楷体_GB2312" w:hAnsi="楷体_GB2312" w:eastAsia="楷体_GB2312" w:cs="楷体_GB2312"/>
          <w:kern w:val="2"/>
          <w:sz w:val="24"/>
          <w:szCs w:val="24"/>
        </w:rPr>
        <w:t>常住人口</w:t>
      </w:r>
      <w:r>
        <w:rPr>
          <w:rFonts w:hint="eastAsia" w:ascii="Times New Roman" w:hAnsi="Times New Roman" w:eastAsia="楷体_GB2312" w:cs="楷体_GB2312"/>
          <w:kern w:val="2"/>
          <w:sz w:val="24"/>
          <w:szCs w:val="24"/>
        </w:rPr>
        <w:t>185</w:t>
      </w:r>
      <w:r>
        <w:rPr>
          <w:rFonts w:hint="eastAsia" w:ascii="楷体_GB2312" w:hAnsi="楷体_GB2312" w:eastAsia="楷体_GB2312" w:cs="楷体_GB2312"/>
          <w:kern w:val="2"/>
          <w:sz w:val="24"/>
          <w:szCs w:val="24"/>
        </w:rPr>
        <w:t>万人，全区应急避护场所有效避护总面积的需求规模为</w:t>
      </w:r>
      <w:r>
        <w:rPr>
          <w:rFonts w:hint="eastAsia" w:ascii="Times New Roman" w:hAnsi="Times New Roman" w:eastAsia="楷体_GB2312" w:cs="楷体_GB2312"/>
          <w:kern w:val="2"/>
          <w:sz w:val="24"/>
          <w:szCs w:val="24"/>
        </w:rPr>
        <w:t>185</w:t>
      </w:r>
      <w:r>
        <w:rPr>
          <w:rFonts w:hint="eastAsia" w:ascii="楷体_GB2312" w:hAnsi="楷体_GB2312" w:eastAsia="楷体_GB2312" w:cs="楷体_GB2312"/>
          <w:kern w:val="2"/>
          <w:sz w:val="24"/>
          <w:szCs w:val="24"/>
        </w:rPr>
        <w:t>万人×</w:t>
      </w:r>
      <w:r>
        <w:rPr>
          <w:rFonts w:hint="eastAsia" w:ascii="Times New Roman" w:hAnsi="Times New Roman" w:eastAsia="楷体_GB2312" w:cs="楷体_GB2312"/>
          <w:kern w:val="2"/>
          <w:sz w:val="24"/>
          <w:szCs w:val="24"/>
        </w:rPr>
        <w:t>70</w:t>
      </w:r>
      <w:r>
        <w:rPr>
          <w:rFonts w:hint="eastAsia" w:ascii="楷体_GB2312" w:hAnsi="楷体_GB2312" w:eastAsia="楷体_GB2312" w:cs="楷体_GB2312"/>
          <w:kern w:val="2"/>
          <w:sz w:val="24"/>
          <w:szCs w:val="24"/>
        </w:rPr>
        <w:t>%×</w:t>
      </w:r>
      <w:r>
        <w:rPr>
          <w:rFonts w:hint="eastAsia" w:ascii="Times New Roman" w:hAnsi="Times New Roman" w:eastAsia="楷体_GB2312" w:cs="楷体_GB2312"/>
          <w:kern w:val="2"/>
          <w:sz w:val="24"/>
          <w:szCs w:val="24"/>
        </w:rPr>
        <w:t>2</w:t>
      </w:r>
      <w:r>
        <w:rPr>
          <w:rFonts w:hint="eastAsia" w:ascii="楷体_GB2312" w:hAnsi="楷体_GB2312" w:eastAsia="楷体_GB2312" w:cs="楷体_GB2312"/>
          <w:kern w:val="2"/>
          <w:sz w:val="24"/>
          <w:szCs w:val="24"/>
        </w:rPr>
        <w:t>平方米/人=</w:t>
      </w:r>
      <w:r>
        <w:rPr>
          <w:rFonts w:hint="eastAsia" w:ascii="Times New Roman" w:hAnsi="Times New Roman" w:eastAsia="楷体_GB2312" w:cs="楷体_GB2312"/>
          <w:kern w:val="2"/>
          <w:sz w:val="24"/>
          <w:szCs w:val="24"/>
        </w:rPr>
        <w:t>259</w:t>
      </w:r>
      <w:r>
        <w:rPr>
          <w:rFonts w:hint="eastAsia" w:ascii="楷体_GB2312" w:hAnsi="楷体_GB2312" w:eastAsia="楷体_GB2312" w:cs="楷体_GB2312"/>
          <w:kern w:val="2"/>
          <w:sz w:val="24"/>
          <w:szCs w:val="24"/>
        </w:rPr>
        <w:t>万平方米。</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27" w:name="_Toc215490484"/>
      <w:r>
        <w:rPr>
          <w:rFonts w:cs="Times New Roman"/>
          <w:kern w:val="2"/>
        </w:rPr>
        <w:t>第十三条</w:t>
      </w:r>
      <w:r>
        <w:rPr>
          <w:rFonts w:hint="eastAsia" w:cs="Times New Roman"/>
          <w:kern w:val="2"/>
          <w:lang w:val="en-US" w:eastAsia="zh-CN"/>
        </w:rPr>
        <w:t xml:space="preserve"> </w:t>
      </w:r>
      <w:r>
        <w:rPr>
          <w:rFonts w:cs="Times New Roman"/>
          <w:kern w:val="2"/>
        </w:rPr>
        <w:t xml:space="preserve"> 应急避护策略</w:t>
      </w:r>
      <w:bookmarkEnd w:id="27"/>
    </w:p>
    <w:p>
      <w:pPr>
        <w:keepNext w:val="0"/>
        <w:keepLines w:val="0"/>
        <w:pageBreakBefore w:val="0"/>
        <w:widowControl w:val="0"/>
        <w:kinsoku/>
        <w:wordWrap/>
        <w:overflowPunct/>
        <w:topLinePunct w:val="0"/>
        <w:autoSpaceDE/>
        <w:autoSpaceDN/>
        <w:bidi w:val="0"/>
        <w:adjustRightInd/>
        <w:snapToGrid/>
        <w:spacing w:line="570" w:lineRule="exact"/>
        <w:ind w:firstLine="562"/>
        <w:textAlignment w:val="auto"/>
        <w:rPr>
          <w:rFonts w:hint="eastAsia" w:ascii="楷体_GB2312" w:hAnsi="楷体_GB2312" w:eastAsia="楷体_GB2312" w:cs="楷体_GB2312"/>
          <w:b w:val="0"/>
          <w:bCs w:val="0"/>
          <w:kern w:val="2"/>
        </w:rPr>
      </w:pPr>
      <w:r>
        <w:rPr>
          <w:rFonts w:hint="eastAsia" w:ascii="楷体_GB2312" w:hAnsi="楷体_GB2312" w:eastAsia="楷体_GB2312" w:cs="楷体_GB2312"/>
          <w:b w:val="0"/>
          <w:bCs w:val="0"/>
          <w:kern w:val="2"/>
        </w:rPr>
        <w:t>（一）应急避护场所分级</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按分级负责、属地为主、分级响应调度资源的原则，将应急避护场所划分为市级、区级、镇（街）级和社区（村）级。</w:t>
      </w:r>
    </w:p>
    <w:p>
      <w:pPr>
        <w:keepNext w:val="0"/>
        <w:keepLines w:val="0"/>
        <w:pageBreakBefore w:val="0"/>
        <w:widowControl w:val="0"/>
        <w:kinsoku/>
        <w:wordWrap/>
        <w:overflowPunct/>
        <w:topLinePunct w:val="0"/>
        <w:autoSpaceDE/>
        <w:autoSpaceDN/>
        <w:bidi w:val="0"/>
        <w:adjustRightInd/>
        <w:snapToGrid/>
        <w:spacing w:line="570" w:lineRule="exact"/>
        <w:ind w:firstLine="562"/>
        <w:textAlignment w:val="auto"/>
        <w:rPr>
          <w:rFonts w:hint="eastAsia" w:ascii="楷体_GB2312" w:hAnsi="楷体_GB2312" w:eastAsia="楷体_GB2312" w:cs="楷体_GB2312"/>
          <w:b w:val="0"/>
          <w:bCs w:val="0"/>
          <w:kern w:val="2"/>
        </w:rPr>
      </w:pPr>
      <w:r>
        <w:rPr>
          <w:rFonts w:hint="eastAsia" w:ascii="楷体_GB2312" w:hAnsi="楷体_GB2312" w:eastAsia="楷体_GB2312" w:cs="楷体_GB2312"/>
          <w:b w:val="0"/>
          <w:bCs w:val="0"/>
          <w:kern w:val="2"/>
        </w:rPr>
        <w:t>（二）应急避护场所分类</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应急避护场所应按与避护需求相适应的原则，依据其技术指标及功能属性、建筑与场地空间类别、总体功能定位和特定功能需要，分为下列类型：</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按避护时长、避护种类、人均有效避护面积、服务半径，可容纳避护人数、应急设施设备和物资配置等技术指标及功能属性，分为紧急避护场所、短期避护场所、长期避护场所（包括中心避护场所）；</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按建筑与场地空间类别，分为室内型（含室内室外兼具型）避护场所、室外型避护场所；</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按总体功能定位，分为综合性避护场所、单一性避护场所；</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按特定功能需要，设置特定避护场所。</w:t>
      </w:r>
    </w:p>
    <w:p>
      <w:pPr>
        <w:keepNext w:val="0"/>
        <w:keepLines w:val="0"/>
        <w:pageBreakBefore w:val="0"/>
        <w:widowControl w:val="0"/>
        <w:kinsoku/>
        <w:wordWrap/>
        <w:overflowPunct/>
        <w:topLinePunct w:val="0"/>
        <w:autoSpaceDE/>
        <w:autoSpaceDN/>
        <w:bidi w:val="0"/>
        <w:adjustRightInd/>
        <w:snapToGrid/>
        <w:spacing w:line="570" w:lineRule="exact"/>
        <w:ind w:firstLine="562"/>
        <w:textAlignment w:val="auto"/>
        <w:rPr>
          <w:rFonts w:hint="eastAsia" w:ascii="仿宋_GB2312" w:hAnsi="仿宋_GB2312" w:eastAsia="仿宋_GB2312" w:cs="仿宋_GB2312"/>
          <w:kern w:val="2"/>
        </w:rPr>
      </w:pPr>
      <w:r>
        <w:rPr>
          <w:rFonts w:hint="eastAsia" w:ascii="仿宋_GB2312" w:hAnsi="仿宋_GB2312" w:eastAsia="仿宋_GB2312" w:cs="仿宋_GB2312"/>
          <w:b/>
          <w:bCs/>
          <w:kern w:val="2"/>
        </w:rPr>
        <w:t>（</w:t>
      </w:r>
      <w:r>
        <w:rPr>
          <w:rFonts w:hint="eastAsia" w:ascii="Times New Roman" w:hAnsi="Times New Roman" w:eastAsia="仿宋_GB2312" w:cs="仿宋_GB2312"/>
          <w:b/>
          <w:bCs/>
          <w:kern w:val="2"/>
        </w:rPr>
        <w:t>1</w:t>
      </w:r>
      <w:r>
        <w:rPr>
          <w:rFonts w:hint="eastAsia" w:ascii="仿宋_GB2312" w:hAnsi="仿宋_GB2312" w:eastAsia="仿宋_GB2312" w:cs="仿宋_GB2312"/>
          <w:b/>
          <w:bCs/>
          <w:kern w:val="2"/>
        </w:rPr>
        <w:t>）紧急避护场所</w:t>
      </w:r>
      <w:r>
        <w:rPr>
          <w:rFonts w:hint="eastAsia" w:ascii="仿宋_GB2312" w:hAnsi="仿宋_GB2312" w:eastAsia="仿宋_GB2312" w:cs="仿宋_GB2312"/>
          <w:kern w:val="2"/>
        </w:rPr>
        <w:t>：向服务半径内应急避护人员提供紧急避险，并具备符合应急避护功能基本配置要求的应急设施设备和物资的避护场所，也是应急避护人员集合并转移到其他类型避护场所的过渡性场所，主要适用于地震灾害、地质灾害、洪涝灾害、暴雨灾害、森林草原火灾、城乡火灾、生产安全事故及空袭事件等避护种类，宜符合下列要求。</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w:t>
      </w:r>
      <w:r>
        <w:rPr>
          <w:rFonts w:hint="eastAsia" w:ascii="仿宋_GB2312" w:hAnsi="仿宋_GB2312" w:eastAsia="仿宋_GB2312" w:cs="仿宋_GB2312"/>
          <w:kern w:val="2"/>
        </w:rPr>
        <w:t>）避护时长</w:t>
      </w:r>
      <w:r>
        <w:rPr>
          <w:rFonts w:hint="eastAsia" w:ascii="Times New Roman" w:hAnsi="Times New Roman" w:eastAsia="仿宋_GB2312" w:cs="仿宋_GB2312"/>
          <w:kern w:val="2"/>
        </w:rPr>
        <w:t>1</w:t>
      </w:r>
      <w:r>
        <w:rPr>
          <w:rFonts w:hint="eastAsia" w:ascii="仿宋_GB2312" w:hAnsi="仿宋_GB2312" w:eastAsia="仿宋_GB2312" w:cs="仿宋_GB2312"/>
          <w:kern w:val="2"/>
        </w:rPr>
        <w:t>天以内。</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2</w:t>
      </w:r>
      <w:r>
        <w:rPr>
          <w:rFonts w:hint="eastAsia" w:ascii="仿宋_GB2312" w:hAnsi="仿宋_GB2312" w:eastAsia="仿宋_GB2312" w:cs="仿宋_GB2312"/>
          <w:kern w:val="2"/>
        </w:rPr>
        <w:t>）人均有效避护面积：室内型紧急避护场所不小于</w:t>
      </w:r>
      <w:r>
        <w:rPr>
          <w:rFonts w:hint="eastAsia" w:ascii="Times New Roman" w:hAnsi="Times New Roman" w:eastAsia="仿宋_GB2312" w:cs="仿宋_GB2312"/>
          <w:kern w:val="2"/>
        </w:rPr>
        <w:t>2</w:t>
      </w:r>
      <w:r>
        <w:rPr>
          <w:rFonts w:hint="eastAsia" w:ascii="仿宋_GB2312" w:hAnsi="仿宋_GB2312" w:eastAsia="仿宋_GB2312" w:cs="仿宋_GB2312"/>
          <w:kern w:val="2"/>
        </w:rPr>
        <w:t>.</w:t>
      </w:r>
      <w:r>
        <w:rPr>
          <w:rFonts w:hint="eastAsia" w:ascii="Times New Roman" w:hAnsi="Times New Roman" w:eastAsia="仿宋_GB2312" w:cs="仿宋_GB2312"/>
          <w:kern w:val="2"/>
        </w:rPr>
        <w:t>0m</w:t>
      </w:r>
      <w:r>
        <w:rPr>
          <w:rFonts w:hint="eastAsia" w:ascii="Times New Roman" w:hAnsi="Times New Roman" w:eastAsia="仿宋_GB2312" w:cs="仿宋_GB2312"/>
          <w:kern w:val="2"/>
          <w:vertAlign w:val="superscript"/>
        </w:rPr>
        <w:t>2</w:t>
      </w:r>
      <w:r>
        <w:rPr>
          <w:rFonts w:hint="eastAsia" w:ascii="仿宋_GB2312" w:hAnsi="仿宋_GB2312" w:eastAsia="仿宋_GB2312" w:cs="仿宋_GB2312"/>
          <w:kern w:val="2"/>
        </w:rPr>
        <w:t>，室外型紧急避护场所不小于</w:t>
      </w:r>
      <w:r>
        <w:rPr>
          <w:rFonts w:hint="eastAsia" w:ascii="Times New Roman" w:hAnsi="Times New Roman" w:eastAsia="仿宋_GB2312" w:cs="仿宋_GB2312"/>
          <w:kern w:val="2"/>
        </w:rPr>
        <w:t>1</w:t>
      </w:r>
      <w:r>
        <w:rPr>
          <w:rFonts w:hint="eastAsia" w:ascii="仿宋_GB2312" w:hAnsi="仿宋_GB2312" w:eastAsia="仿宋_GB2312" w:cs="仿宋_GB2312"/>
          <w:kern w:val="2"/>
        </w:rPr>
        <w:t>.</w:t>
      </w:r>
      <w:r>
        <w:rPr>
          <w:rFonts w:hint="eastAsia" w:ascii="Times New Roman" w:hAnsi="Times New Roman" w:eastAsia="仿宋_GB2312" w:cs="仿宋_GB2312"/>
          <w:kern w:val="2"/>
        </w:rPr>
        <w:t>5m</w:t>
      </w:r>
      <w:r>
        <w:rPr>
          <w:rFonts w:hint="eastAsia" w:ascii="Times New Roman" w:hAnsi="Times New Roman" w:eastAsia="仿宋_GB2312" w:cs="仿宋_GB2312"/>
          <w:kern w:val="2"/>
          <w:vertAlign w:val="superscript"/>
        </w:rPr>
        <w:t>2</w:t>
      </w:r>
      <w:r>
        <w:rPr>
          <w:rFonts w:hint="eastAsia" w:ascii="仿宋_GB2312" w:hAnsi="仿宋_GB2312" w:eastAsia="仿宋_GB2312" w:cs="仿宋_GB2312"/>
          <w:kern w:val="2"/>
        </w:rPr>
        <w:t>。</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3</w:t>
      </w:r>
      <w:r>
        <w:rPr>
          <w:rFonts w:hint="eastAsia" w:ascii="仿宋_GB2312" w:hAnsi="仿宋_GB2312" w:eastAsia="仿宋_GB2312" w:cs="仿宋_GB2312"/>
          <w:kern w:val="2"/>
        </w:rPr>
        <w:t>）服务半径</w:t>
      </w:r>
      <w:r>
        <w:rPr>
          <w:rFonts w:hint="eastAsia" w:ascii="Times New Roman" w:hAnsi="Times New Roman" w:eastAsia="仿宋_GB2312" w:cs="仿宋_GB2312"/>
          <w:kern w:val="2"/>
        </w:rPr>
        <w:t>1km</w:t>
      </w:r>
      <w:r>
        <w:rPr>
          <w:rFonts w:hint="eastAsia" w:ascii="仿宋_GB2312" w:hAnsi="仿宋_GB2312" w:eastAsia="仿宋_GB2312" w:cs="仿宋_GB2312"/>
          <w:kern w:val="2"/>
        </w:rPr>
        <w:t>以内，步行</w:t>
      </w:r>
      <w:r>
        <w:rPr>
          <w:rFonts w:hint="eastAsia" w:ascii="Times New Roman" w:hAnsi="Times New Roman" w:eastAsia="仿宋_GB2312" w:cs="仿宋_GB2312"/>
          <w:kern w:val="2"/>
        </w:rPr>
        <w:t>10min</w:t>
      </w:r>
      <w:r>
        <w:rPr>
          <w:rFonts w:hint="eastAsia" w:ascii="仿宋_GB2312" w:hAnsi="仿宋_GB2312" w:cs="仿宋_GB2312"/>
          <w:kern w:val="2"/>
          <w:lang w:eastAsia="zh-CN"/>
        </w:rPr>
        <w:t>—</w:t>
      </w:r>
      <w:r>
        <w:rPr>
          <w:rFonts w:hint="eastAsia" w:ascii="Times New Roman" w:hAnsi="Times New Roman" w:eastAsia="仿宋_GB2312" w:cs="仿宋_GB2312"/>
          <w:kern w:val="2"/>
        </w:rPr>
        <w:t>15min</w:t>
      </w:r>
      <w:r>
        <w:rPr>
          <w:rFonts w:hint="eastAsia" w:ascii="仿宋_GB2312" w:hAnsi="仿宋_GB2312" w:eastAsia="仿宋_GB2312" w:cs="仿宋_GB2312"/>
          <w:kern w:val="2"/>
        </w:rPr>
        <w:t>可达。</w:t>
      </w:r>
    </w:p>
    <w:p>
      <w:pPr>
        <w:keepNext w:val="0"/>
        <w:keepLines w:val="0"/>
        <w:pageBreakBefore w:val="0"/>
        <w:widowControl w:val="0"/>
        <w:kinsoku/>
        <w:wordWrap/>
        <w:overflowPunct/>
        <w:topLinePunct w:val="0"/>
        <w:autoSpaceDE/>
        <w:autoSpaceDN/>
        <w:bidi w:val="0"/>
        <w:adjustRightInd/>
        <w:snapToGrid/>
        <w:spacing w:line="570" w:lineRule="exact"/>
        <w:ind w:firstLine="562"/>
        <w:textAlignment w:val="auto"/>
        <w:rPr>
          <w:rFonts w:hint="eastAsia" w:ascii="仿宋_GB2312" w:hAnsi="仿宋_GB2312" w:eastAsia="仿宋_GB2312" w:cs="仿宋_GB2312"/>
          <w:kern w:val="2"/>
        </w:rPr>
      </w:pPr>
      <w:r>
        <w:rPr>
          <w:rFonts w:hint="eastAsia" w:ascii="仿宋_GB2312" w:hAnsi="仿宋_GB2312" w:eastAsia="仿宋_GB2312" w:cs="仿宋_GB2312"/>
          <w:b/>
          <w:bCs/>
          <w:kern w:val="2"/>
        </w:rPr>
        <w:t>（</w:t>
      </w:r>
      <w:r>
        <w:rPr>
          <w:rFonts w:hint="eastAsia" w:ascii="Times New Roman" w:hAnsi="Times New Roman" w:eastAsia="仿宋_GB2312" w:cs="仿宋_GB2312"/>
          <w:b/>
          <w:bCs/>
          <w:kern w:val="2"/>
        </w:rPr>
        <w:t>2</w:t>
      </w:r>
      <w:r>
        <w:rPr>
          <w:rFonts w:hint="eastAsia" w:ascii="仿宋_GB2312" w:hAnsi="仿宋_GB2312" w:eastAsia="仿宋_GB2312" w:cs="仿宋_GB2312"/>
          <w:b/>
          <w:bCs/>
          <w:kern w:val="2"/>
        </w:rPr>
        <w:t>）短期避护场所</w:t>
      </w:r>
      <w:r>
        <w:rPr>
          <w:rFonts w:hint="eastAsia" w:ascii="仿宋_GB2312" w:hAnsi="仿宋_GB2312" w:eastAsia="仿宋_GB2312" w:cs="仿宋_GB2312"/>
          <w:kern w:val="2"/>
        </w:rPr>
        <w:t>：用于向服务半径内应急避护人员提供紧急避险和短时间避护安置及集中救助，并具备符合应急避护功能配置要求的应急设施设备和物资的避护场所，主要适用于地震灾害、地质灾害、洪涝灾害、暴雨灾害、低温冷冻与雪灾、森林草原火灾、城乡火灾、生产安全事故、生态环境事件、公共卫生事件及空袭事件等避护种类，宜符合下列要求。</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w:t>
      </w:r>
      <w:r>
        <w:rPr>
          <w:rFonts w:hint="eastAsia" w:ascii="仿宋_GB2312" w:hAnsi="仿宋_GB2312" w:eastAsia="仿宋_GB2312" w:cs="仿宋_GB2312"/>
          <w:kern w:val="2"/>
        </w:rPr>
        <w:t>）避护时长</w:t>
      </w:r>
      <w:r>
        <w:rPr>
          <w:rFonts w:hint="eastAsia" w:ascii="Times New Roman" w:hAnsi="Times New Roman" w:eastAsia="仿宋_GB2312" w:cs="仿宋_GB2312"/>
          <w:kern w:val="2"/>
        </w:rPr>
        <w:t>2</w:t>
      </w:r>
      <w:r>
        <w:rPr>
          <w:rFonts w:hint="eastAsia" w:ascii="仿宋_GB2312" w:hAnsi="仿宋_GB2312" w:eastAsia="仿宋_GB2312" w:cs="仿宋_GB2312"/>
          <w:kern w:val="2"/>
        </w:rPr>
        <w:t>天至</w:t>
      </w:r>
      <w:r>
        <w:rPr>
          <w:rFonts w:hint="eastAsia" w:ascii="Times New Roman" w:hAnsi="Times New Roman" w:eastAsia="仿宋_GB2312" w:cs="仿宋_GB2312"/>
          <w:kern w:val="2"/>
        </w:rPr>
        <w:t>14</w:t>
      </w:r>
      <w:r>
        <w:rPr>
          <w:rFonts w:hint="eastAsia" w:ascii="仿宋_GB2312" w:hAnsi="仿宋_GB2312" w:eastAsia="仿宋_GB2312" w:cs="仿宋_GB2312"/>
          <w:kern w:val="2"/>
        </w:rPr>
        <w:t>天。</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2</w:t>
      </w:r>
      <w:r>
        <w:rPr>
          <w:rFonts w:hint="eastAsia" w:ascii="仿宋_GB2312" w:hAnsi="仿宋_GB2312" w:eastAsia="仿宋_GB2312" w:cs="仿宋_GB2312"/>
          <w:kern w:val="2"/>
        </w:rPr>
        <w:t>）人均有效避护面积：室内型短期避护场所不小于</w:t>
      </w:r>
      <w:r>
        <w:rPr>
          <w:rFonts w:hint="eastAsia" w:ascii="Times New Roman" w:hAnsi="Times New Roman" w:eastAsia="仿宋_GB2312" w:cs="仿宋_GB2312"/>
          <w:kern w:val="2"/>
        </w:rPr>
        <w:t>2</w:t>
      </w:r>
      <w:r>
        <w:rPr>
          <w:rFonts w:hint="eastAsia" w:ascii="仿宋_GB2312" w:hAnsi="仿宋_GB2312" w:eastAsia="仿宋_GB2312" w:cs="仿宋_GB2312"/>
          <w:kern w:val="2"/>
        </w:rPr>
        <w:t>.</w:t>
      </w:r>
      <w:r>
        <w:rPr>
          <w:rFonts w:hint="eastAsia" w:ascii="Times New Roman" w:hAnsi="Times New Roman" w:eastAsia="仿宋_GB2312" w:cs="仿宋_GB2312"/>
          <w:kern w:val="2"/>
        </w:rPr>
        <w:t>5m</w:t>
      </w:r>
      <w:r>
        <w:rPr>
          <w:rFonts w:hint="eastAsia" w:ascii="Times New Roman" w:hAnsi="Times New Roman" w:eastAsia="仿宋_GB2312" w:cs="仿宋_GB2312"/>
          <w:kern w:val="2"/>
          <w:vertAlign w:val="superscript"/>
        </w:rPr>
        <w:t>2</w:t>
      </w:r>
      <w:r>
        <w:rPr>
          <w:rFonts w:hint="eastAsia" w:ascii="仿宋_GB2312" w:hAnsi="仿宋_GB2312" w:eastAsia="仿宋_GB2312" w:cs="仿宋_GB2312"/>
          <w:kern w:val="2"/>
        </w:rPr>
        <w:t>，室外型短期避护场所不小于</w:t>
      </w:r>
      <w:r>
        <w:rPr>
          <w:rFonts w:hint="eastAsia" w:ascii="Times New Roman" w:hAnsi="Times New Roman" w:eastAsia="仿宋_GB2312" w:cs="仿宋_GB2312"/>
          <w:kern w:val="2"/>
        </w:rPr>
        <w:t>2</w:t>
      </w:r>
      <w:r>
        <w:rPr>
          <w:rFonts w:hint="eastAsia" w:ascii="仿宋_GB2312" w:hAnsi="仿宋_GB2312" w:eastAsia="仿宋_GB2312" w:cs="仿宋_GB2312"/>
          <w:kern w:val="2"/>
        </w:rPr>
        <w:t>.</w:t>
      </w:r>
      <w:r>
        <w:rPr>
          <w:rFonts w:hint="eastAsia" w:ascii="Times New Roman" w:hAnsi="Times New Roman" w:eastAsia="仿宋_GB2312" w:cs="仿宋_GB2312"/>
          <w:kern w:val="2"/>
        </w:rPr>
        <w:t>0m</w:t>
      </w:r>
      <w:r>
        <w:rPr>
          <w:rFonts w:hint="eastAsia" w:ascii="Times New Roman" w:hAnsi="Times New Roman" w:eastAsia="仿宋_GB2312" w:cs="仿宋_GB2312"/>
          <w:kern w:val="2"/>
          <w:vertAlign w:val="superscript"/>
        </w:rPr>
        <w:t>2</w:t>
      </w:r>
      <w:r>
        <w:rPr>
          <w:rFonts w:hint="eastAsia" w:ascii="仿宋_GB2312" w:hAnsi="仿宋_GB2312" w:eastAsia="仿宋_GB2312" w:cs="仿宋_GB2312"/>
          <w:kern w:val="2"/>
        </w:rPr>
        <w:t>。</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3</w:t>
      </w:r>
      <w:r>
        <w:rPr>
          <w:rFonts w:hint="eastAsia" w:ascii="仿宋_GB2312" w:hAnsi="仿宋_GB2312" w:eastAsia="仿宋_GB2312" w:cs="仿宋_GB2312"/>
          <w:kern w:val="2"/>
        </w:rPr>
        <w:t>）服务半径</w:t>
      </w:r>
      <w:r>
        <w:rPr>
          <w:rFonts w:hint="eastAsia" w:ascii="Times New Roman" w:hAnsi="Times New Roman" w:eastAsia="仿宋_GB2312" w:cs="仿宋_GB2312"/>
          <w:kern w:val="2"/>
        </w:rPr>
        <w:t>2</w:t>
      </w:r>
      <w:r>
        <w:rPr>
          <w:rFonts w:hint="eastAsia" w:ascii="仿宋_GB2312" w:hAnsi="仿宋_GB2312" w:eastAsia="仿宋_GB2312" w:cs="仿宋_GB2312"/>
          <w:kern w:val="2"/>
        </w:rPr>
        <w:t>.</w:t>
      </w:r>
      <w:r>
        <w:rPr>
          <w:rFonts w:hint="eastAsia" w:ascii="Times New Roman" w:hAnsi="Times New Roman" w:eastAsia="仿宋_GB2312" w:cs="仿宋_GB2312"/>
          <w:kern w:val="2"/>
        </w:rPr>
        <w:t>5km</w:t>
      </w:r>
      <w:r>
        <w:rPr>
          <w:rFonts w:hint="eastAsia" w:ascii="仿宋_GB2312" w:hAnsi="仿宋_GB2312" w:eastAsia="仿宋_GB2312" w:cs="仿宋_GB2312"/>
          <w:kern w:val="2"/>
        </w:rPr>
        <w:t>以内，步行</w:t>
      </w:r>
      <w:r>
        <w:rPr>
          <w:rFonts w:hint="eastAsia" w:ascii="Times New Roman" w:hAnsi="Times New Roman" w:eastAsia="仿宋_GB2312" w:cs="仿宋_GB2312"/>
          <w:kern w:val="2"/>
        </w:rPr>
        <w:t>30min</w:t>
      </w:r>
      <w:r>
        <w:rPr>
          <w:rFonts w:hint="eastAsia" w:ascii="仿宋_GB2312" w:hAnsi="仿宋_GB2312" w:cs="仿宋_GB2312"/>
          <w:kern w:val="2"/>
          <w:lang w:eastAsia="zh-CN"/>
        </w:rPr>
        <w:t>—</w:t>
      </w:r>
      <w:r>
        <w:rPr>
          <w:rFonts w:hint="eastAsia" w:ascii="Times New Roman" w:hAnsi="Times New Roman" w:eastAsia="仿宋_GB2312" w:cs="仿宋_GB2312"/>
          <w:kern w:val="2"/>
        </w:rPr>
        <w:t>40min</w:t>
      </w:r>
      <w:r>
        <w:rPr>
          <w:rFonts w:hint="eastAsia" w:ascii="仿宋_GB2312" w:hAnsi="仿宋_GB2312" w:eastAsia="仿宋_GB2312" w:cs="仿宋_GB2312"/>
          <w:kern w:val="2"/>
        </w:rPr>
        <w:t>可达。</w:t>
      </w:r>
    </w:p>
    <w:p>
      <w:pPr>
        <w:keepNext w:val="0"/>
        <w:keepLines w:val="0"/>
        <w:pageBreakBefore w:val="0"/>
        <w:widowControl w:val="0"/>
        <w:kinsoku/>
        <w:wordWrap/>
        <w:overflowPunct/>
        <w:topLinePunct w:val="0"/>
        <w:autoSpaceDE/>
        <w:autoSpaceDN/>
        <w:bidi w:val="0"/>
        <w:adjustRightInd/>
        <w:snapToGrid/>
        <w:spacing w:line="570" w:lineRule="exact"/>
        <w:ind w:firstLine="562"/>
        <w:textAlignment w:val="auto"/>
        <w:rPr>
          <w:rFonts w:hint="eastAsia" w:ascii="仿宋_GB2312" w:hAnsi="仿宋_GB2312" w:eastAsia="仿宋_GB2312" w:cs="仿宋_GB2312"/>
          <w:kern w:val="2"/>
        </w:rPr>
      </w:pPr>
      <w:r>
        <w:rPr>
          <w:rFonts w:hint="eastAsia" w:ascii="仿宋_GB2312" w:hAnsi="仿宋_GB2312" w:eastAsia="仿宋_GB2312" w:cs="仿宋_GB2312"/>
          <w:b/>
          <w:bCs/>
          <w:kern w:val="2"/>
        </w:rPr>
        <w:t>（</w:t>
      </w:r>
      <w:r>
        <w:rPr>
          <w:rFonts w:hint="eastAsia" w:ascii="Times New Roman" w:hAnsi="Times New Roman" w:eastAsia="仿宋_GB2312" w:cs="仿宋_GB2312"/>
          <w:b/>
          <w:bCs/>
          <w:kern w:val="2"/>
        </w:rPr>
        <w:t>3</w:t>
      </w:r>
      <w:r>
        <w:rPr>
          <w:rFonts w:hint="eastAsia" w:ascii="仿宋_GB2312" w:hAnsi="仿宋_GB2312" w:eastAsia="仿宋_GB2312" w:cs="仿宋_GB2312"/>
          <w:b/>
          <w:bCs/>
          <w:kern w:val="2"/>
        </w:rPr>
        <w:t>）长期（含中心）避护场所</w:t>
      </w:r>
      <w:r>
        <w:rPr>
          <w:rFonts w:hint="eastAsia" w:ascii="仿宋_GB2312" w:hAnsi="仿宋_GB2312" w:eastAsia="仿宋_GB2312" w:cs="仿宋_GB2312"/>
          <w:kern w:val="2"/>
        </w:rPr>
        <w:t>：用于向服务半径内应急避护人员提供紧急避险和长时间避护安置及集中救助，并具备符合应急避护功能配置要求的应急设施设备和物资的避护场所，主要适用于地震灾害、地质灾害、洪涝灾害、低温冷冻与雪灾、森林草原火灾、城乡火灾、生态环境事件、公共卫生事件及空袭事件等避护种类，宜符合下列要求。</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w:t>
      </w:r>
      <w:r>
        <w:rPr>
          <w:rFonts w:hint="eastAsia" w:ascii="仿宋_GB2312" w:hAnsi="仿宋_GB2312" w:eastAsia="仿宋_GB2312" w:cs="仿宋_GB2312"/>
          <w:kern w:val="2"/>
        </w:rPr>
        <w:t>）避护时长</w:t>
      </w:r>
      <w:r>
        <w:rPr>
          <w:rFonts w:hint="eastAsia" w:ascii="Times New Roman" w:hAnsi="Times New Roman" w:eastAsia="仿宋_GB2312" w:cs="仿宋_GB2312"/>
          <w:kern w:val="2"/>
        </w:rPr>
        <w:t>15</w:t>
      </w:r>
      <w:r>
        <w:rPr>
          <w:rFonts w:hint="eastAsia" w:ascii="仿宋_GB2312" w:hAnsi="仿宋_GB2312" w:eastAsia="仿宋_GB2312" w:cs="仿宋_GB2312"/>
          <w:kern w:val="2"/>
        </w:rPr>
        <w:t>天及以上，不超过</w:t>
      </w:r>
      <w:r>
        <w:rPr>
          <w:rFonts w:hint="eastAsia" w:ascii="Times New Roman" w:hAnsi="Times New Roman" w:eastAsia="仿宋_GB2312" w:cs="仿宋_GB2312"/>
          <w:kern w:val="2"/>
        </w:rPr>
        <w:t>180</w:t>
      </w:r>
      <w:r>
        <w:rPr>
          <w:rFonts w:hint="eastAsia" w:ascii="仿宋_GB2312" w:hAnsi="仿宋_GB2312" w:eastAsia="仿宋_GB2312" w:cs="仿宋_GB2312"/>
          <w:kern w:val="2"/>
        </w:rPr>
        <w:t>天。</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2</w:t>
      </w:r>
      <w:r>
        <w:rPr>
          <w:rFonts w:hint="eastAsia" w:ascii="仿宋_GB2312" w:hAnsi="仿宋_GB2312" w:eastAsia="仿宋_GB2312" w:cs="仿宋_GB2312"/>
          <w:kern w:val="2"/>
        </w:rPr>
        <w:t>）人均有效避护面积：室内型长期避护场所不小于</w:t>
      </w:r>
      <w:r>
        <w:rPr>
          <w:rFonts w:hint="eastAsia" w:ascii="Times New Roman" w:hAnsi="Times New Roman" w:eastAsia="仿宋_GB2312" w:cs="仿宋_GB2312"/>
          <w:kern w:val="2"/>
        </w:rPr>
        <w:t>3</w:t>
      </w:r>
      <w:r>
        <w:rPr>
          <w:rFonts w:hint="eastAsia" w:ascii="仿宋_GB2312" w:hAnsi="仿宋_GB2312" w:eastAsia="仿宋_GB2312" w:cs="仿宋_GB2312"/>
          <w:kern w:val="2"/>
        </w:rPr>
        <w:t>.</w:t>
      </w:r>
      <w:r>
        <w:rPr>
          <w:rFonts w:hint="eastAsia" w:ascii="Times New Roman" w:hAnsi="Times New Roman" w:eastAsia="仿宋_GB2312" w:cs="仿宋_GB2312"/>
          <w:kern w:val="2"/>
        </w:rPr>
        <w:t>0m</w:t>
      </w:r>
      <w:r>
        <w:rPr>
          <w:rFonts w:hint="eastAsia" w:ascii="Times New Roman" w:hAnsi="Times New Roman" w:eastAsia="仿宋_GB2312" w:cs="仿宋_GB2312"/>
          <w:kern w:val="2"/>
          <w:vertAlign w:val="superscript"/>
        </w:rPr>
        <w:t>2</w:t>
      </w:r>
      <w:r>
        <w:rPr>
          <w:rFonts w:hint="eastAsia" w:ascii="仿宋_GB2312" w:hAnsi="仿宋_GB2312" w:eastAsia="仿宋_GB2312" w:cs="仿宋_GB2312"/>
          <w:kern w:val="2"/>
        </w:rPr>
        <w:t>，室外型长期避护场所不小于</w:t>
      </w:r>
      <w:r>
        <w:rPr>
          <w:rFonts w:hint="eastAsia" w:ascii="Times New Roman" w:hAnsi="Times New Roman" w:eastAsia="仿宋_GB2312" w:cs="仿宋_GB2312"/>
          <w:kern w:val="2"/>
        </w:rPr>
        <w:t>2</w:t>
      </w:r>
      <w:r>
        <w:rPr>
          <w:rFonts w:hint="eastAsia" w:ascii="仿宋_GB2312" w:hAnsi="仿宋_GB2312" w:eastAsia="仿宋_GB2312" w:cs="仿宋_GB2312"/>
          <w:kern w:val="2"/>
        </w:rPr>
        <w:t>.</w:t>
      </w:r>
      <w:r>
        <w:rPr>
          <w:rFonts w:hint="eastAsia" w:ascii="Times New Roman" w:hAnsi="Times New Roman" w:eastAsia="仿宋_GB2312" w:cs="仿宋_GB2312"/>
          <w:kern w:val="2"/>
        </w:rPr>
        <w:t>5m</w:t>
      </w:r>
      <w:r>
        <w:rPr>
          <w:rFonts w:hint="eastAsia" w:ascii="Times New Roman" w:hAnsi="Times New Roman" w:eastAsia="仿宋_GB2312" w:cs="仿宋_GB2312"/>
          <w:kern w:val="2"/>
          <w:vertAlign w:val="superscript"/>
        </w:rPr>
        <w:t>2</w:t>
      </w:r>
      <w:r>
        <w:rPr>
          <w:rFonts w:hint="eastAsia" w:ascii="仿宋_GB2312" w:hAnsi="仿宋_GB2312" w:eastAsia="仿宋_GB2312" w:cs="仿宋_GB2312"/>
          <w:kern w:val="2"/>
        </w:rPr>
        <w:t>。</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3</w:t>
      </w:r>
      <w:r>
        <w:rPr>
          <w:rFonts w:hint="eastAsia" w:ascii="仿宋_GB2312" w:hAnsi="仿宋_GB2312" w:eastAsia="仿宋_GB2312" w:cs="仿宋_GB2312"/>
          <w:kern w:val="2"/>
        </w:rPr>
        <w:t>）服务半径</w:t>
      </w:r>
      <w:r>
        <w:rPr>
          <w:rFonts w:hint="eastAsia" w:ascii="Times New Roman" w:hAnsi="Times New Roman" w:eastAsia="仿宋_GB2312" w:cs="仿宋_GB2312"/>
          <w:kern w:val="2"/>
        </w:rPr>
        <w:t>5km</w:t>
      </w:r>
      <w:r>
        <w:rPr>
          <w:rFonts w:hint="eastAsia" w:ascii="仿宋_GB2312" w:hAnsi="仿宋_GB2312" w:eastAsia="仿宋_GB2312" w:cs="仿宋_GB2312"/>
          <w:kern w:val="2"/>
        </w:rPr>
        <w:t>以内，步行</w:t>
      </w:r>
      <w:r>
        <w:rPr>
          <w:rFonts w:hint="eastAsia" w:ascii="Times New Roman" w:hAnsi="Times New Roman" w:eastAsia="仿宋_GB2312" w:cs="仿宋_GB2312"/>
          <w:kern w:val="2"/>
        </w:rPr>
        <w:t>70min</w:t>
      </w:r>
      <w:r>
        <w:rPr>
          <w:rFonts w:hint="eastAsia" w:ascii="仿宋_GB2312" w:hAnsi="仿宋_GB2312" w:cs="仿宋_GB2312"/>
          <w:kern w:val="2"/>
          <w:lang w:eastAsia="zh-CN"/>
        </w:rPr>
        <w:t>—</w:t>
      </w:r>
      <w:r>
        <w:rPr>
          <w:rFonts w:hint="eastAsia" w:ascii="Times New Roman" w:hAnsi="Times New Roman" w:eastAsia="仿宋_GB2312" w:cs="仿宋_GB2312"/>
          <w:kern w:val="2"/>
        </w:rPr>
        <w:t>90min</w:t>
      </w:r>
      <w:r>
        <w:rPr>
          <w:rFonts w:hint="eastAsia" w:ascii="仿宋_GB2312" w:hAnsi="仿宋_GB2312" w:eastAsia="仿宋_GB2312" w:cs="仿宋_GB2312"/>
          <w:kern w:val="2"/>
        </w:rPr>
        <w:t>可达。</w:t>
      </w:r>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pPr>
    </w:p>
    <w:p>
      <w:pPr>
        <w:pStyle w:val="3"/>
        <w:keepNext w:val="0"/>
        <w:keepLines w:val="0"/>
        <w:pageBreakBefore w:val="0"/>
        <w:widowControl w:val="0"/>
        <w:kinsoku/>
        <w:wordWrap/>
        <w:overflowPunct/>
        <w:topLinePunct w:val="0"/>
        <w:autoSpaceDE/>
        <w:autoSpaceDN/>
        <w:bidi w:val="0"/>
        <w:adjustRightInd/>
        <w:snapToGrid/>
        <w:spacing w:before="0" w:after="0" w:line="570" w:lineRule="exact"/>
        <w:textAlignment w:val="auto"/>
        <w:rPr>
          <w:rFonts w:cs="Times New Roman"/>
          <w:kern w:val="2"/>
        </w:rPr>
      </w:pPr>
      <w:bookmarkStart w:id="28" w:name="_Toc215490485"/>
      <w:r>
        <w:rPr>
          <w:rFonts w:cs="Times New Roman"/>
          <w:kern w:val="2"/>
        </w:rPr>
        <w:t>第四章  应急避护场所布局规划</w:t>
      </w:r>
      <w:bookmarkEnd w:id="28"/>
    </w:p>
    <w:p>
      <w:pPr>
        <w:keepNext w:val="0"/>
        <w:keepLines w:val="0"/>
        <w:pageBreakBefore w:val="0"/>
        <w:widowControl w:val="0"/>
        <w:kinsoku/>
        <w:wordWrap/>
        <w:overflowPunct/>
        <w:topLinePunct w:val="0"/>
        <w:autoSpaceDE/>
        <w:autoSpaceDN/>
        <w:bidi w:val="0"/>
        <w:adjustRightInd/>
        <w:snapToGrid/>
        <w:spacing w:line="570" w:lineRule="exact"/>
        <w:textAlignment w:val="auto"/>
      </w:pP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29" w:name="OLE_LINK3"/>
      <w:bookmarkStart w:id="30" w:name="_Toc215490486"/>
      <w:r>
        <w:rPr>
          <w:rFonts w:cs="Times New Roman"/>
          <w:kern w:val="2"/>
        </w:rPr>
        <w:t>第</w:t>
      </w:r>
      <w:bookmarkStart w:id="31" w:name="OLE_LINK7"/>
      <w:r>
        <w:rPr>
          <w:rFonts w:cs="Times New Roman"/>
          <w:kern w:val="2"/>
        </w:rPr>
        <w:t xml:space="preserve">十四条 </w:t>
      </w:r>
      <w:bookmarkEnd w:id="29"/>
      <w:bookmarkEnd w:id="31"/>
      <w:r>
        <w:rPr>
          <w:rFonts w:hint="eastAsia" w:cs="Times New Roman"/>
          <w:kern w:val="2"/>
          <w:lang w:val="en-US" w:eastAsia="zh-CN"/>
        </w:rPr>
        <w:t xml:space="preserve"> </w:t>
      </w:r>
      <w:r>
        <w:rPr>
          <w:rFonts w:cs="Times New Roman"/>
          <w:kern w:val="2"/>
        </w:rPr>
        <w:t>规划布局原则</w:t>
      </w:r>
      <w:bookmarkEnd w:id="30"/>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w:t>
      </w:r>
      <w:r>
        <w:rPr>
          <w:rFonts w:hint="eastAsia" w:ascii="仿宋_GB2312" w:hAnsi="仿宋_GB2312" w:eastAsia="仿宋_GB2312" w:cs="仿宋_GB2312"/>
          <w:kern w:val="2"/>
        </w:rPr>
        <w:t>.安全第一：避护场所选址应符合安全性要求，避让地震断裂带、地质灾害隐患点及其危险区和洪涝灾害危险区，远离行洪区、水库泄洪区、山洪威胁区，以及高压线走廊、油气管道、危化品仓储区、大型化工园区、尾矿库、易燃易爆或核放射物储放地等影响范围和建（构）筑物垮塌范围。</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2</w:t>
      </w:r>
      <w:r>
        <w:rPr>
          <w:rFonts w:hint="eastAsia" w:ascii="仿宋_GB2312" w:hAnsi="仿宋_GB2312" w:eastAsia="仿宋_GB2312" w:cs="仿宋_GB2312"/>
          <w:kern w:val="2"/>
        </w:rPr>
        <w:t>.均衡布局：</w:t>
      </w:r>
      <w:bookmarkStart w:id="32" w:name="OLE_LINK10"/>
      <w:r>
        <w:rPr>
          <w:rFonts w:hint="eastAsia" w:ascii="仿宋_GB2312" w:hAnsi="仿宋_GB2312" w:eastAsia="仿宋_GB2312" w:cs="仿宋_GB2312"/>
          <w:kern w:val="2"/>
        </w:rPr>
        <w:t>避护场所布局应符合国土空间规划，满足总量够用、既有尽用，避开应急避护服务重叠区，最大限度覆盖服务盲区。</w:t>
      </w:r>
      <w:bookmarkEnd w:id="32"/>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3</w:t>
      </w:r>
      <w:r>
        <w:rPr>
          <w:rFonts w:hint="eastAsia" w:ascii="仿宋_GB2312" w:hAnsi="仿宋_GB2312" w:eastAsia="仿宋_GB2312" w:cs="仿宋_GB2312"/>
          <w:kern w:val="2"/>
        </w:rPr>
        <w:t>.易于通达：</w:t>
      </w:r>
      <w:bookmarkStart w:id="33" w:name="_Hlk213769399"/>
      <w:r>
        <w:rPr>
          <w:rFonts w:hint="eastAsia" w:ascii="仿宋_GB2312" w:hAnsi="仿宋_GB2312" w:eastAsia="仿宋_GB2312" w:cs="仿宋_GB2312"/>
          <w:kern w:val="2"/>
        </w:rPr>
        <w:t>避护场所选址应符合便捷性要求，场地周边交通便捷，有利于避护人员前往，以及车辆、设施设备和物资运送。避护场所选址应便于接入市政基础设施，具备供电、供水及排污等能力。</w:t>
      </w:r>
    </w:p>
    <w:bookmarkEnd w:id="33"/>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4</w:t>
      </w:r>
      <w:r>
        <w:rPr>
          <w:rFonts w:hint="eastAsia" w:ascii="仿宋_GB2312" w:hAnsi="仿宋_GB2312" w:eastAsia="仿宋_GB2312" w:cs="仿宋_GB2312"/>
          <w:kern w:val="2"/>
        </w:rPr>
        <w:t>.便于管理：</w:t>
      </w:r>
      <w:bookmarkStart w:id="34" w:name="OLE_LINK11"/>
      <w:r>
        <w:rPr>
          <w:rFonts w:hint="eastAsia" w:ascii="仿宋_GB2312" w:hAnsi="仿宋_GB2312" w:eastAsia="仿宋_GB2312" w:cs="仿宋_GB2312"/>
          <w:kern w:val="2"/>
        </w:rPr>
        <w:t>应急避护场所均优先选择公园绿地、广场、体育场馆、福利设施、文化设施、学校等政府及其所属部门管理的公共设施资源。</w:t>
      </w:r>
      <w:bookmarkEnd w:id="34"/>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35" w:name="_Toc215490487"/>
      <w:r>
        <w:rPr>
          <w:rFonts w:cs="Times New Roman"/>
          <w:kern w:val="2"/>
        </w:rPr>
        <w:t>第十五条</w:t>
      </w:r>
      <w:r>
        <w:rPr>
          <w:rFonts w:hint="eastAsia" w:cs="Times New Roman"/>
          <w:kern w:val="2"/>
          <w:lang w:val="en-US" w:eastAsia="zh-CN"/>
        </w:rPr>
        <w:t xml:space="preserve"> </w:t>
      </w:r>
      <w:r>
        <w:rPr>
          <w:rFonts w:cs="Times New Roman"/>
          <w:kern w:val="2"/>
        </w:rPr>
        <w:t xml:space="preserve"> 应急避护场所总体布局</w:t>
      </w:r>
      <w:bookmarkEnd w:id="35"/>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bookmarkStart w:id="36" w:name="_Hlk213782458"/>
      <w:r>
        <w:rPr>
          <w:rFonts w:hint="eastAsia" w:ascii="仿宋_GB2312" w:hAnsi="仿宋_GB2312" w:eastAsia="仿宋_GB2312" w:cs="仿宋_GB2312"/>
          <w:kern w:val="2"/>
        </w:rPr>
        <w:t>本次规划共布局</w:t>
      </w:r>
      <w:r>
        <w:rPr>
          <w:rFonts w:hint="eastAsia" w:ascii="Times New Roman" w:hAnsi="Times New Roman" w:eastAsia="仿宋_GB2312" w:cs="仿宋_GB2312"/>
          <w:kern w:val="2"/>
        </w:rPr>
        <w:t>398</w:t>
      </w:r>
      <w:r>
        <w:rPr>
          <w:rFonts w:hint="eastAsia" w:ascii="仿宋_GB2312" w:hAnsi="仿宋_GB2312" w:eastAsia="仿宋_GB2312" w:cs="仿宋_GB2312"/>
          <w:kern w:val="2"/>
        </w:rPr>
        <w:t>处应急避护场所（详见表</w:t>
      </w:r>
      <w:r>
        <w:rPr>
          <w:rFonts w:hint="eastAsia" w:ascii="Times New Roman" w:hAnsi="Times New Roman" w:eastAsia="仿宋_GB2312" w:cs="仿宋_GB2312"/>
          <w:kern w:val="2"/>
        </w:rPr>
        <w:t>1</w:t>
      </w:r>
      <w:r>
        <w:rPr>
          <w:rFonts w:hint="eastAsia" w:ascii="仿宋_GB2312" w:hAnsi="仿宋_GB2312" w:eastAsia="仿宋_GB2312" w:cs="仿宋_GB2312"/>
          <w:kern w:val="2"/>
        </w:rPr>
        <w:t>），长期避护场所</w:t>
      </w:r>
      <w:r>
        <w:rPr>
          <w:rFonts w:hint="eastAsia" w:ascii="Times New Roman" w:hAnsi="Times New Roman" w:eastAsia="仿宋_GB2312" w:cs="仿宋_GB2312"/>
          <w:kern w:val="2"/>
        </w:rPr>
        <w:t>76</w:t>
      </w:r>
      <w:r>
        <w:rPr>
          <w:rFonts w:hint="eastAsia" w:ascii="仿宋_GB2312" w:hAnsi="仿宋_GB2312" w:eastAsia="仿宋_GB2312" w:cs="仿宋_GB2312"/>
          <w:kern w:val="2"/>
        </w:rPr>
        <w:t>处（包括</w:t>
      </w:r>
      <w:r>
        <w:rPr>
          <w:rFonts w:hint="eastAsia" w:ascii="Times New Roman" w:hAnsi="Times New Roman" w:eastAsia="仿宋_GB2312" w:cs="仿宋_GB2312"/>
          <w:kern w:val="2"/>
        </w:rPr>
        <w:t>2</w:t>
      </w:r>
      <w:r>
        <w:rPr>
          <w:rFonts w:hint="eastAsia" w:ascii="仿宋_GB2312" w:hAnsi="仿宋_GB2312" w:eastAsia="仿宋_GB2312" w:cs="仿宋_GB2312"/>
          <w:kern w:val="2"/>
        </w:rPr>
        <w:t>处中心避护场所），短期避护场所</w:t>
      </w:r>
      <w:r>
        <w:rPr>
          <w:rFonts w:hint="eastAsia" w:ascii="Times New Roman" w:hAnsi="Times New Roman" w:eastAsia="仿宋_GB2312" w:cs="仿宋_GB2312"/>
          <w:kern w:val="2"/>
        </w:rPr>
        <w:t>39</w:t>
      </w:r>
      <w:r>
        <w:rPr>
          <w:rFonts w:hint="eastAsia" w:ascii="仿宋_GB2312" w:hAnsi="仿宋_GB2312" w:eastAsia="仿宋_GB2312" w:cs="仿宋_GB2312"/>
          <w:kern w:val="2"/>
        </w:rPr>
        <w:t>处，紧急避护场所</w:t>
      </w:r>
      <w:r>
        <w:rPr>
          <w:rFonts w:hint="eastAsia" w:ascii="Times New Roman" w:hAnsi="Times New Roman" w:eastAsia="仿宋_GB2312" w:cs="仿宋_GB2312"/>
          <w:kern w:val="2"/>
        </w:rPr>
        <w:t>283</w:t>
      </w:r>
      <w:r>
        <w:rPr>
          <w:rFonts w:hint="eastAsia" w:ascii="仿宋_GB2312" w:hAnsi="仿宋_GB2312" w:eastAsia="仿宋_GB2312" w:cs="仿宋_GB2312"/>
          <w:kern w:val="2"/>
        </w:rPr>
        <w:t>处，总用地面积</w:t>
      </w:r>
      <w:r>
        <w:rPr>
          <w:rFonts w:hint="eastAsia" w:ascii="Times New Roman" w:hAnsi="Times New Roman" w:eastAsia="仿宋_GB2312" w:cs="仿宋_GB2312"/>
          <w:kern w:val="2"/>
        </w:rPr>
        <w:t>743</w:t>
      </w:r>
      <w:r>
        <w:rPr>
          <w:rFonts w:hint="eastAsia" w:ascii="仿宋_GB2312" w:hAnsi="仿宋_GB2312" w:eastAsia="仿宋_GB2312" w:cs="仿宋_GB2312"/>
          <w:kern w:val="2"/>
        </w:rPr>
        <w:t>.</w:t>
      </w:r>
      <w:r>
        <w:rPr>
          <w:rFonts w:hint="eastAsia" w:ascii="Times New Roman" w:hAnsi="Times New Roman" w:eastAsia="仿宋_GB2312" w:cs="仿宋_GB2312"/>
          <w:kern w:val="2"/>
        </w:rPr>
        <w:t>83</w:t>
      </w:r>
      <w:r>
        <w:rPr>
          <w:rFonts w:hint="eastAsia" w:ascii="仿宋_GB2312" w:hAnsi="仿宋_GB2312" w:eastAsia="仿宋_GB2312" w:cs="仿宋_GB2312"/>
          <w:kern w:val="2"/>
        </w:rPr>
        <w:t>公顷，有效避护面积</w:t>
      </w:r>
      <w:r>
        <w:rPr>
          <w:rFonts w:hint="eastAsia" w:ascii="Times New Roman" w:hAnsi="Times New Roman" w:eastAsia="仿宋_GB2312" w:cs="仿宋_GB2312"/>
          <w:kern w:val="2"/>
        </w:rPr>
        <w:t>425</w:t>
      </w:r>
      <w:r>
        <w:rPr>
          <w:rFonts w:hint="eastAsia" w:ascii="仿宋_GB2312" w:hAnsi="仿宋_GB2312" w:eastAsia="仿宋_GB2312" w:cs="仿宋_GB2312"/>
          <w:kern w:val="2"/>
        </w:rPr>
        <w:t>.</w:t>
      </w:r>
      <w:r>
        <w:rPr>
          <w:rFonts w:hint="eastAsia" w:ascii="Times New Roman" w:hAnsi="Times New Roman" w:eastAsia="仿宋_GB2312" w:cs="仿宋_GB2312"/>
          <w:kern w:val="2"/>
        </w:rPr>
        <w:t>29</w:t>
      </w:r>
      <w:r>
        <w:rPr>
          <w:rFonts w:hint="eastAsia" w:ascii="仿宋_GB2312" w:hAnsi="仿宋_GB2312" w:eastAsia="仿宋_GB2312" w:cs="仿宋_GB2312"/>
          <w:kern w:val="2"/>
        </w:rPr>
        <w:t>万平方米。</w:t>
      </w:r>
    </w:p>
    <w:bookmarkEnd w:id="36"/>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bookmarkStart w:id="37" w:name="_Hlk213782472"/>
      <w:r>
        <w:rPr>
          <w:rFonts w:hint="eastAsia" w:ascii="仿宋_GB2312" w:hAnsi="仿宋_GB2312" w:eastAsia="仿宋_GB2312" w:cs="仿宋_GB2312"/>
          <w:kern w:val="2"/>
        </w:rPr>
        <w:t>其中现状保留</w:t>
      </w:r>
      <w:r>
        <w:rPr>
          <w:rFonts w:hint="eastAsia" w:ascii="Times New Roman" w:hAnsi="Times New Roman" w:eastAsia="仿宋_GB2312" w:cs="仿宋_GB2312"/>
          <w:kern w:val="2"/>
        </w:rPr>
        <w:t>300</w:t>
      </w:r>
      <w:r>
        <w:rPr>
          <w:rFonts w:hint="eastAsia" w:ascii="仿宋_GB2312" w:hAnsi="仿宋_GB2312" w:eastAsia="仿宋_GB2312" w:cs="仿宋_GB2312"/>
          <w:kern w:val="2"/>
        </w:rPr>
        <w:t>处，规划新增</w:t>
      </w:r>
      <w:r>
        <w:rPr>
          <w:rFonts w:hint="eastAsia" w:ascii="Times New Roman" w:hAnsi="Times New Roman" w:eastAsia="仿宋_GB2312" w:cs="仿宋_GB2312"/>
          <w:kern w:val="2"/>
        </w:rPr>
        <w:t>98</w:t>
      </w:r>
      <w:r>
        <w:rPr>
          <w:rFonts w:hint="eastAsia" w:ascii="仿宋_GB2312" w:hAnsi="仿宋_GB2312" w:eastAsia="仿宋_GB2312" w:cs="仿宋_GB2312"/>
          <w:kern w:val="2"/>
        </w:rPr>
        <w:t>处（其中已建用地上新增</w:t>
      </w:r>
      <w:r>
        <w:rPr>
          <w:rFonts w:hint="eastAsia" w:ascii="Times New Roman" w:hAnsi="Times New Roman" w:eastAsia="仿宋_GB2312" w:cs="仿宋_GB2312"/>
          <w:kern w:val="2"/>
        </w:rPr>
        <w:t>95</w:t>
      </w:r>
      <w:r>
        <w:rPr>
          <w:rFonts w:hint="eastAsia" w:ascii="仿宋_GB2312" w:hAnsi="仿宋_GB2312" w:eastAsia="仿宋_GB2312" w:cs="仿宋_GB2312"/>
          <w:kern w:val="2"/>
        </w:rPr>
        <w:t>处，规划用地上新增</w:t>
      </w:r>
      <w:r>
        <w:rPr>
          <w:rFonts w:hint="eastAsia" w:ascii="Times New Roman" w:hAnsi="Times New Roman" w:eastAsia="仿宋_GB2312" w:cs="仿宋_GB2312"/>
          <w:kern w:val="2"/>
        </w:rPr>
        <w:t>3</w:t>
      </w:r>
      <w:r>
        <w:rPr>
          <w:rFonts w:hint="eastAsia" w:ascii="仿宋_GB2312" w:hAnsi="仿宋_GB2312" w:eastAsia="仿宋_GB2312" w:cs="仿宋_GB2312"/>
          <w:kern w:val="2"/>
        </w:rPr>
        <w:t>处）</w:t>
      </w:r>
      <w:bookmarkEnd w:id="37"/>
      <w:r>
        <w:rPr>
          <w:rFonts w:hint="eastAsia" w:ascii="仿宋_GB2312" w:hAnsi="仿宋_GB2312" w:eastAsia="仿宋_GB2312" w:cs="仿宋_GB2312"/>
          <w:kern w:val="2"/>
        </w:rPr>
        <w:t>。</w:t>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rPr>
          <w:rFonts w:hint="eastAsia" w:ascii="黑体" w:hAnsi="黑体" w:eastAsia="黑体" w:cs="黑体"/>
        </w:rPr>
      </w:pPr>
      <w:bookmarkStart w:id="38" w:name="OLE_LINK97"/>
      <w:r>
        <w:rPr>
          <w:rFonts w:hint="eastAsia" w:ascii="黑体" w:hAnsi="黑体" w:eastAsia="黑体" w:cs="黑体"/>
        </w:rPr>
        <w:t>表</w:t>
      </w:r>
      <w:r>
        <w:rPr>
          <w:rFonts w:hint="eastAsia" w:ascii="Times New Roman" w:hAnsi="Times New Roman" w:eastAsia="黑体" w:cs="黑体"/>
        </w:rPr>
        <w:t>1</w:t>
      </w:r>
      <w:bookmarkStart w:id="39" w:name="_Hlk213782743"/>
      <w:r>
        <w:rPr>
          <w:rFonts w:hint="eastAsia" w:ascii="黑体" w:hAnsi="黑体" w:eastAsia="黑体" w:cs="黑体"/>
        </w:rPr>
        <w:t>应急避护场所规划一览表</w:t>
      </w:r>
      <w:bookmarkEnd w:id="39"/>
    </w:p>
    <w:tbl>
      <w:tblPr>
        <w:tblStyle w:val="149"/>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1275"/>
        <w:gridCol w:w="888"/>
        <w:gridCol w:w="915"/>
        <w:gridCol w:w="1047"/>
        <w:gridCol w:w="1563"/>
        <w:gridCol w:w="2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blHeader/>
          <w:jc w:val="center"/>
        </w:trPr>
        <w:tc>
          <w:tcPr>
            <w:tcW w:w="1055" w:type="dxa"/>
            <w:shd w:val="clear" w:color="auto" w:fill="E7E6E6" w:themeFill="background2"/>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bookmarkStart w:id="40" w:name="OLE_LINK93"/>
            <w:r>
              <w:rPr>
                <w:rFonts w:hint="eastAsia" w:ascii="黑体" w:hAnsi="黑体" w:eastAsia="黑体" w:cs="黑体"/>
                <w:b w:val="0"/>
                <w:bCs w:val="0"/>
                <w:sz w:val="24"/>
                <w:szCs w:val="24"/>
              </w:rPr>
              <w:t>镇（街）</w:t>
            </w:r>
          </w:p>
        </w:tc>
        <w:tc>
          <w:tcPr>
            <w:tcW w:w="1275" w:type="dxa"/>
            <w:shd w:val="clear" w:color="auto" w:fill="E7E6E6" w:themeFill="background2"/>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场所数量（处）</w:t>
            </w:r>
          </w:p>
        </w:tc>
        <w:tc>
          <w:tcPr>
            <w:tcW w:w="888" w:type="dxa"/>
            <w:shd w:val="clear" w:color="auto" w:fill="E7E6E6" w:themeFill="background2"/>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长期（处）</w:t>
            </w:r>
          </w:p>
        </w:tc>
        <w:tc>
          <w:tcPr>
            <w:tcW w:w="915" w:type="dxa"/>
            <w:shd w:val="clear" w:color="auto" w:fill="E7E6E6" w:themeFill="background2"/>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短期（处）</w:t>
            </w:r>
          </w:p>
        </w:tc>
        <w:tc>
          <w:tcPr>
            <w:tcW w:w="1047" w:type="dxa"/>
            <w:shd w:val="clear" w:color="auto" w:fill="E7E6E6" w:themeFill="background2"/>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紧急</w:t>
            </w:r>
          </w:p>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（处）</w:t>
            </w:r>
          </w:p>
        </w:tc>
        <w:tc>
          <w:tcPr>
            <w:tcW w:w="1563" w:type="dxa"/>
            <w:shd w:val="clear" w:color="auto" w:fill="E7E6E6" w:themeFill="background2"/>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用地面积</w:t>
            </w:r>
          </w:p>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（公顷）</w:t>
            </w:r>
          </w:p>
        </w:tc>
        <w:tc>
          <w:tcPr>
            <w:tcW w:w="2091" w:type="dxa"/>
            <w:shd w:val="clear" w:color="auto" w:fill="E7E6E6" w:themeFill="background2"/>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有效避护面积</w:t>
            </w:r>
          </w:p>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（万平方米）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5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宋体" w:hAnsi="宋体" w:eastAsia="宋体" w:cs="宋体"/>
                <w:sz w:val="24"/>
                <w:szCs w:val="24"/>
              </w:rPr>
              <w:t>荔城街</w:t>
            </w:r>
          </w:p>
        </w:tc>
        <w:tc>
          <w:tcPr>
            <w:tcW w:w="127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25</w:t>
            </w:r>
          </w:p>
        </w:tc>
        <w:tc>
          <w:tcPr>
            <w:tcW w:w="888"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7</w:t>
            </w:r>
          </w:p>
        </w:tc>
        <w:tc>
          <w:tcPr>
            <w:tcW w:w="91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4</w:t>
            </w:r>
          </w:p>
        </w:tc>
        <w:tc>
          <w:tcPr>
            <w:tcW w:w="1047"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14</w:t>
            </w:r>
          </w:p>
        </w:tc>
        <w:tc>
          <w:tcPr>
            <w:tcW w:w="1563"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67</w:t>
            </w:r>
            <w:r>
              <w:rPr>
                <w:rFonts w:hint="eastAsia" w:ascii="宋体" w:hAnsi="宋体" w:eastAsia="宋体" w:cs="宋体"/>
                <w:sz w:val="24"/>
                <w:szCs w:val="24"/>
              </w:rPr>
              <w:t>.</w:t>
            </w:r>
            <w:r>
              <w:rPr>
                <w:rFonts w:hint="eastAsia" w:ascii="Times New Roman" w:hAnsi="Times New Roman" w:eastAsia="宋体" w:cs="宋体"/>
                <w:sz w:val="24"/>
                <w:szCs w:val="24"/>
              </w:rPr>
              <w:t>77</w:t>
            </w:r>
          </w:p>
        </w:tc>
        <w:tc>
          <w:tcPr>
            <w:tcW w:w="2091"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48</w:t>
            </w:r>
            <w:r>
              <w:rPr>
                <w:rFonts w:hint="eastAsia" w:ascii="宋体" w:hAnsi="宋体" w:eastAsia="宋体" w:cs="宋体"/>
                <w:sz w:val="24"/>
                <w:szCs w:val="24"/>
              </w:rPr>
              <w:t>.</w:t>
            </w:r>
            <w:r>
              <w:rPr>
                <w:rFonts w:hint="eastAsia" w:ascii="Times New Roman" w:hAnsi="Times New Roman" w:eastAsia="宋体" w:cs="宋体"/>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05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宋体" w:hAnsi="宋体" w:eastAsia="宋体" w:cs="宋体"/>
                <w:sz w:val="24"/>
                <w:szCs w:val="24"/>
              </w:rPr>
              <w:t>增江街</w:t>
            </w:r>
          </w:p>
        </w:tc>
        <w:tc>
          <w:tcPr>
            <w:tcW w:w="127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20</w:t>
            </w:r>
          </w:p>
        </w:tc>
        <w:tc>
          <w:tcPr>
            <w:tcW w:w="888"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7</w:t>
            </w:r>
          </w:p>
        </w:tc>
        <w:tc>
          <w:tcPr>
            <w:tcW w:w="91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1047"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11</w:t>
            </w:r>
          </w:p>
        </w:tc>
        <w:tc>
          <w:tcPr>
            <w:tcW w:w="1563"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108</w:t>
            </w:r>
            <w:r>
              <w:rPr>
                <w:rFonts w:hint="eastAsia" w:ascii="宋体" w:hAnsi="宋体" w:eastAsia="宋体" w:cs="宋体"/>
                <w:sz w:val="24"/>
                <w:szCs w:val="24"/>
              </w:rPr>
              <w:t>.</w:t>
            </w:r>
            <w:r>
              <w:rPr>
                <w:rFonts w:hint="eastAsia" w:ascii="Times New Roman" w:hAnsi="Times New Roman" w:eastAsia="宋体" w:cs="宋体"/>
                <w:sz w:val="24"/>
                <w:szCs w:val="24"/>
              </w:rPr>
              <w:t>33</w:t>
            </w:r>
          </w:p>
        </w:tc>
        <w:tc>
          <w:tcPr>
            <w:tcW w:w="2091"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43</w:t>
            </w:r>
            <w:r>
              <w:rPr>
                <w:rFonts w:hint="eastAsia" w:ascii="宋体" w:hAnsi="宋体" w:eastAsia="宋体" w:cs="宋体"/>
                <w:sz w:val="24"/>
                <w:szCs w:val="24"/>
              </w:rPr>
              <w:t>.</w:t>
            </w:r>
            <w:r>
              <w:rPr>
                <w:rFonts w:hint="eastAsia" w:ascii="Times New Roman" w:hAnsi="Times New Roman" w:eastAsia="宋体" w:cs="宋体"/>
                <w:sz w:val="24"/>
                <w:szCs w:val="24"/>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105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宋体" w:hAnsi="宋体" w:eastAsia="宋体" w:cs="宋体"/>
                <w:sz w:val="24"/>
                <w:szCs w:val="24"/>
              </w:rPr>
              <w:t>朱村街</w:t>
            </w:r>
          </w:p>
        </w:tc>
        <w:tc>
          <w:tcPr>
            <w:tcW w:w="127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19</w:t>
            </w:r>
          </w:p>
        </w:tc>
        <w:tc>
          <w:tcPr>
            <w:tcW w:w="888"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w:t>
            </w:r>
          </w:p>
        </w:tc>
        <w:tc>
          <w:tcPr>
            <w:tcW w:w="91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6</w:t>
            </w:r>
          </w:p>
        </w:tc>
        <w:tc>
          <w:tcPr>
            <w:tcW w:w="1047"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10</w:t>
            </w:r>
          </w:p>
        </w:tc>
        <w:tc>
          <w:tcPr>
            <w:tcW w:w="1563"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30</w:t>
            </w:r>
            <w:r>
              <w:rPr>
                <w:rFonts w:hint="eastAsia" w:ascii="宋体" w:hAnsi="宋体" w:eastAsia="宋体" w:cs="宋体"/>
                <w:sz w:val="24"/>
                <w:szCs w:val="24"/>
              </w:rPr>
              <w:t>.</w:t>
            </w:r>
            <w:r>
              <w:rPr>
                <w:rFonts w:hint="eastAsia" w:ascii="Times New Roman" w:hAnsi="Times New Roman" w:eastAsia="宋体" w:cs="宋体"/>
                <w:sz w:val="24"/>
                <w:szCs w:val="24"/>
              </w:rPr>
              <w:t>31</w:t>
            </w:r>
          </w:p>
        </w:tc>
        <w:tc>
          <w:tcPr>
            <w:tcW w:w="2091"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19</w:t>
            </w:r>
            <w:r>
              <w:rPr>
                <w:rFonts w:hint="eastAsia" w:ascii="宋体" w:hAnsi="宋体" w:eastAsia="宋体" w:cs="宋体"/>
                <w:sz w:val="24"/>
                <w:szCs w:val="24"/>
              </w:rPr>
              <w:t>.</w:t>
            </w:r>
            <w:r>
              <w:rPr>
                <w:rFonts w:hint="eastAsia" w:ascii="Times New Roman" w:hAnsi="Times New Roman" w:eastAsia="宋体" w:cs="宋体"/>
                <w:sz w:val="24"/>
                <w:szCs w:val="24"/>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105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宋体" w:hAnsi="宋体" w:eastAsia="宋体" w:cs="宋体"/>
                <w:sz w:val="24"/>
                <w:szCs w:val="24"/>
              </w:rPr>
              <w:t>永宁街</w:t>
            </w:r>
          </w:p>
        </w:tc>
        <w:tc>
          <w:tcPr>
            <w:tcW w:w="127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19</w:t>
            </w:r>
          </w:p>
        </w:tc>
        <w:tc>
          <w:tcPr>
            <w:tcW w:w="888"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9</w:t>
            </w:r>
          </w:p>
        </w:tc>
        <w:tc>
          <w:tcPr>
            <w:tcW w:w="91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w:t>
            </w:r>
          </w:p>
        </w:tc>
        <w:tc>
          <w:tcPr>
            <w:tcW w:w="1047"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9</w:t>
            </w:r>
          </w:p>
        </w:tc>
        <w:tc>
          <w:tcPr>
            <w:tcW w:w="1563"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49</w:t>
            </w:r>
            <w:r>
              <w:rPr>
                <w:rFonts w:hint="eastAsia" w:ascii="宋体" w:hAnsi="宋体" w:eastAsia="宋体" w:cs="宋体"/>
                <w:sz w:val="24"/>
                <w:szCs w:val="24"/>
              </w:rPr>
              <w:t>.</w:t>
            </w:r>
            <w:r>
              <w:rPr>
                <w:rFonts w:hint="eastAsia" w:ascii="Times New Roman" w:hAnsi="Times New Roman" w:eastAsia="宋体" w:cs="宋体"/>
                <w:sz w:val="24"/>
                <w:szCs w:val="24"/>
              </w:rPr>
              <w:t>03</w:t>
            </w:r>
          </w:p>
        </w:tc>
        <w:tc>
          <w:tcPr>
            <w:tcW w:w="2091"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27</w:t>
            </w:r>
            <w:r>
              <w:rPr>
                <w:rFonts w:hint="eastAsia" w:ascii="宋体" w:hAnsi="宋体" w:eastAsia="宋体" w:cs="宋体"/>
                <w:sz w:val="24"/>
                <w:szCs w:val="24"/>
              </w:rPr>
              <w:t>.</w:t>
            </w:r>
            <w:r>
              <w:rPr>
                <w:rFonts w:hint="eastAsia" w:ascii="Times New Roman" w:hAnsi="Times New Roman" w:eastAsia="宋体" w:cs="宋体"/>
                <w:sz w:val="24"/>
                <w:szCs w:val="24"/>
              </w:rPr>
              <w:t>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105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宋体" w:hAnsi="宋体" w:eastAsia="宋体" w:cs="宋体"/>
                <w:sz w:val="24"/>
                <w:szCs w:val="24"/>
              </w:rPr>
              <w:t>荔湖街</w:t>
            </w:r>
          </w:p>
        </w:tc>
        <w:tc>
          <w:tcPr>
            <w:tcW w:w="127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9</w:t>
            </w:r>
          </w:p>
        </w:tc>
        <w:tc>
          <w:tcPr>
            <w:tcW w:w="888" w:type="dxa"/>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6</w:t>
            </w:r>
          </w:p>
        </w:tc>
        <w:tc>
          <w:tcPr>
            <w:tcW w:w="91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w:t>
            </w:r>
          </w:p>
        </w:tc>
        <w:tc>
          <w:tcPr>
            <w:tcW w:w="1047"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1563"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99</w:t>
            </w:r>
            <w:r>
              <w:rPr>
                <w:rFonts w:hint="eastAsia" w:ascii="宋体" w:hAnsi="宋体" w:eastAsia="宋体" w:cs="宋体"/>
                <w:sz w:val="24"/>
                <w:szCs w:val="24"/>
              </w:rPr>
              <w:t>.</w:t>
            </w:r>
            <w:r>
              <w:rPr>
                <w:rFonts w:hint="eastAsia" w:ascii="Times New Roman" w:hAnsi="Times New Roman" w:eastAsia="宋体" w:cs="宋体"/>
                <w:sz w:val="24"/>
                <w:szCs w:val="24"/>
              </w:rPr>
              <w:t>66</w:t>
            </w:r>
          </w:p>
        </w:tc>
        <w:tc>
          <w:tcPr>
            <w:tcW w:w="2091"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34</w:t>
            </w:r>
            <w:r>
              <w:rPr>
                <w:rFonts w:hint="eastAsia" w:ascii="宋体" w:hAnsi="宋体" w:eastAsia="宋体" w:cs="宋体"/>
                <w:sz w:val="24"/>
                <w:szCs w:val="24"/>
              </w:rPr>
              <w:t>.</w:t>
            </w:r>
            <w:r>
              <w:rPr>
                <w:rFonts w:hint="eastAsia" w:ascii="Times New Roman" w:hAnsi="Times New Roman" w:eastAsia="宋体" w:cs="宋体"/>
                <w:sz w:val="24"/>
                <w:szCs w:val="24"/>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105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宋体" w:hAnsi="宋体" w:eastAsia="宋体" w:cs="宋体"/>
                <w:sz w:val="24"/>
                <w:szCs w:val="24"/>
              </w:rPr>
              <w:t>宁西街</w:t>
            </w:r>
          </w:p>
        </w:tc>
        <w:tc>
          <w:tcPr>
            <w:tcW w:w="127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20</w:t>
            </w:r>
          </w:p>
        </w:tc>
        <w:tc>
          <w:tcPr>
            <w:tcW w:w="888" w:type="dxa"/>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5</w:t>
            </w:r>
          </w:p>
        </w:tc>
        <w:tc>
          <w:tcPr>
            <w:tcW w:w="91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w:t>
            </w:r>
          </w:p>
        </w:tc>
        <w:tc>
          <w:tcPr>
            <w:tcW w:w="1047"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14</w:t>
            </w:r>
          </w:p>
        </w:tc>
        <w:tc>
          <w:tcPr>
            <w:tcW w:w="1563"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36</w:t>
            </w:r>
            <w:r>
              <w:rPr>
                <w:rFonts w:hint="eastAsia" w:ascii="宋体" w:hAnsi="宋体" w:eastAsia="宋体" w:cs="宋体"/>
                <w:sz w:val="24"/>
                <w:szCs w:val="24"/>
              </w:rPr>
              <w:t>.</w:t>
            </w:r>
            <w:r>
              <w:rPr>
                <w:rFonts w:hint="eastAsia" w:ascii="Times New Roman" w:hAnsi="Times New Roman" w:eastAsia="宋体" w:cs="宋体"/>
                <w:sz w:val="24"/>
                <w:szCs w:val="24"/>
              </w:rPr>
              <w:t>98</w:t>
            </w:r>
          </w:p>
        </w:tc>
        <w:tc>
          <w:tcPr>
            <w:tcW w:w="2091"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20</w:t>
            </w:r>
            <w:r>
              <w:rPr>
                <w:rFonts w:hint="eastAsia" w:ascii="宋体" w:hAnsi="宋体" w:eastAsia="宋体" w:cs="宋体"/>
                <w:sz w:val="24"/>
                <w:szCs w:val="24"/>
              </w:rPr>
              <w:t>.</w:t>
            </w:r>
            <w:r>
              <w:rPr>
                <w:rFonts w:hint="eastAsia" w:ascii="Times New Roman" w:hAnsi="Times New Roman" w:eastAsia="宋体" w:cs="宋体"/>
                <w:sz w:val="24"/>
                <w:szCs w:val="24"/>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105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宋体" w:hAnsi="宋体" w:eastAsia="宋体" w:cs="宋体"/>
                <w:sz w:val="24"/>
                <w:szCs w:val="24"/>
              </w:rPr>
              <w:t>新塘镇</w:t>
            </w:r>
          </w:p>
        </w:tc>
        <w:tc>
          <w:tcPr>
            <w:tcW w:w="127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40</w:t>
            </w:r>
          </w:p>
        </w:tc>
        <w:tc>
          <w:tcPr>
            <w:tcW w:w="888" w:type="dxa"/>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13</w:t>
            </w:r>
          </w:p>
        </w:tc>
        <w:tc>
          <w:tcPr>
            <w:tcW w:w="91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1047"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25</w:t>
            </w:r>
          </w:p>
        </w:tc>
        <w:tc>
          <w:tcPr>
            <w:tcW w:w="1563"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137</w:t>
            </w:r>
            <w:r>
              <w:rPr>
                <w:rFonts w:hint="eastAsia" w:ascii="宋体" w:hAnsi="宋体" w:eastAsia="宋体" w:cs="宋体"/>
                <w:sz w:val="24"/>
                <w:szCs w:val="24"/>
              </w:rPr>
              <w:t>.</w:t>
            </w:r>
            <w:r>
              <w:rPr>
                <w:rFonts w:hint="eastAsia" w:ascii="Times New Roman" w:hAnsi="Times New Roman" w:eastAsia="宋体" w:cs="宋体"/>
                <w:sz w:val="24"/>
                <w:szCs w:val="24"/>
              </w:rPr>
              <w:t>67</w:t>
            </w:r>
          </w:p>
        </w:tc>
        <w:tc>
          <w:tcPr>
            <w:tcW w:w="2091"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83</w:t>
            </w:r>
            <w:r>
              <w:rPr>
                <w:rFonts w:hint="eastAsia" w:ascii="宋体" w:hAnsi="宋体" w:eastAsia="宋体" w:cs="宋体"/>
                <w:sz w:val="24"/>
                <w:szCs w:val="24"/>
              </w:rPr>
              <w:t>.</w:t>
            </w:r>
            <w:r>
              <w:rPr>
                <w:rFonts w:hint="eastAsia" w:ascii="Times New Roman" w:hAnsi="Times New Roman" w:eastAsia="宋体" w:cs="宋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05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宋体" w:hAnsi="宋体" w:eastAsia="宋体" w:cs="宋体"/>
                <w:sz w:val="24"/>
                <w:szCs w:val="24"/>
              </w:rPr>
              <w:t>石滩镇</w:t>
            </w:r>
          </w:p>
        </w:tc>
        <w:tc>
          <w:tcPr>
            <w:tcW w:w="127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65</w:t>
            </w:r>
          </w:p>
        </w:tc>
        <w:tc>
          <w:tcPr>
            <w:tcW w:w="888" w:type="dxa"/>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7</w:t>
            </w:r>
          </w:p>
        </w:tc>
        <w:tc>
          <w:tcPr>
            <w:tcW w:w="91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5</w:t>
            </w:r>
          </w:p>
        </w:tc>
        <w:tc>
          <w:tcPr>
            <w:tcW w:w="1047"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53</w:t>
            </w:r>
          </w:p>
        </w:tc>
        <w:tc>
          <w:tcPr>
            <w:tcW w:w="1563"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90</w:t>
            </w:r>
            <w:r>
              <w:rPr>
                <w:rFonts w:hint="eastAsia" w:ascii="宋体" w:hAnsi="宋体" w:eastAsia="宋体" w:cs="宋体"/>
                <w:sz w:val="24"/>
                <w:szCs w:val="24"/>
              </w:rPr>
              <w:t>.</w:t>
            </w:r>
            <w:r>
              <w:rPr>
                <w:rFonts w:hint="eastAsia" w:ascii="Times New Roman" w:hAnsi="Times New Roman" w:eastAsia="宋体" w:cs="宋体"/>
                <w:sz w:val="24"/>
                <w:szCs w:val="24"/>
              </w:rPr>
              <w:t>96</w:t>
            </w:r>
          </w:p>
        </w:tc>
        <w:tc>
          <w:tcPr>
            <w:tcW w:w="2091"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69</w:t>
            </w:r>
            <w:r>
              <w:rPr>
                <w:rFonts w:hint="eastAsia" w:ascii="宋体" w:hAnsi="宋体" w:eastAsia="宋体" w:cs="宋体"/>
                <w:sz w:val="24"/>
                <w:szCs w:val="24"/>
              </w:rPr>
              <w:t>.</w:t>
            </w:r>
            <w:r>
              <w:rPr>
                <w:rFonts w:hint="eastAsia" w:ascii="Times New Roman" w:hAnsi="Times New Roman" w:eastAsia="宋体" w:cs="宋体"/>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105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宋体" w:hAnsi="宋体" w:eastAsia="宋体" w:cs="宋体"/>
                <w:sz w:val="24"/>
                <w:szCs w:val="24"/>
              </w:rPr>
              <w:t>中新镇</w:t>
            </w:r>
          </w:p>
        </w:tc>
        <w:tc>
          <w:tcPr>
            <w:tcW w:w="127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51</w:t>
            </w:r>
          </w:p>
        </w:tc>
        <w:tc>
          <w:tcPr>
            <w:tcW w:w="888" w:type="dxa"/>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7</w:t>
            </w:r>
          </w:p>
        </w:tc>
        <w:tc>
          <w:tcPr>
            <w:tcW w:w="91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4</w:t>
            </w:r>
          </w:p>
        </w:tc>
        <w:tc>
          <w:tcPr>
            <w:tcW w:w="1047"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40</w:t>
            </w:r>
          </w:p>
        </w:tc>
        <w:tc>
          <w:tcPr>
            <w:tcW w:w="1563"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55</w:t>
            </w:r>
            <w:r>
              <w:rPr>
                <w:rFonts w:hint="eastAsia" w:ascii="宋体" w:hAnsi="宋体" w:eastAsia="宋体" w:cs="宋体"/>
                <w:sz w:val="24"/>
                <w:szCs w:val="24"/>
              </w:rPr>
              <w:t>.</w:t>
            </w:r>
            <w:r>
              <w:rPr>
                <w:rFonts w:hint="eastAsia" w:ascii="Times New Roman" w:hAnsi="Times New Roman" w:eastAsia="宋体" w:cs="宋体"/>
                <w:sz w:val="24"/>
                <w:szCs w:val="24"/>
              </w:rPr>
              <w:t>21</w:t>
            </w:r>
          </w:p>
        </w:tc>
        <w:tc>
          <w:tcPr>
            <w:tcW w:w="2091"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30</w:t>
            </w:r>
            <w:r>
              <w:rPr>
                <w:rFonts w:hint="eastAsia" w:ascii="宋体" w:hAnsi="宋体" w:eastAsia="宋体" w:cs="宋体"/>
                <w:sz w:val="24"/>
                <w:szCs w:val="24"/>
              </w:rPr>
              <w:t>.</w:t>
            </w:r>
            <w:r>
              <w:rPr>
                <w:rFonts w:hint="eastAsia" w:ascii="Times New Roman" w:hAnsi="Times New Roman" w:eastAsia="宋体" w:cs="宋体"/>
                <w:sz w:val="24"/>
                <w:szCs w:val="24"/>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105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宋体" w:hAnsi="宋体" w:eastAsia="宋体" w:cs="宋体"/>
                <w:sz w:val="24"/>
                <w:szCs w:val="24"/>
              </w:rPr>
              <w:t>派潭镇</w:t>
            </w:r>
          </w:p>
        </w:tc>
        <w:tc>
          <w:tcPr>
            <w:tcW w:w="127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47</w:t>
            </w:r>
          </w:p>
        </w:tc>
        <w:tc>
          <w:tcPr>
            <w:tcW w:w="888" w:type="dxa"/>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6</w:t>
            </w:r>
          </w:p>
        </w:tc>
        <w:tc>
          <w:tcPr>
            <w:tcW w:w="91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1047"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39</w:t>
            </w:r>
          </w:p>
        </w:tc>
        <w:tc>
          <w:tcPr>
            <w:tcW w:w="1563"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23</w:t>
            </w:r>
            <w:r>
              <w:rPr>
                <w:rFonts w:hint="eastAsia" w:ascii="宋体" w:hAnsi="宋体" w:eastAsia="宋体" w:cs="宋体"/>
                <w:sz w:val="24"/>
                <w:szCs w:val="24"/>
              </w:rPr>
              <w:t>.</w:t>
            </w:r>
            <w:r>
              <w:rPr>
                <w:rFonts w:hint="eastAsia" w:ascii="Times New Roman" w:hAnsi="Times New Roman" w:eastAsia="宋体" w:cs="宋体"/>
                <w:sz w:val="24"/>
                <w:szCs w:val="24"/>
              </w:rPr>
              <w:t>36</w:t>
            </w:r>
          </w:p>
        </w:tc>
        <w:tc>
          <w:tcPr>
            <w:tcW w:w="2091"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15</w:t>
            </w:r>
            <w:r>
              <w:rPr>
                <w:rFonts w:hint="eastAsia" w:ascii="宋体" w:hAnsi="宋体" w:eastAsia="宋体" w:cs="宋体"/>
                <w:sz w:val="24"/>
                <w:szCs w:val="24"/>
              </w:rPr>
              <w:t>.</w:t>
            </w:r>
            <w:r>
              <w:rPr>
                <w:rFonts w:hint="eastAsia" w:ascii="Times New Roman" w:hAnsi="Times New Roman" w:eastAsia="宋体" w:cs="宋体"/>
                <w:sz w:val="24"/>
                <w:szCs w:val="24"/>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105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宋体" w:hAnsi="宋体" w:eastAsia="宋体" w:cs="宋体"/>
                <w:sz w:val="24"/>
                <w:szCs w:val="24"/>
              </w:rPr>
              <w:t>正果镇</w:t>
            </w:r>
          </w:p>
        </w:tc>
        <w:tc>
          <w:tcPr>
            <w:tcW w:w="127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36</w:t>
            </w:r>
          </w:p>
        </w:tc>
        <w:tc>
          <w:tcPr>
            <w:tcW w:w="888" w:type="dxa"/>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91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w:t>
            </w:r>
          </w:p>
        </w:tc>
        <w:tc>
          <w:tcPr>
            <w:tcW w:w="1047"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31</w:t>
            </w:r>
          </w:p>
        </w:tc>
        <w:tc>
          <w:tcPr>
            <w:tcW w:w="1563"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12</w:t>
            </w:r>
            <w:r>
              <w:rPr>
                <w:rFonts w:hint="eastAsia" w:ascii="宋体" w:hAnsi="宋体" w:eastAsia="宋体" w:cs="宋体"/>
                <w:sz w:val="24"/>
                <w:szCs w:val="24"/>
              </w:rPr>
              <w:t>.</w:t>
            </w:r>
            <w:r>
              <w:rPr>
                <w:rFonts w:hint="eastAsia" w:ascii="Times New Roman" w:hAnsi="Times New Roman" w:eastAsia="宋体" w:cs="宋体"/>
                <w:sz w:val="24"/>
                <w:szCs w:val="24"/>
              </w:rPr>
              <w:t>59</w:t>
            </w:r>
          </w:p>
        </w:tc>
        <w:tc>
          <w:tcPr>
            <w:tcW w:w="2091"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9</w:t>
            </w:r>
            <w:r>
              <w:rPr>
                <w:rFonts w:hint="eastAsia" w:ascii="宋体" w:hAnsi="宋体" w:eastAsia="宋体" w:cs="宋体"/>
                <w:sz w:val="24"/>
                <w:szCs w:val="24"/>
              </w:rPr>
              <w:t>.</w:t>
            </w:r>
            <w:r>
              <w:rPr>
                <w:rFonts w:hint="eastAsia" w:ascii="Times New Roman" w:hAnsi="Times New Roman" w:eastAsia="宋体" w:cs="宋体"/>
                <w:sz w:val="24"/>
                <w:szCs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105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宋体" w:hAnsi="宋体" w:eastAsia="宋体" w:cs="宋体"/>
                <w:sz w:val="24"/>
                <w:szCs w:val="24"/>
              </w:rPr>
              <w:t>小楼镇</w:t>
            </w:r>
          </w:p>
        </w:tc>
        <w:tc>
          <w:tcPr>
            <w:tcW w:w="127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25</w:t>
            </w:r>
          </w:p>
        </w:tc>
        <w:tc>
          <w:tcPr>
            <w:tcW w:w="888" w:type="dxa"/>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91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6</w:t>
            </w:r>
          </w:p>
        </w:tc>
        <w:tc>
          <w:tcPr>
            <w:tcW w:w="1047"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17</w:t>
            </w:r>
          </w:p>
        </w:tc>
        <w:tc>
          <w:tcPr>
            <w:tcW w:w="1563"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13</w:t>
            </w:r>
            <w:r>
              <w:rPr>
                <w:rFonts w:hint="eastAsia" w:ascii="宋体" w:hAnsi="宋体" w:eastAsia="宋体" w:cs="宋体"/>
                <w:sz w:val="24"/>
                <w:szCs w:val="24"/>
              </w:rPr>
              <w:t>.</w:t>
            </w:r>
            <w:r>
              <w:rPr>
                <w:rFonts w:hint="eastAsia" w:ascii="Times New Roman" w:hAnsi="Times New Roman" w:eastAsia="宋体" w:cs="宋体"/>
                <w:sz w:val="24"/>
                <w:szCs w:val="24"/>
              </w:rPr>
              <w:t>06</w:t>
            </w:r>
          </w:p>
        </w:tc>
        <w:tc>
          <w:tcPr>
            <w:tcW w:w="2091"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10</w:t>
            </w:r>
            <w:r>
              <w:rPr>
                <w:rFonts w:hint="eastAsia" w:ascii="宋体" w:hAnsi="宋体" w:eastAsia="宋体" w:cs="宋体"/>
                <w:sz w:val="24"/>
                <w:szCs w:val="24"/>
              </w:rPr>
              <w:t>.</w:t>
            </w:r>
            <w:r>
              <w:rPr>
                <w:rFonts w:hint="eastAsia" w:ascii="Times New Roman" w:hAnsi="Times New Roman" w:eastAsia="宋体" w:cs="宋体"/>
                <w:sz w:val="24"/>
                <w:szCs w:val="24"/>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105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宋体" w:hAnsi="宋体" w:eastAsia="宋体" w:cs="宋体"/>
                <w:sz w:val="24"/>
                <w:szCs w:val="24"/>
              </w:rPr>
              <w:t>仙村镇</w:t>
            </w:r>
          </w:p>
        </w:tc>
        <w:tc>
          <w:tcPr>
            <w:tcW w:w="127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22</w:t>
            </w:r>
          </w:p>
        </w:tc>
        <w:tc>
          <w:tcPr>
            <w:tcW w:w="888" w:type="dxa"/>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91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1047"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18</w:t>
            </w:r>
          </w:p>
        </w:tc>
        <w:tc>
          <w:tcPr>
            <w:tcW w:w="1563"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18</w:t>
            </w:r>
            <w:r>
              <w:rPr>
                <w:rFonts w:hint="eastAsia" w:ascii="宋体" w:hAnsi="宋体" w:eastAsia="宋体" w:cs="宋体"/>
                <w:sz w:val="24"/>
                <w:szCs w:val="24"/>
              </w:rPr>
              <w:t>.</w:t>
            </w:r>
            <w:r>
              <w:rPr>
                <w:rFonts w:hint="eastAsia" w:ascii="Times New Roman" w:hAnsi="Times New Roman" w:eastAsia="宋体" w:cs="宋体"/>
                <w:sz w:val="24"/>
                <w:szCs w:val="24"/>
              </w:rPr>
              <w:t>9</w:t>
            </w:r>
          </w:p>
        </w:tc>
        <w:tc>
          <w:tcPr>
            <w:tcW w:w="2091"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13</w:t>
            </w:r>
            <w:r>
              <w:rPr>
                <w:rFonts w:hint="eastAsia" w:ascii="宋体" w:hAnsi="宋体" w:eastAsia="宋体" w:cs="宋体"/>
                <w:sz w:val="24"/>
                <w:szCs w:val="24"/>
              </w:rPr>
              <w:t>.</w:t>
            </w:r>
            <w:r>
              <w:rPr>
                <w:rFonts w:hint="eastAsia" w:ascii="Times New Roman" w:hAnsi="Times New Roman" w:eastAsia="宋体" w:cs="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105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宋体" w:hAnsi="宋体" w:eastAsia="宋体" w:cs="宋体"/>
                <w:sz w:val="24"/>
                <w:szCs w:val="24"/>
              </w:rPr>
              <w:t>合计</w:t>
            </w:r>
          </w:p>
        </w:tc>
        <w:tc>
          <w:tcPr>
            <w:tcW w:w="127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398</w:t>
            </w:r>
          </w:p>
        </w:tc>
        <w:tc>
          <w:tcPr>
            <w:tcW w:w="888" w:type="dxa"/>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76</w:t>
            </w:r>
          </w:p>
        </w:tc>
        <w:tc>
          <w:tcPr>
            <w:tcW w:w="915"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39</w:t>
            </w:r>
          </w:p>
        </w:tc>
        <w:tc>
          <w:tcPr>
            <w:tcW w:w="1047"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283</w:t>
            </w:r>
          </w:p>
        </w:tc>
        <w:tc>
          <w:tcPr>
            <w:tcW w:w="1563"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743</w:t>
            </w:r>
            <w:r>
              <w:rPr>
                <w:rFonts w:hint="eastAsia" w:ascii="宋体" w:hAnsi="宋体" w:eastAsia="宋体" w:cs="宋体"/>
                <w:sz w:val="24"/>
                <w:szCs w:val="24"/>
              </w:rPr>
              <w:t>.</w:t>
            </w:r>
            <w:r>
              <w:rPr>
                <w:rFonts w:hint="eastAsia" w:ascii="Times New Roman" w:hAnsi="Times New Roman" w:eastAsia="宋体" w:cs="宋体"/>
                <w:sz w:val="24"/>
                <w:szCs w:val="24"/>
              </w:rPr>
              <w:t>83</w:t>
            </w:r>
          </w:p>
        </w:tc>
        <w:tc>
          <w:tcPr>
            <w:tcW w:w="2091" w:type="dxa"/>
            <w:vAlign w:val="center"/>
          </w:tcPr>
          <w:p>
            <w:pPr>
              <w:pStyle w:val="170"/>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425</w:t>
            </w:r>
            <w:r>
              <w:rPr>
                <w:rFonts w:hint="eastAsia" w:ascii="宋体" w:hAnsi="宋体" w:eastAsia="宋体" w:cs="宋体"/>
                <w:sz w:val="24"/>
                <w:szCs w:val="24"/>
              </w:rPr>
              <w:t>.</w:t>
            </w:r>
            <w:r>
              <w:rPr>
                <w:rFonts w:hint="eastAsia" w:ascii="Times New Roman" w:hAnsi="Times New Roman" w:eastAsia="宋体" w:cs="宋体"/>
                <w:sz w:val="24"/>
                <w:szCs w:val="24"/>
              </w:rPr>
              <w:t>29</w:t>
            </w:r>
          </w:p>
        </w:tc>
      </w:tr>
      <w:bookmarkEnd w:id="38"/>
      <w:bookmarkEnd w:id="40"/>
    </w:tbl>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hint="eastAsia" w:ascii="黑体" w:hAnsi="黑体" w:eastAsia="黑体" w:cs="黑体"/>
        </w:rPr>
      </w:pPr>
      <w:bookmarkStart w:id="41" w:name="_Toc215490488"/>
      <w:r>
        <w:rPr>
          <w:rFonts w:hint="eastAsia" w:ascii="黑体" w:hAnsi="黑体" w:eastAsia="黑体" w:cs="黑体"/>
        </w:rPr>
        <w:t xml:space="preserve">第十六条 </w:t>
      </w:r>
      <w:r>
        <w:rPr>
          <w:rFonts w:hint="eastAsia" w:ascii="黑体" w:hAnsi="黑体" w:cs="黑体"/>
          <w:lang w:val="en-US" w:eastAsia="zh-CN"/>
        </w:rPr>
        <w:t xml:space="preserve"> </w:t>
      </w:r>
      <w:r>
        <w:rPr>
          <w:rFonts w:hint="eastAsia" w:ascii="黑体" w:hAnsi="黑体" w:eastAsia="黑体" w:cs="黑体"/>
        </w:rPr>
        <w:t>中心避护场所规划布局</w:t>
      </w:r>
      <w:bookmarkEnd w:id="41"/>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rPr>
      </w:pPr>
      <w:bookmarkStart w:id="42" w:name="_Hlk213782555"/>
      <w:r>
        <w:rPr>
          <w:rFonts w:hint="eastAsia" w:ascii="仿宋_GB2312" w:hAnsi="仿宋_GB2312" w:eastAsia="仿宋_GB2312" w:cs="仿宋_GB2312"/>
        </w:rPr>
        <w:t>综合考虑行政区划、服务人口、救援要求、自然灾害的区域分布特征等因素并结合实际，规划增城广场、广大附中增城实验中学与新泉小学</w:t>
      </w:r>
      <w:r>
        <w:rPr>
          <w:rFonts w:hint="eastAsia" w:ascii="Times New Roman" w:hAnsi="Times New Roman" w:eastAsia="仿宋_GB2312" w:cs="仿宋_GB2312"/>
        </w:rPr>
        <w:t>2</w:t>
      </w:r>
      <w:r>
        <w:rPr>
          <w:rFonts w:hint="eastAsia" w:ascii="仿宋_GB2312" w:hAnsi="仿宋_GB2312" w:eastAsia="仿宋_GB2312" w:cs="仿宋_GB2312"/>
        </w:rPr>
        <w:t>处中心避护场所，形成本规划的中心避护场所布局（详见表</w:t>
      </w:r>
      <w:r>
        <w:rPr>
          <w:rFonts w:hint="eastAsia" w:ascii="Times New Roman" w:hAnsi="Times New Roman" w:eastAsia="仿宋_GB2312" w:cs="仿宋_GB2312"/>
        </w:rPr>
        <w:t>2</w:t>
      </w:r>
      <w:r>
        <w:rPr>
          <w:rFonts w:hint="eastAsia" w:ascii="仿宋_GB2312" w:hAnsi="仿宋_GB2312" w:eastAsia="仿宋_GB2312" w:cs="仿宋_GB2312"/>
        </w:rPr>
        <w:t>）。总用地面积约</w:t>
      </w:r>
      <w:r>
        <w:rPr>
          <w:rFonts w:hint="eastAsia" w:ascii="Times New Roman" w:hAnsi="Times New Roman" w:eastAsia="仿宋_GB2312" w:cs="仿宋_GB2312"/>
        </w:rPr>
        <w:t>34</w:t>
      </w:r>
      <w:r>
        <w:rPr>
          <w:rFonts w:hint="eastAsia" w:ascii="仿宋_GB2312" w:hAnsi="仿宋_GB2312" w:eastAsia="仿宋_GB2312" w:cs="仿宋_GB2312"/>
        </w:rPr>
        <w:t>.</w:t>
      </w:r>
      <w:r>
        <w:rPr>
          <w:rFonts w:hint="eastAsia" w:ascii="Times New Roman" w:hAnsi="Times New Roman" w:eastAsia="仿宋_GB2312" w:cs="仿宋_GB2312"/>
        </w:rPr>
        <w:t>27</w:t>
      </w:r>
      <w:r>
        <w:rPr>
          <w:rFonts w:hint="eastAsia" w:ascii="仿宋_GB2312" w:hAnsi="仿宋_GB2312" w:eastAsia="仿宋_GB2312" w:cs="仿宋_GB2312"/>
        </w:rPr>
        <w:t>公顷，有效避护面积约</w:t>
      </w:r>
      <w:r>
        <w:rPr>
          <w:rFonts w:hint="eastAsia" w:ascii="Times New Roman" w:hAnsi="Times New Roman" w:eastAsia="仿宋_GB2312" w:cs="仿宋_GB2312"/>
        </w:rPr>
        <w:t>31</w:t>
      </w:r>
      <w:r>
        <w:rPr>
          <w:rFonts w:hint="eastAsia" w:ascii="仿宋_GB2312" w:hAnsi="仿宋_GB2312" w:eastAsia="仿宋_GB2312" w:cs="仿宋_GB2312"/>
        </w:rPr>
        <w:t>.</w:t>
      </w:r>
      <w:r>
        <w:rPr>
          <w:rFonts w:hint="eastAsia" w:ascii="Times New Roman" w:hAnsi="Times New Roman" w:eastAsia="仿宋_GB2312" w:cs="仿宋_GB2312"/>
        </w:rPr>
        <w:t>2</w:t>
      </w:r>
      <w:r>
        <w:rPr>
          <w:rFonts w:hint="eastAsia" w:ascii="仿宋_GB2312" w:hAnsi="仿宋_GB2312" w:eastAsia="仿宋_GB2312" w:cs="仿宋_GB2312"/>
        </w:rPr>
        <w:t>万平方米。其中室内综合性场所</w:t>
      </w:r>
      <w:r>
        <w:rPr>
          <w:rFonts w:hint="eastAsia" w:ascii="Times New Roman" w:hAnsi="Times New Roman" w:eastAsia="仿宋_GB2312" w:cs="仿宋_GB2312"/>
        </w:rPr>
        <w:t>1</w:t>
      </w:r>
      <w:r>
        <w:rPr>
          <w:rFonts w:hint="eastAsia" w:ascii="仿宋_GB2312" w:hAnsi="仿宋_GB2312" w:eastAsia="仿宋_GB2312" w:cs="仿宋_GB2312"/>
        </w:rPr>
        <w:t>处为广大附中增城实验中学与新泉小学，室外综合性场所</w:t>
      </w:r>
      <w:r>
        <w:rPr>
          <w:rFonts w:hint="eastAsia" w:ascii="Times New Roman" w:hAnsi="Times New Roman" w:eastAsia="仿宋_GB2312" w:cs="仿宋_GB2312"/>
        </w:rPr>
        <w:t>1</w:t>
      </w:r>
      <w:r>
        <w:rPr>
          <w:rFonts w:hint="eastAsia" w:ascii="仿宋_GB2312" w:hAnsi="仿宋_GB2312" w:eastAsia="仿宋_GB2312" w:cs="仿宋_GB2312"/>
        </w:rPr>
        <w:t>处为增城广场。</w:t>
      </w:r>
    </w:p>
    <w:bookmarkEnd w:id="42"/>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rPr>
          <w:rFonts w:hint="eastAsia" w:ascii="黑体" w:hAnsi="黑体" w:eastAsia="黑体" w:cs="黑体"/>
        </w:rPr>
      </w:pPr>
      <w:r>
        <w:rPr>
          <w:rFonts w:hint="eastAsia" w:ascii="黑体" w:hAnsi="黑体" w:eastAsia="黑体" w:cs="黑体"/>
        </w:rPr>
        <w:t>表</w:t>
      </w:r>
      <w:r>
        <w:rPr>
          <w:rFonts w:hint="eastAsia" w:ascii="Times New Roman" w:hAnsi="Times New Roman" w:eastAsia="黑体" w:cs="黑体"/>
        </w:rPr>
        <w:t>2</w:t>
      </w:r>
      <w:r>
        <w:rPr>
          <w:rFonts w:hint="eastAsia" w:ascii="黑体" w:hAnsi="黑体" w:eastAsia="黑体" w:cs="黑体"/>
        </w:rPr>
        <w:t>中心避护场所规划一览表</w:t>
      </w:r>
    </w:p>
    <w:tbl>
      <w:tblPr>
        <w:tblStyle w:val="149"/>
        <w:tblW w:w="8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362"/>
        <w:gridCol w:w="1231"/>
        <w:gridCol w:w="1762"/>
        <w:gridCol w:w="1638"/>
        <w:gridCol w:w="1125"/>
        <w:gridCol w:w="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blHeader/>
          <w:jc w:val="center"/>
        </w:trPr>
        <w:tc>
          <w:tcPr>
            <w:tcW w:w="105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镇（街）</w:t>
            </w:r>
          </w:p>
        </w:tc>
        <w:tc>
          <w:tcPr>
            <w:tcW w:w="1362"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中心应急避护场所名称</w:t>
            </w:r>
          </w:p>
        </w:tc>
        <w:tc>
          <w:tcPr>
            <w:tcW w:w="1231"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用地面积（公顷）</w:t>
            </w:r>
          </w:p>
        </w:tc>
        <w:tc>
          <w:tcPr>
            <w:tcW w:w="1762"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有效避护总面积（万平方米）</w:t>
            </w:r>
          </w:p>
        </w:tc>
        <w:tc>
          <w:tcPr>
            <w:tcW w:w="1638"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其中室内有效避护面积（万平方米）</w:t>
            </w:r>
          </w:p>
        </w:tc>
        <w:tc>
          <w:tcPr>
            <w:tcW w:w="1125"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长期可避护人数（万人）</w:t>
            </w:r>
          </w:p>
        </w:tc>
        <w:tc>
          <w:tcPr>
            <w:tcW w:w="825"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sz w:val="24"/>
                <w:szCs w:val="24"/>
              </w:rPr>
              <w:t>荔城街</w:t>
            </w:r>
          </w:p>
        </w:tc>
        <w:tc>
          <w:tcPr>
            <w:tcW w:w="13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增城广场</w:t>
            </w:r>
          </w:p>
        </w:tc>
        <w:tc>
          <w:tcPr>
            <w:tcW w:w="1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57</w:t>
            </w:r>
          </w:p>
        </w:tc>
        <w:tc>
          <w:tcPr>
            <w:tcW w:w="1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6</w:t>
            </w:r>
          </w:p>
        </w:tc>
        <w:tc>
          <w:tcPr>
            <w:tcW w:w="16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0</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8</w:t>
            </w:r>
          </w:p>
        </w:tc>
        <w:tc>
          <w:tcPr>
            <w:tcW w:w="8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现状保留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sz w:val="24"/>
                <w:szCs w:val="24"/>
              </w:rPr>
              <w:t>新塘镇</w:t>
            </w:r>
          </w:p>
        </w:tc>
        <w:tc>
          <w:tcPr>
            <w:tcW w:w="13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bookmarkStart w:id="43" w:name="OLE_LINK98"/>
            <w:r>
              <w:rPr>
                <w:rFonts w:hint="eastAsia" w:ascii="宋体" w:hAnsi="宋体" w:eastAsia="宋体" w:cs="宋体"/>
                <w:kern w:val="0"/>
                <w:sz w:val="24"/>
                <w:szCs w:val="24"/>
              </w:rPr>
              <w:t>广大附中增城实验中学与新泉小学</w:t>
            </w:r>
            <w:bookmarkEnd w:id="43"/>
          </w:p>
        </w:tc>
        <w:tc>
          <w:tcPr>
            <w:tcW w:w="1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9</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7</w:t>
            </w:r>
          </w:p>
        </w:tc>
        <w:tc>
          <w:tcPr>
            <w:tcW w:w="1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9</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6</w:t>
            </w:r>
          </w:p>
        </w:tc>
        <w:tc>
          <w:tcPr>
            <w:tcW w:w="16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3</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8</w:t>
            </w:r>
          </w:p>
        </w:tc>
        <w:tc>
          <w:tcPr>
            <w:tcW w:w="8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已建用地新增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41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合计</w:t>
            </w:r>
          </w:p>
        </w:tc>
        <w:tc>
          <w:tcPr>
            <w:tcW w:w="1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34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27</w:t>
            </w:r>
          </w:p>
        </w:tc>
        <w:tc>
          <w:tcPr>
            <w:tcW w:w="1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31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2</w:t>
            </w:r>
          </w:p>
        </w:tc>
        <w:tc>
          <w:tcPr>
            <w:tcW w:w="16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3</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9</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6</w:t>
            </w:r>
          </w:p>
        </w:tc>
        <w:tc>
          <w:tcPr>
            <w:tcW w:w="8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w:t>
            </w:r>
          </w:p>
        </w:tc>
      </w:tr>
    </w:tbl>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rPr>
      </w:pPr>
      <w:bookmarkStart w:id="44" w:name="_Toc215490489"/>
      <w:r>
        <w:rPr>
          <w:rFonts w:cs="Times New Roman"/>
        </w:rPr>
        <w:t xml:space="preserve">第十七条 </w:t>
      </w:r>
      <w:r>
        <w:rPr>
          <w:rFonts w:hint="eastAsia" w:cs="Times New Roman"/>
          <w:lang w:val="en-US" w:eastAsia="zh-CN"/>
        </w:rPr>
        <w:t xml:space="preserve"> </w:t>
      </w:r>
      <w:r>
        <w:rPr>
          <w:rFonts w:cs="Times New Roman"/>
        </w:rPr>
        <w:t>长期避护场所</w:t>
      </w:r>
      <w:r>
        <w:rPr>
          <w:rFonts w:hint="eastAsia" w:cs="Times New Roman"/>
        </w:rPr>
        <w:t>规划布局</w:t>
      </w:r>
      <w:bookmarkEnd w:id="44"/>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rPr>
      </w:pPr>
      <w:r>
        <w:rPr>
          <w:rFonts w:hint="eastAsia" w:ascii="仿宋_GB2312" w:hAnsi="仿宋_GB2312" w:eastAsia="仿宋_GB2312" w:cs="仿宋_GB2312"/>
        </w:rPr>
        <w:t>全区共布局</w:t>
      </w:r>
      <w:r>
        <w:rPr>
          <w:rFonts w:hint="eastAsia" w:ascii="Times New Roman" w:hAnsi="Times New Roman" w:eastAsia="仿宋_GB2312" w:cs="仿宋_GB2312"/>
        </w:rPr>
        <w:t>76</w:t>
      </w:r>
      <w:r>
        <w:rPr>
          <w:rFonts w:hint="eastAsia" w:ascii="仿宋_GB2312" w:hAnsi="仿宋_GB2312" w:eastAsia="仿宋_GB2312" w:cs="仿宋_GB2312"/>
        </w:rPr>
        <w:t>处长期避护场所（包含</w:t>
      </w:r>
      <w:r>
        <w:rPr>
          <w:rFonts w:hint="eastAsia" w:ascii="Times New Roman" w:hAnsi="Times New Roman" w:eastAsia="仿宋_GB2312" w:cs="仿宋_GB2312"/>
        </w:rPr>
        <w:t>2</w:t>
      </w:r>
      <w:r>
        <w:rPr>
          <w:rFonts w:hint="eastAsia" w:ascii="仿宋_GB2312" w:hAnsi="仿宋_GB2312" w:eastAsia="仿宋_GB2312" w:cs="仿宋_GB2312"/>
        </w:rPr>
        <w:t>处中心避护场所）（详见表</w:t>
      </w:r>
      <w:r>
        <w:rPr>
          <w:rFonts w:hint="eastAsia" w:ascii="Times New Roman" w:hAnsi="Times New Roman" w:eastAsia="仿宋_GB2312" w:cs="仿宋_GB2312"/>
        </w:rPr>
        <w:t>3</w:t>
      </w:r>
      <w:r>
        <w:rPr>
          <w:rFonts w:hint="eastAsia" w:ascii="仿宋_GB2312" w:hAnsi="仿宋_GB2312" w:eastAsia="仿宋_GB2312" w:cs="仿宋_GB2312"/>
        </w:rPr>
        <w:t>），</w:t>
      </w:r>
      <w:bookmarkStart w:id="45" w:name="OLE_LINK99"/>
      <w:r>
        <w:rPr>
          <w:rFonts w:hint="eastAsia" w:ascii="仿宋_GB2312" w:hAnsi="仿宋_GB2312" w:eastAsia="仿宋_GB2312" w:cs="仿宋_GB2312"/>
        </w:rPr>
        <w:t>其中室内综合性场所</w:t>
      </w:r>
      <w:r>
        <w:rPr>
          <w:rFonts w:hint="eastAsia" w:ascii="Times New Roman" w:hAnsi="Times New Roman" w:eastAsia="仿宋_GB2312" w:cs="仿宋_GB2312"/>
        </w:rPr>
        <w:t>64</w:t>
      </w:r>
      <w:r>
        <w:rPr>
          <w:rFonts w:hint="eastAsia" w:ascii="仿宋_GB2312" w:hAnsi="仿宋_GB2312" w:eastAsia="仿宋_GB2312" w:cs="仿宋_GB2312"/>
        </w:rPr>
        <w:t>处，室外综合性场所</w:t>
      </w:r>
      <w:r>
        <w:rPr>
          <w:rFonts w:hint="eastAsia" w:ascii="Times New Roman" w:hAnsi="Times New Roman" w:eastAsia="仿宋_GB2312" w:cs="仿宋_GB2312"/>
        </w:rPr>
        <w:t>12</w:t>
      </w:r>
      <w:r>
        <w:rPr>
          <w:rFonts w:hint="eastAsia" w:ascii="仿宋_GB2312" w:hAnsi="仿宋_GB2312" w:eastAsia="仿宋_GB2312" w:cs="仿宋_GB2312"/>
        </w:rPr>
        <w:t>处</w:t>
      </w:r>
      <w:bookmarkEnd w:id="45"/>
      <w:r>
        <w:rPr>
          <w:rFonts w:hint="eastAsia" w:ascii="仿宋_GB2312" w:hAnsi="仿宋_GB2312" w:eastAsia="仿宋_GB2312" w:cs="仿宋_GB2312"/>
        </w:rPr>
        <w:t>。</w:t>
      </w:r>
      <w:bookmarkStart w:id="46" w:name="_Hlk213783734"/>
      <w:r>
        <w:rPr>
          <w:rFonts w:hint="eastAsia" w:ascii="仿宋_GB2312" w:hAnsi="仿宋_GB2312" w:eastAsia="仿宋_GB2312" w:cs="仿宋_GB2312"/>
        </w:rPr>
        <w:t>总用地面积约</w:t>
      </w:r>
      <w:r>
        <w:rPr>
          <w:rFonts w:hint="eastAsia" w:ascii="Times New Roman" w:hAnsi="Times New Roman" w:eastAsia="仿宋_GB2312" w:cs="仿宋_GB2312"/>
        </w:rPr>
        <w:t>598</w:t>
      </w:r>
      <w:r>
        <w:rPr>
          <w:rFonts w:hint="eastAsia" w:ascii="仿宋_GB2312" w:hAnsi="仿宋_GB2312" w:eastAsia="仿宋_GB2312" w:cs="仿宋_GB2312"/>
        </w:rPr>
        <w:t>.</w:t>
      </w:r>
      <w:r>
        <w:rPr>
          <w:rFonts w:hint="eastAsia" w:ascii="Times New Roman" w:hAnsi="Times New Roman" w:eastAsia="仿宋_GB2312" w:cs="仿宋_GB2312"/>
        </w:rPr>
        <w:t>56</w:t>
      </w:r>
      <w:r>
        <w:rPr>
          <w:rFonts w:hint="eastAsia" w:ascii="仿宋_GB2312" w:hAnsi="仿宋_GB2312" w:eastAsia="仿宋_GB2312" w:cs="仿宋_GB2312"/>
        </w:rPr>
        <w:t>公顷，有效避护面积约</w:t>
      </w:r>
      <w:r>
        <w:rPr>
          <w:rFonts w:hint="eastAsia" w:ascii="Times New Roman" w:hAnsi="Times New Roman" w:eastAsia="仿宋_GB2312" w:cs="仿宋_GB2312"/>
        </w:rPr>
        <w:t>300</w:t>
      </w:r>
      <w:r>
        <w:rPr>
          <w:rFonts w:hint="eastAsia" w:ascii="仿宋_GB2312" w:hAnsi="仿宋_GB2312" w:eastAsia="仿宋_GB2312" w:cs="仿宋_GB2312"/>
        </w:rPr>
        <w:t>.</w:t>
      </w:r>
      <w:r>
        <w:rPr>
          <w:rFonts w:hint="eastAsia" w:ascii="Times New Roman" w:hAnsi="Times New Roman" w:eastAsia="仿宋_GB2312" w:cs="仿宋_GB2312"/>
        </w:rPr>
        <w:t>13</w:t>
      </w:r>
      <w:r>
        <w:rPr>
          <w:rFonts w:hint="eastAsia" w:ascii="仿宋_GB2312" w:hAnsi="仿宋_GB2312" w:eastAsia="仿宋_GB2312" w:cs="仿宋_GB2312"/>
        </w:rPr>
        <w:t>万平方米，室内有效避护面积</w:t>
      </w:r>
      <w:r>
        <w:rPr>
          <w:rFonts w:hint="eastAsia" w:ascii="Times New Roman" w:hAnsi="Times New Roman" w:eastAsia="仿宋_GB2312" w:cs="仿宋_GB2312"/>
        </w:rPr>
        <w:t>89</w:t>
      </w:r>
      <w:r>
        <w:rPr>
          <w:rFonts w:hint="eastAsia" w:ascii="仿宋_GB2312" w:hAnsi="仿宋_GB2312" w:eastAsia="仿宋_GB2312" w:cs="仿宋_GB2312"/>
        </w:rPr>
        <w:t>.</w:t>
      </w:r>
      <w:r>
        <w:rPr>
          <w:rFonts w:hint="eastAsia" w:ascii="Times New Roman" w:hAnsi="Times New Roman" w:eastAsia="仿宋_GB2312" w:cs="仿宋_GB2312"/>
        </w:rPr>
        <w:t>31</w:t>
      </w:r>
      <w:r>
        <w:rPr>
          <w:rFonts w:hint="eastAsia" w:ascii="仿宋_GB2312" w:hAnsi="仿宋_GB2312" w:eastAsia="仿宋_GB2312" w:cs="仿宋_GB2312"/>
        </w:rPr>
        <w:t>万平方米。</w:t>
      </w:r>
      <w:bookmarkEnd w:id="46"/>
      <w:r>
        <w:rPr>
          <w:rFonts w:hint="eastAsia" w:ascii="仿宋_GB2312" w:hAnsi="仿宋_GB2312" w:eastAsia="仿宋_GB2312" w:cs="仿宋_GB2312"/>
        </w:rPr>
        <w:t>落实上层次规划选址</w:t>
      </w:r>
      <w:r>
        <w:rPr>
          <w:rFonts w:hint="eastAsia" w:ascii="Times New Roman" w:hAnsi="Times New Roman" w:eastAsia="仿宋_GB2312" w:cs="仿宋_GB2312"/>
        </w:rPr>
        <w:t>75</w:t>
      </w:r>
      <w:r>
        <w:rPr>
          <w:rFonts w:hint="eastAsia" w:ascii="仿宋_GB2312" w:hAnsi="仿宋_GB2312" w:eastAsia="仿宋_GB2312" w:cs="仿宋_GB2312"/>
        </w:rPr>
        <w:t>处，规划用地上新增选址</w:t>
      </w:r>
      <w:r>
        <w:rPr>
          <w:rFonts w:hint="eastAsia" w:ascii="Times New Roman" w:hAnsi="Times New Roman" w:eastAsia="仿宋_GB2312" w:cs="仿宋_GB2312"/>
        </w:rPr>
        <w:t>1</w:t>
      </w:r>
      <w:r>
        <w:rPr>
          <w:rFonts w:hint="eastAsia" w:ascii="仿宋_GB2312" w:hAnsi="仿宋_GB2312" w:eastAsia="仿宋_GB2312" w:cs="仿宋_GB2312"/>
        </w:rPr>
        <w:t>处。</w:t>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rPr>
          <w:rFonts w:hint="eastAsia" w:ascii="黑体" w:hAnsi="黑体" w:eastAsia="黑体" w:cs="黑体"/>
        </w:rPr>
      </w:pPr>
      <w:r>
        <w:rPr>
          <w:rFonts w:hint="eastAsia" w:ascii="黑体" w:hAnsi="黑体" w:eastAsia="黑体" w:cs="黑体"/>
        </w:rPr>
        <w:t>表</w:t>
      </w:r>
      <w:r>
        <w:rPr>
          <w:rFonts w:hint="eastAsia" w:ascii="Times New Roman" w:hAnsi="Times New Roman" w:eastAsia="黑体" w:cs="黑体"/>
        </w:rPr>
        <w:t>3</w:t>
      </w:r>
      <w:r>
        <w:rPr>
          <w:rFonts w:hint="eastAsia" w:ascii="黑体" w:hAnsi="黑体" w:eastAsia="黑体" w:cs="黑体"/>
        </w:rPr>
        <w:t>各镇（街）长期避护场所汇总表</w:t>
      </w:r>
    </w:p>
    <w:tbl>
      <w:tblPr>
        <w:tblStyle w:val="51"/>
        <w:tblW w:w="90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906"/>
        <w:gridCol w:w="1360"/>
        <w:gridCol w:w="1511"/>
        <w:gridCol w:w="1512"/>
        <w:gridCol w:w="1207"/>
        <w:gridCol w:w="1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blHeader/>
          <w:jc w:val="center"/>
        </w:trPr>
        <w:tc>
          <w:tcPr>
            <w:tcW w:w="1202" w:type="dxa"/>
            <w:shd w:val="clear" w:color="auto" w:fill="D8D8D8" w:themeFill="background1" w:themeFillShade="D9"/>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bookmarkStart w:id="47" w:name="_Hlk213783750"/>
            <w:r>
              <w:rPr>
                <w:rFonts w:hint="eastAsia" w:ascii="黑体" w:hAnsi="黑体" w:eastAsia="黑体" w:cs="黑体"/>
                <w:b w:val="0"/>
                <w:bCs w:val="0"/>
                <w:sz w:val="24"/>
                <w:szCs w:val="24"/>
              </w:rPr>
              <w:t>镇（街）</w:t>
            </w:r>
          </w:p>
        </w:tc>
        <w:tc>
          <w:tcPr>
            <w:tcW w:w="906" w:type="dxa"/>
            <w:shd w:val="clear" w:color="auto" w:fill="D8D8D8" w:themeFill="background1" w:themeFillShade="D9"/>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数量（处）</w:t>
            </w:r>
          </w:p>
        </w:tc>
        <w:tc>
          <w:tcPr>
            <w:tcW w:w="1360" w:type="dxa"/>
            <w:shd w:val="clear" w:color="auto" w:fill="D8D8D8" w:themeFill="background1" w:themeFillShade="D9"/>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用地面积（公顷）</w:t>
            </w:r>
          </w:p>
        </w:tc>
        <w:tc>
          <w:tcPr>
            <w:tcW w:w="1511" w:type="dxa"/>
            <w:shd w:val="clear" w:color="auto" w:fill="D8D8D8" w:themeFill="background1" w:themeFillShade="D9"/>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室内有效避护面积（万平方米）</w:t>
            </w:r>
          </w:p>
        </w:tc>
        <w:tc>
          <w:tcPr>
            <w:tcW w:w="1512" w:type="dxa"/>
            <w:shd w:val="clear" w:color="auto" w:fill="D8D8D8" w:themeFill="background1" w:themeFillShade="D9"/>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室外有效避护面积（万平方米）</w:t>
            </w:r>
          </w:p>
        </w:tc>
        <w:tc>
          <w:tcPr>
            <w:tcW w:w="1207" w:type="dxa"/>
            <w:shd w:val="clear" w:color="auto" w:fill="D8D8D8" w:themeFill="background1" w:themeFillShade="D9"/>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有效避护面积（万平方米）</w:t>
            </w:r>
          </w:p>
        </w:tc>
        <w:tc>
          <w:tcPr>
            <w:tcW w:w="1309" w:type="dxa"/>
            <w:shd w:val="clear" w:color="auto" w:fill="D8D8D8" w:themeFill="background1" w:themeFillShade="D9"/>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长期可容纳人口（万人）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荔城街</w:t>
            </w:r>
          </w:p>
        </w:tc>
        <w:tc>
          <w:tcPr>
            <w:tcW w:w="906"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7</w:t>
            </w:r>
          </w:p>
        </w:tc>
        <w:tc>
          <w:tcPr>
            <w:tcW w:w="1360"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60</w:t>
            </w:r>
            <w:r>
              <w:rPr>
                <w:rFonts w:hint="eastAsia" w:ascii="宋体" w:hAnsi="宋体" w:eastAsia="宋体" w:cs="宋体"/>
                <w:sz w:val="24"/>
                <w:szCs w:val="24"/>
              </w:rPr>
              <w:t>.</w:t>
            </w:r>
            <w:r>
              <w:rPr>
                <w:rFonts w:hint="eastAsia" w:ascii="Times New Roman" w:hAnsi="Times New Roman" w:eastAsia="宋体" w:cs="宋体"/>
                <w:sz w:val="24"/>
                <w:szCs w:val="24"/>
              </w:rPr>
              <w:t>43</w:t>
            </w:r>
          </w:p>
        </w:tc>
        <w:tc>
          <w:tcPr>
            <w:tcW w:w="1511"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5</w:t>
            </w:r>
            <w:r>
              <w:rPr>
                <w:rFonts w:hint="eastAsia" w:ascii="宋体" w:hAnsi="宋体" w:eastAsia="宋体" w:cs="宋体"/>
                <w:sz w:val="24"/>
                <w:szCs w:val="24"/>
              </w:rPr>
              <w:t>.</w:t>
            </w:r>
            <w:r>
              <w:rPr>
                <w:rFonts w:hint="eastAsia" w:ascii="Times New Roman" w:hAnsi="Times New Roman" w:eastAsia="宋体" w:cs="宋体"/>
                <w:sz w:val="24"/>
                <w:szCs w:val="24"/>
              </w:rPr>
              <w:t>61</w:t>
            </w:r>
          </w:p>
        </w:tc>
        <w:tc>
          <w:tcPr>
            <w:tcW w:w="1512" w:type="dxa"/>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37</w:t>
            </w:r>
            <w:r>
              <w:rPr>
                <w:rFonts w:hint="eastAsia" w:ascii="宋体" w:hAnsi="宋体" w:eastAsia="宋体" w:cs="宋体"/>
                <w:sz w:val="24"/>
                <w:szCs w:val="24"/>
              </w:rPr>
              <w:t>.</w:t>
            </w:r>
            <w:r>
              <w:rPr>
                <w:rFonts w:hint="eastAsia" w:ascii="Times New Roman" w:hAnsi="Times New Roman" w:eastAsia="宋体" w:cs="宋体"/>
                <w:sz w:val="24"/>
                <w:szCs w:val="24"/>
              </w:rPr>
              <w:t>7</w:t>
            </w:r>
          </w:p>
        </w:tc>
        <w:tc>
          <w:tcPr>
            <w:tcW w:w="1207"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43</w:t>
            </w:r>
            <w:r>
              <w:rPr>
                <w:rFonts w:hint="eastAsia" w:ascii="宋体" w:hAnsi="宋体" w:eastAsia="宋体" w:cs="宋体"/>
                <w:sz w:val="24"/>
                <w:szCs w:val="24"/>
              </w:rPr>
              <w:t>.</w:t>
            </w:r>
            <w:r>
              <w:rPr>
                <w:rFonts w:hint="eastAsia" w:ascii="Times New Roman" w:hAnsi="Times New Roman" w:eastAsia="宋体" w:cs="宋体"/>
                <w:sz w:val="24"/>
                <w:szCs w:val="24"/>
              </w:rPr>
              <w:t>31</w:t>
            </w:r>
          </w:p>
        </w:tc>
        <w:tc>
          <w:tcPr>
            <w:tcW w:w="1309"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9</w:t>
            </w:r>
            <w:r>
              <w:rPr>
                <w:rFonts w:hint="eastAsia" w:ascii="宋体" w:hAnsi="宋体" w:eastAsia="宋体" w:cs="宋体"/>
                <w:sz w:val="24"/>
                <w:szCs w:val="24"/>
              </w:rPr>
              <w:t>.</w:t>
            </w:r>
            <w:r>
              <w:rPr>
                <w:rFonts w:hint="eastAsia" w:ascii="Times New Roman" w:hAnsi="Times New Roman" w:eastAsia="宋体" w:cs="宋体"/>
                <w:sz w:val="24"/>
                <w:szCs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增江街</w:t>
            </w:r>
          </w:p>
        </w:tc>
        <w:tc>
          <w:tcPr>
            <w:tcW w:w="906"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7</w:t>
            </w:r>
          </w:p>
        </w:tc>
        <w:tc>
          <w:tcPr>
            <w:tcW w:w="1360"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103</w:t>
            </w:r>
            <w:r>
              <w:rPr>
                <w:rFonts w:hint="eastAsia" w:ascii="宋体" w:hAnsi="宋体" w:eastAsia="宋体" w:cs="宋体"/>
                <w:sz w:val="24"/>
                <w:szCs w:val="24"/>
              </w:rPr>
              <w:t>.</w:t>
            </w:r>
            <w:r>
              <w:rPr>
                <w:rFonts w:hint="eastAsia" w:ascii="Times New Roman" w:hAnsi="Times New Roman" w:eastAsia="宋体" w:cs="宋体"/>
                <w:sz w:val="24"/>
                <w:szCs w:val="24"/>
              </w:rPr>
              <w:t>34</w:t>
            </w:r>
          </w:p>
        </w:tc>
        <w:tc>
          <w:tcPr>
            <w:tcW w:w="1511"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7</w:t>
            </w:r>
            <w:r>
              <w:rPr>
                <w:rFonts w:hint="eastAsia" w:ascii="宋体" w:hAnsi="宋体" w:eastAsia="宋体" w:cs="宋体"/>
                <w:sz w:val="24"/>
                <w:szCs w:val="24"/>
              </w:rPr>
              <w:t>.</w:t>
            </w:r>
            <w:r>
              <w:rPr>
                <w:rFonts w:hint="eastAsia" w:ascii="Times New Roman" w:hAnsi="Times New Roman" w:eastAsia="宋体" w:cs="宋体"/>
                <w:sz w:val="24"/>
                <w:szCs w:val="24"/>
              </w:rPr>
              <w:t>97</w:t>
            </w:r>
          </w:p>
        </w:tc>
        <w:tc>
          <w:tcPr>
            <w:tcW w:w="1512" w:type="dxa"/>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23</w:t>
            </w:r>
            <w:r>
              <w:rPr>
                <w:rFonts w:hint="eastAsia" w:ascii="宋体" w:hAnsi="宋体" w:eastAsia="宋体" w:cs="宋体"/>
                <w:sz w:val="24"/>
                <w:szCs w:val="24"/>
              </w:rPr>
              <w:t>.</w:t>
            </w:r>
            <w:r>
              <w:rPr>
                <w:rFonts w:hint="eastAsia" w:ascii="Times New Roman" w:hAnsi="Times New Roman" w:eastAsia="宋体" w:cs="宋体"/>
                <w:sz w:val="24"/>
                <w:szCs w:val="24"/>
              </w:rPr>
              <w:t>9</w:t>
            </w:r>
          </w:p>
        </w:tc>
        <w:tc>
          <w:tcPr>
            <w:tcW w:w="1207"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31</w:t>
            </w:r>
            <w:r>
              <w:rPr>
                <w:rFonts w:hint="eastAsia" w:ascii="宋体" w:hAnsi="宋体" w:eastAsia="宋体" w:cs="宋体"/>
                <w:sz w:val="24"/>
                <w:szCs w:val="24"/>
              </w:rPr>
              <w:t>.</w:t>
            </w:r>
            <w:r>
              <w:rPr>
                <w:rFonts w:hint="eastAsia" w:ascii="Times New Roman" w:hAnsi="Times New Roman" w:eastAsia="宋体" w:cs="宋体"/>
                <w:sz w:val="24"/>
                <w:szCs w:val="24"/>
              </w:rPr>
              <w:t>87</w:t>
            </w:r>
          </w:p>
        </w:tc>
        <w:tc>
          <w:tcPr>
            <w:tcW w:w="1309"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7</w:t>
            </w:r>
            <w:r>
              <w:rPr>
                <w:rFonts w:hint="eastAsia" w:ascii="宋体" w:hAnsi="宋体" w:eastAsia="宋体" w:cs="宋体"/>
                <w:sz w:val="24"/>
                <w:szCs w:val="24"/>
              </w:rPr>
              <w:t>.</w:t>
            </w:r>
            <w:r>
              <w:rPr>
                <w:rFonts w:hint="eastAsia" w:ascii="Times New Roman" w:hAnsi="Times New Roman" w:eastAsia="宋体" w:cs="宋体"/>
                <w:sz w:val="24"/>
                <w:szCs w:val="24"/>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朱村街</w:t>
            </w:r>
          </w:p>
        </w:tc>
        <w:tc>
          <w:tcPr>
            <w:tcW w:w="906"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w:t>
            </w:r>
          </w:p>
        </w:tc>
        <w:tc>
          <w:tcPr>
            <w:tcW w:w="1360"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12</w:t>
            </w:r>
            <w:r>
              <w:rPr>
                <w:rFonts w:hint="eastAsia" w:ascii="宋体" w:hAnsi="宋体" w:eastAsia="宋体" w:cs="宋体"/>
                <w:sz w:val="24"/>
                <w:szCs w:val="24"/>
              </w:rPr>
              <w:t>.</w:t>
            </w:r>
            <w:r>
              <w:rPr>
                <w:rFonts w:hint="eastAsia" w:ascii="Times New Roman" w:hAnsi="Times New Roman" w:eastAsia="宋体" w:cs="宋体"/>
                <w:sz w:val="24"/>
                <w:szCs w:val="24"/>
              </w:rPr>
              <w:t>06</w:t>
            </w:r>
          </w:p>
        </w:tc>
        <w:tc>
          <w:tcPr>
            <w:tcW w:w="1511"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88</w:t>
            </w:r>
          </w:p>
        </w:tc>
        <w:tc>
          <w:tcPr>
            <w:tcW w:w="1512" w:type="dxa"/>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65</w:t>
            </w:r>
          </w:p>
        </w:tc>
        <w:tc>
          <w:tcPr>
            <w:tcW w:w="1207"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6</w:t>
            </w:r>
            <w:r>
              <w:rPr>
                <w:rFonts w:hint="eastAsia" w:ascii="宋体" w:hAnsi="宋体" w:eastAsia="宋体" w:cs="宋体"/>
                <w:sz w:val="24"/>
                <w:szCs w:val="24"/>
              </w:rPr>
              <w:t>.</w:t>
            </w:r>
            <w:r>
              <w:rPr>
                <w:rFonts w:hint="eastAsia" w:ascii="Times New Roman" w:hAnsi="Times New Roman" w:eastAsia="宋体" w:cs="宋体"/>
                <w:sz w:val="24"/>
                <w:szCs w:val="24"/>
              </w:rPr>
              <w:t>53</w:t>
            </w:r>
          </w:p>
        </w:tc>
        <w:tc>
          <w:tcPr>
            <w:tcW w:w="1309"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永宁街</w:t>
            </w:r>
          </w:p>
        </w:tc>
        <w:tc>
          <w:tcPr>
            <w:tcW w:w="906"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9</w:t>
            </w:r>
          </w:p>
        </w:tc>
        <w:tc>
          <w:tcPr>
            <w:tcW w:w="1360"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42</w:t>
            </w:r>
            <w:r>
              <w:rPr>
                <w:rFonts w:hint="eastAsia" w:ascii="宋体" w:hAnsi="宋体" w:eastAsia="宋体" w:cs="宋体"/>
                <w:sz w:val="24"/>
                <w:szCs w:val="24"/>
              </w:rPr>
              <w:t>.</w:t>
            </w:r>
            <w:r>
              <w:rPr>
                <w:rFonts w:hint="eastAsia" w:ascii="Times New Roman" w:hAnsi="Times New Roman" w:eastAsia="宋体" w:cs="宋体"/>
                <w:sz w:val="24"/>
                <w:szCs w:val="24"/>
              </w:rPr>
              <w:t>64</w:t>
            </w:r>
          </w:p>
        </w:tc>
        <w:tc>
          <w:tcPr>
            <w:tcW w:w="1511"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6</w:t>
            </w:r>
            <w:r>
              <w:rPr>
                <w:rFonts w:hint="eastAsia" w:ascii="宋体" w:hAnsi="宋体" w:eastAsia="宋体" w:cs="宋体"/>
                <w:sz w:val="24"/>
                <w:szCs w:val="24"/>
              </w:rPr>
              <w:t>.</w:t>
            </w:r>
            <w:r>
              <w:rPr>
                <w:rFonts w:hint="eastAsia" w:ascii="Times New Roman" w:hAnsi="Times New Roman" w:eastAsia="宋体" w:cs="宋体"/>
                <w:sz w:val="24"/>
                <w:szCs w:val="24"/>
              </w:rPr>
              <w:t>49</w:t>
            </w:r>
          </w:p>
        </w:tc>
        <w:tc>
          <w:tcPr>
            <w:tcW w:w="1512" w:type="dxa"/>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16</w:t>
            </w:r>
            <w:r>
              <w:rPr>
                <w:rFonts w:hint="eastAsia" w:ascii="宋体" w:hAnsi="宋体" w:eastAsia="宋体" w:cs="宋体"/>
                <w:sz w:val="24"/>
                <w:szCs w:val="24"/>
              </w:rPr>
              <w:t>.</w:t>
            </w:r>
            <w:r>
              <w:rPr>
                <w:rFonts w:hint="eastAsia" w:ascii="Times New Roman" w:hAnsi="Times New Roman" w:eastAsia="宋体" w:cs="宋体"/>
                <w:sz w:val="24"/>
                <w:szCs w:val="24"/>
              </w:rPr>
              <w:t>29</w:t>
            </w:r>
          </w:p>
        </w:tc>
        <w:tc>
          <w:tcPr>
            <w:tcW w:w="1207"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22</w:t>
            </w:r>
            <w:r>
              <w:rPr>
                <w:rFonts w:hint="eastAsia" w:ascii="宋体" w:hAnsi="宋体" w:eastAsia="宋体" w:cs="宋体"/>
                <w:sz w:val="24"/>
                <w:szCs w:val="24"/>
              </w:rPr>
              <w:t>.</w:t>
            </w:r>
            <w:r>
              <w:rPr>
                <w:rFonts w:hint="eastAsia" w:ascii="Times New Roman" w:hAnsi="Times New Roman" w:eastAsia="宋体" w:cs="宋体"/>
                <w:sz w:val="24"/>
                <w:szCs w:val="24"/>
              </w:rPr>
              <w:t>78</w:t>
            </w:r>
          </w:p>
        </w:tc>
        <w:tc>
          <w:tcPr>
            <w:tcW w:w="1309"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5</w:t>
            </w:r>
            <w:r>
              <w:rPr>
                <w:rFonts w:hint="eastAsia" w:ascii="宋体" w:hAnsi="宋体" w:eastAsia="宋体" w:cs="宋体"/>
                <w:sz w:val="24"/>
                <w:szCs w:val="24"/>
              </w:rPr>
              <w:t>.</w:t>
            </w:r>
            <w:r>
              <w:rPr>
                <w:rFonts w:hint="eastAsia" w:ascii="Times New Roman" w:hAnsi="Times New Roman" w:eastAsia="宋体" w:cs="宋体"/>
                <w:sz w:val="24"/>
                <w:szCs w:val="24"/>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荔湖街</w:t>
            </w:r>
          </w:p>
        </w:tc>
        <w:tc>
          <w:tcPr>
            <w:tcW w:w="906"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6</w:t>
            </w:r>
          </w:p>
        </w:tc>
        <w:tc>
          <w:tcPr>
            <w:tcW w:w="1360"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98</w:t>
            </w:r>
            <w:r>
              <w:rPr>
                <w:rFonts w:hint="eastAsia" w:ascii="宋体" w:hAnsi="宋体" w:eastAsia="宋体" w:cs="宋体"/>
                <w:sz w:val="24"/>
                <w:szCs w:val="24"/>
              </w:rPr>
              <w:t>.</w:t>
            </w:r>
            <w:r>
              <w:rPr>
                <w:rFonts w:hint="eastAsia" w:ascii="Times New Roman" w:hAnsi="Times New Roman" w:eastAsia="宋体" w:cs="宋体"/>
                <w:sz w:val="24"/>
                <w:szCs w:val="24"/>
              </w:rPr>
              <w:t>96</w:t>
            </w:r>
          </w:p>
        </w:tc>
        <w:tc>
          <w:tcPr>
            <w:tcW w:w="1511"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10</w:t>
            </w:r>
            <w:r>
              <w:rPr>
                <w:rFonts w:hint="eastAsia" w:ascii="宋体" w:hAnsi="宋体" w:eastAsia="宋体" w:cs="宋体"/>
                <w:sz w:val="24"/>
                <w:szCs w:val="24"/>
              </w:rPr>
              <w:t>.</w:t>
            </w:r>
            <w:r>
              <w:rPr>
                <w:rFonts w:hint="eastAsia" w:ascii="Times New Roman" w:hAnsi="Times New Roman" w:eastAsia="宋体" w:cs="宋体"/>
                <w:sz w:val="24"/>
                <w:szCs w:val="24"/>
              </w:rPr>
              <w:t>41</w:t>
            </w:r>
          </w:p>
        </w:tc>
        <w:tc>
          <w:tcPr>
            <w:tcW w:w="1512" w:type="dxa"/>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22</w:t>
            </w:r>
            <w:r>
              <w:rPr>
                <w:rFonts w:hint="eastAsia" w:ascii="宋体" w:hAnsi="宋体" w:eastAsia="宋体" w:cs="宋体"/>
                <w:sz w:val="24"/>
                <w:szCs w:val="24"/>
              </w:rPr>
              <w:t>.</w:t>
            </w:r>
            <w:r>
              <w:rPr>
                <w:rFonts w:hint="eastAsia" w:ascii="Times New Roman" w:hAnsi="Times New Roman" w:eastAsia="宋体" w:cs="宋体"/>
                <w:sz w:val="24"/>
                <w:szCs w:val="24"/>
              </w:rPr>
              <w:t>68</w:t>
            </w:r>
          </w:p>
        </w:tc>
        <w:tc>
          <w:tcPr>
            <w:tcW w:w="1207"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33</w:t>
            </w:r>
            <w:r>
              <w:rPr>
                <w:rFonts w:hint="eastAsia" w:ascii="宋体" w:hAnsi="宋体" w:eastAsia="宋体" w:cs="宋体"/>
                <w:sz w:val="24"/>
                <w:szCs w:val="24"/>
              </w:rPr>
              <w:t>.</w:t>
            </w:r>
            <w:r>
              <w:rPr>
                <w:rFonts w:hint="eastAsia" w:ascii="Times New Roman" w:hAnsi="Times New Roman" w:eastAsia="宋体" w:cs="宋体"/>
                <w:sz w:val="24"/>
                <w:szCs w:val="24"/>
              </w:rPr>
              <w:t>09</w:t>
            </w:r>
          </w:p>
        </w:tc>
        <w:tc>
          <w:tcPr>
            <w:tcW w:w="1309"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7</w:t>
            </w:r>
            <w:r>
              <w:rPr>
                <w:rFonts w:hint="eastAsia" w:ascii="宋体" w:hAnsi="宋体" w:eastAsia="宋体" w:cs="宋体"/>
                <w:sz w:val="24"/>
                <w:szCs w:val="24"/>
              </w:rPr>
              <w:t>.</w:t>
            </w:r>
            <w:r>
              <w:rPr>
                <w:rFonts w:hint="eastAsia" w:ascii="Times New Roman" w:hAnsi="Times New Roman" w:eastAsia="宋体" w:cs="宋体"/>
                <w:sz w:val="24"/>
                <w:szCs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宁西街</w:t>
            </w:r>
          </w:p>
        </w:tc>
        <w:tc>
          <w:tcPr>
            <w:tcW w:w="906"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5</w:t>
            </w:r>
          </w:p>
        </w:tc>
        <w:tc>
          <w:tcPr>
            <w:tcW w:w="1360"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32</w:t>
            </w:r>
            <w:r>
              <w:rPr>
                <w:rFonts w:hint="eastAsia" w:ascii="宋体" w:hAnsi="宋体" w:eastAsia="宋体" w:cs="宋体"/>
                <w:sz w:val="24"/>
                <w:szCs w:val="24"/>
              </w:rPr>
              <w:t>.</w:t>
            </w:r>
            <w:r>
              <w:rPr>
                <w:rFonts w:hint="eastAsia" w:ascii="Times New Roman" w:hAnsi="Times New Roman" w:eastAsia="宋体" w:cs="宋体"/>
                <w:sz w:val="24"/>
                <w:szCs w:val="24"/>
              </w:rPr>
              <w:t>06</w:t>
            </w:r>
          </w:p>
        </w:tc>
        <w:tc>
          <w:tcPr>
            <w:tcW w:w="1511"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6</w:t>
            </w:r>
            <w:r>
              <w:rPr>
                <w:rFonts w:hint="eastAsia" w:ascii="宋体" w:hAnsi="宋体" w:eastAsia="宋体" w:cs="宋体"/>
                <w:sz w:val="24"/>
                <w:szCs w:val="24"/>
              </w:rPr>
              <w:t>.</w:t>
            </w:r>
            <w:r>
              <w:rPr>
                <w:rFonts w:hint="eastAsia" w:ascii="Times New Roman" w:hAnsi="Times New Roman" w:eastAsia="宋体" w:cs="宋体"/>
                <w:sz w:val="24"/>
                <w:szCs w:val="24"/>
              </w:rPr>
              <w:t>78</w:t>
            </w:r>
          </w:p>
        </w:tc>
        <w:tc>
          <w:tcPr>
            <w:tcW w:w="1512" w:type="dxa"/>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8</w:t>
            </w:r>
            <w:r>
              <w:rPr>
                <w:rFonts w:hint="eastAsia" w:ascii="宋体" w:hAnsi="宋体" w:eastAsia="宋体" w:cs="宋体"/>
                <w:sz w:val="24"/>
                <w:szCs w:val="24"/>
              </w:rPr>
              <w:t>.</w:t>
            </w:r>
            <w:r>
              <w:rPr>
                <w:rFonts w:hint="eastAsia" w:ascii="Times New Roman" w:hAnsi="Times New Roman" w:eastAsia="宋体" w:cs="宋体"/>
                <w:sz w:val="24"/>
                <w:szCs w:val="24"/>
              </w:rPr>
              <w:t>99</w:t>
            </w:r>
          </w:p>
        </w:tc>
        <w:tc>
          <w:tcPr>
            <w:tcW w:w="1207"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15</w:t>
            </w:r>
            <w:r>
              <w:rPr>
                <w:rFonts w:hint="eastAsia" w:ascii="宋体" w:hAnsi="宋体" w:eastAsia="宋体" w:cs="宋体"/>
                <w:sz w:val="24"/>
                <w:szCs w:val="24"/>
              </w:rPr>
              <w:t>.</w:t>
            </w:r>
            <w:r>
              <w:rPr>
                <w:rFonts w:hint="eastAsia" w:ascii="Times New Roman" w:hAnsi="Times New Roman" w:eastAsia="宋体" w:cs="宋体"/>
                <w:sz w:val="24"/>
                <w:szCs w:val="24"/>
              </w:rPr>
              <w:t>77</w:t>
            </w:r>
          </w:p>
        </w:tc>
        <w:tc>
          <w:tcPr>
            <w:tcW w:w="1309"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新塘镇</w:t>
            </w:r>
          </w:p>
        </w:tc>
        <w:tc>
          <w:tcPr>
            <w:tcW w:w="906"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13</w:t>
            </w:r>
          </w:p>
        </w:tc>
        <w:tc>
          <w:tcPr>
            <w:tcW w:w="1360"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111</w:t>
            </w:r>
            <w:r>
              <w:rPr>
                <w:rFonts w:hint="eastAsia" w:ascii="宋体" w:hAnsi="宋体" w:eastAsia="宋体" w:cs="宋体"/>
                <w:sz w:val="24"/>
                <w:szCs w:val="24"/>
              </w:rPr>
              <w:t>.</w:t>
            </w:r>
            <w:r>
              <w:rPr>
                <w:rFonts w:hint="eastAsia" w:ascii="Times New Roman" w:hAnsi="Times New Roman" w:eastAsia="宋体" w:cs="宋体"/>
                <w:sz w:val="24"/>
                <w:szCs w:val="24"/>
              </w:rPr>
              <w:t>39</w:t>
            </w:r>
          </w:p>
        </w:tc>
        <w:tc>
          <w:tcPr>
            <w:tcW w:w="1511"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11</w:t>
            </w:r>
            <w:r>
              <w:rPr>
                <w:rFonts w:hint="eastAsia" w:ascii="宋体" w:hAnsi="宋体" w:eastAsia="宋体" w:cs="宋体"/>
                <w:sz w:val="24"/>
                <w:szCs w:val="24"/>
              </w:rPr>
              <w:t>.</w:t>
            </w:r>
            <w:r>
              <w:rPr>
                <w:rFonts w:hint="eastAsia" w:ascii="Times New Roman" w:hAnsi="Times New Roman" w:eastAsia="宋体" w:cs="宋体"/>
                <w:sz w:val="24"/>
                <w:szCs w:val="24"/>
              </w:rPr>
              <w:t>63</w:t>
            </w:r>
          </w:p>
        </w:tc>
        <w:tc>
          <w:tcPr>
            <w:tcW w:w="1512" w:type="dxa"/>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54</w:t>
            </w:r>
            <w:r>
              <w:rPr>
                <w:rFonts w:hint="eastAsia" w:ascii="宋体" w:hAnsi="宋体" w:eastAsia="宋体" w:cs="宋体"/>
                <w:sz w:val="24"/>
                <w:szCs w:val="24"/>
              </w:rPr>
              <w:t>.</w:t>
            </w:r>
            <w:r>
              <w:rPr>
                <w:rFonts w:hint="eastAsia" w:ascii="Times New Roman" w:hAnsi="Times New Roman" w:eastAsia="宋体" w:cs="宋体"/>
                <w:sz w:val="24"/>
                <w:szCs w:val="24"/>
              </w:rPr>
              <w:t>67</w:t>
            </w:r>
          </w:p>
        </w:tc>
        <w:tc>
          <w:tcPr>
            <w:tcW w:w="1207"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66</w:t>
            </w:r>
            <w:r>
              <w:rPr>
                <w:rFonts w:hint="eastAsia" w:ascii="宋体" w:hAnsi="宋体" w:eastAsia="宋体" w:cs="宋体"/>
                <w:sz w:val="24"/>
                <w:szCs w:val="24"/>
              </w:rPr>
              <w:t>.</w:t>
            </w:r>
            <w:r>
              <w:rPr>
                <w:rFonts w:hint="eastAsia" w:ascii="Times New Roman" w:hAnsi="Times New Roman" w:eastAsia="宋体" w:cs="宋体"/>
                <w:sz w:val="24"/>
                <w:szCs w:val="24"/>
              </w:rPr>
              <w:t>3</w:t>
            </w:r>
          </w:p>
        </w:tc>
        <w:tc>
          <w:tcPr>
            <w:tcW w:w="1309"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33</w:t>
            </w:r>
            <w:r>
              <w:rPr>
                <w:rFonts w:hint="eastAsia" w:ascii="宋体" w:hAnsi="宋体" w:eastAsia="宋体" w:cs="宋体"/>
                <w:sz w:val="24"/>
                <w:szCs w:val="24"/>
              </w:rPr>
              <w:t>.</w:t>
            </w:r>
            <w:r>
              <w:rPr>
                <w:rFonts w:hint="eastAsia" w:ascii="Times New Roman" w:hAnsi="Times New Roman" w:eastAsia="宋体" w:cs="宋体"/>
                <w:sz w:val="24"/>
                <w:szCs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石滩镇</w:t>
            </w:r>
          </w:p>
        </w:tc>
        <w:tc>
          <w:tcPr>
            <w:tcW w:w="906"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7</w:t>
            </w:r>
          </w:p>
        </w:tc>
        <w:tc>
          <w:tcPr>
            <w:tcW w:w="1360"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54</w:t>
            </w:r>
            <w:r>
              <w:rPr>
                <w:rFonts w:hint="eastAsia" w:ascii="宋体" w:hAnsi="宋体" w:eastAsia="宋体" w:cs="宋体"/>
                <w:sz w:val="24"/>
                <w:szCs w:val="24"/>
              </w:rPr>
              <w:t>.</w:t>
            </w:r>
            <w:r>
              <w:rPr>
                <w:rFonts w:hint="eastAsia" w:ascii="Times New Roman" w:hAnsi="Times New Roman" w:eastAsia="宋体" w:cs="宋体"/>
                <w:sz w:val="24"/>
                <w:szCs w:val="24"/>
              </w:rPr>
              <w:t>02</w:t>
            </w:r>
          </w:p>
        </w:tc>
        <w:tc>
          <w:tcPr>
            <w:tcW w:w="1511"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14</w:t>
            </w:r>
            <w:r>
              <w:rPr>
                <w:rFonts w:hint="eastAsia" w:ascii="宋体" w:hAnsi="宋体" w:eastAsia="宋体" w:cs="宋体"/>
                <w:sz w:val="24"/>
                <w:szCs w:val="24"/>
              </w:rPr>
              <w:t>.</w:t>
            </w:r>
            <w:r>
              <w:rPr>
                <w:rFonts w:hint="eastAsia" w:ascii="Times New Roman" w:hAnsi="Times New Roman" w:eastAsia="宋体" w:cs="宋体"/>
                <w:sz w:val="24"/>
                <w:szCs w:val="24"/>
              </w:rPr>
              <w:t>63</w:t>
            </w:r>
          </w:p>
        </w:tc>
        <w:tc>
          <w:tcPr>
            <w:tcW w:w="1512" w:type="dxa"/>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15</w:t>
            </w:r>
            <w:r>
              <w:rPr>
                <w:rFonts w:hint="eastAsia" w:ascii="宋体" w:hAnsi="宋体" w:eastAsia="宋体" w:cs="宋体"/>
                <w:sz w:val="24"/>
                <w:szCs w:val="24"/>
              </w:rPr>
              <w:t>.</w:t>
            </w:r>
            <w:r>
              <w:rPr>
                <w:rFonts w:hint="eastAsia" w:ascii="Times New Roman" w:hAnsi="Times New Roman" w:eastAsia="宋体" w:cs="宋体"/>
                <w:sz w:val="24"/>
                <w:szCs w:val="24"/>
              </w:rPr>
              <w:t>54</w:t>
            </w:r>
          </w:p>
        </w:tc>
        <w:tc>
          <w:tcPr>
            <w:tcW w:w="1207"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30</w:t>
            </w:r>
            <w:r>
              <w:rPr>
                <w:rFonts w:hint="eastAsia" w:ascii="宋体" w:hAnsi="宋体" w:eastAsia="宋体" w:cs="宋体"/>
                <w:sz w:val="24"/>
                <w:szCs w:val="24"/>
              </w:rPr>
              <w:t>.</w:t>
            </w:r>
            <w:r>
              <w:rPr>
                <w:rFonts w:hint="eastAsia" w:ascii="Times New Roman" w:hAnsi="Times New Roman" w:eastAsia="宋体" w:cs="宋体"/>
                <w:sz w:val="24"/>
                <w:szCs w:val="24"/>
              </w:rPr>
              <w:t>17</w:t>
            </w:r>
          </w:p>
        </w:tc>
        <w:tc>
          <w:tcPr>
            <w:tcW w:w="1309"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6</w:t>
            </w:r>
            <w:r>
              <w:rPr>
                <w:rFonts w:hint="eastAsia" w:ascii="宋体" w:hAnsi="宋体" w:eastAsia="宋体" w:cs="宋体"/>
                <w:sz w:val="24"/>
                <w:szCs w:val="24"/>
              </w:rPr>
              <w:t>.</w:t>
            </w:r>
            <w:r>
              <w:rPr>
                <w:rFonts w:hint="eastAsia" w:ascii="Times New Roman" w:hAnsi="Times New Roman" w:eastAsia="宋体" w:cs="宋体"/>
                <w:sz w:val="24"/>
                <w:szCs w:val="24"/>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中新镇</w:t>
            </w:r>
          </w:p>
        </w:tc>
        <w:tc>
          <w:tcPr>
            <w:tcW w:w="906"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7</w:t>
            </w:r>
          </w:p>
        </w:tc>
        <w:tc>
          <w:tcPr>
            <w:tcW w:w="1360"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39</w:t>
            </w:r>
            <w:r>
              <w:rPr>
                <w:rFonts w:hint="eastAsia" w:ascii="宋体" w:hAnsi="宋体" w:eastAsia="宋体" w:cs="宋体"/>
                <w:sz w:val="24"/>
                <w:szCs w:val="24"/>
              </w:rPr>
              <w:t>.</w:t>
            </w:r>
            <w:r>
              <w:rPr>
                <w:rFonts w:hint="eastAsia" w:ascii="Times New Roman" w:hAnsi="Times New Roman" w:eastAsia="宋体" w:cs="宋体"/>
                <w:sz w:val="24"/>
                <w:szCs w:val="24"/>
              </w:rPr>
              <w:t>19</w:t>
            </w:r>
          </w:p>
        </w:tc>
        <w:tc>
          <w:tcPr>
            <w:tcW w:w="1511"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12</w:t>
            </w:r>
            <w:r>
              <w:rPr>
                <w:rFonts w:hint="eastAsia" w:ascii="宋体" w:hAnsi="宋体" w:eastAsia="宋体" w:cs="宋体"/>
                <w:sz w:val="24"/>
                <w:szCs w:val="24"/>
              </w:rPr>
              <w:t>.</w:t>
            </w:r>
            <w:r>
              <w:rPr>
                <w:rFonts w:hint="eastAsia" w:ascii="Times New Roman" w:hAnsi="Times New Roman" w:eastAsia="宋体" w:cs="宋体"/>
                <w:sz w:val="24"/>
                <w:szCs w:val="24"/>
              </w:rPr>
              <w:t>25</w:t>
            </w:r>
          </w:p>
        </w:tc>
        <w:tc>
          <w:tcPr>
            <w:tcW w:w="1512" w:type="dxa"/>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13</w:t>
            </w:r>
            <w:r>
              <w:rPr>
                <w:rFonts w:hint="eastAsia" w:ascii="宋体" w:hAnsi="宋体" w:eastAsia="宋体" w:cs="宋体"/>
                <w:sz w:val="24"/>
                <w:szCs w:val="24"/>
              </w:rPr>
              <w:t>.</w:t>
            </w:r>
            <w:r>
              <w:rPr>
                <w:rFonts w:hint="eastAsia" w:ascii="Times New Roman" w:hAnsi="Times New Roman" w:eastAsia="宋体" w:cs="宋体"/>
                <w:sz w:val="24"/>
                <w:szCs w:val="24"/>
              </w:rPr>
              <w:t>98</w:t>
            </w:r>
          </w:p>
        </w:tc>
        <w:tc>
          <w:tcPr>
            <w:tcW w:w="1207"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26</w:t>
            </w:r>
            <w:r>
              <w:rPr>
                <w:rFonts w:hint="eastAsia" w:ascii="宋体" w:hAnsi="宋体" w:eastAsia="宋体" w:cs="宋体"/>
                <w:sz w:val="24"/>
                <w:szCs w:val="24"/>
              </w:rPr>
              <w:t>.</w:t>
            </w:r>
            <w:r>
              <w:rPr>
                <w:rFonts w:hint="eastAsia" w:ascii="Times New Roman" w:hAnsi="Times New Roman" w:eastAsia="宋体" w:cs="宋体"/>
                <w:sz w:val="24"/>
                <w:szCs w:val="24"/>
              </w:rPr>
              <w:t>23</w:t>
            </w:r>
          </w:p>
        </w:tc>
        <w:tc>
          <w:tcPr>
            <w:tcW w:w="1309"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9</w:t>
            </w:r>
            <w:r>
              <w:rPr>
                <w:rFonts w:hint="eastAsia" w:ascii="宋体" w:hAnsi="宋体" w:eastAsia="宋体" w:cs="宋体"/>
                <w:sz w:val="24"/>
                <w:szCs w:val="24"/>
              </w:rPr>
              <w:t>.</w:t>
            </w:r>
            <w:r>
              <w:rPr>
                <w:rFonts w:hint="eastAsia" w:ascii="Times New Roman" w:hAnsi="Times New Roman" w:eastAsia="宋体" w:cs="宋体"/>
                <w:sz w:val="24"/>
                <w:szCs w:val="24"/>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派潭镇</w:t>
            </w:r>
          </w:p>
        </w:tc>
        <w:tc>
          <w:tcPr>
            <w:tcW w:w="906"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6</w:t>
            </w:r>
          </w:p>
        </w:tc>
        <w:tc>
          <w:tcPr>
            <w:tcW w:w="1360"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18</w:t>
            </w:r>
            <w:r>
              <w:rPr>
                <w:rFonts w:hint="eastAsia" w:ascii="宋体" w:hAnsi="宋体" w:eastAsia="宋体" w:cs="宋体"/>
                <w:sz w:val="24"/>
                <w:szCs w:val="24"/>
              </w:rPr>
              <w:t>.</w:t>
            </w:r>
            <w:r>
              <w:rPr>
                <w:rFonts w:hint="eastAsia" w:ascii="Times New Roman" w:hAnsi="Times New Roman" w:eastAsia="宋体" w:cs="宋体"/>
                <w:sz w:val="24"/>
                <w:szCs w:val="24"/>
              </w:rPr>
              <w:t>34</w:t>
            </w:r>
          </w:p>
        </w:tc>
        <w:tc>
          <w:tcPr>
            <w:tcW w:w="1511"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98</w:t>
            </w:r>
          </w:p>
        </w:tc>
        <w:tc>
          <w:tcPr>
            <w:tcW w:w="1512" w:type="dxa"/>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5</w:t>
            </w:r>
            <w:r>
              <w:rPr>
                <w:rFonts w:hint="eastAsia" w:ascii="宋体" w:hAnsi="宋体" w:eastAsia="宋体" w:cs="宋体"/>
                <w:sz w:val="24"/>
                <w:szCs w:val="24"/>
              </w:rPr>
              <w:t>.</w:t>
            </w:r>
            <w:r>
              <w:rPr>
                <w:rFonts w:hint="eastAsia" w:ascii="Times New Roman" w:hAnsi="Times New Roman" w:eastAsia="宋体" w:cs="宋体"/>
                <w:sz w:val="24"/>
                <w:szCs w:val="24"/>
              </w:rPr>
              <w:t>80</w:t>
            </w:r>
          </w:p>
        </w:tc>
        <w:tc>
          <w:tcPr>
            <w:tcW w:w="1207"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8</w:t>
            </w:r>
            <w:r>
              <w:rPr>
                <w:rFonts w:hint="eastAsia" w:ascii="宋体" w:hAnsi="宋体" w:eastAsia="宋体" w:cs="宋体"/>
                <w:sz w:val="24"/>
                <w:szCs w:val="24"/>
              </w:rPr>
              <w:t>.</w:t>
            </w:r>
            <w:r>
              <w:rPr>
                <w:rFonts w:hint="eastAsia" w:ascii="Times New Roman" w:hAnsi="Times New Roman" w:eastAsia="宋体" w:cs="宋体"/>
                <w:sz w:val="24"/>
                <w:szCs w:val="24"/>
              </w:rPr>
              <w:t>78</w:t>
            </w:r>
          </w:p>
        </w:tc>
        <w:tc>
          <w:tcPr>
            <w:tcW w:w="1309"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正果镇</w:t>
            </w:r>
          </w:p>
        </w:tc>
        <w:tc>
          <w:tcPr>
            <w:tcW w:w="906"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1360"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6</w:t>
            </w:r>
            <w:r>
              <w:rPr>
                <w:rFonts w:hint="eastAsia" w:ascii="宋体" w:hAnsi="宋体" w:eastAsia="宋体" w:cs="宋体"/>
                <w:sz w:val="24"/>
                <w:szCs w:val="24"/>
              </w:rPr>
              <w:t>.</w:t>
            </w:r>
            <w:r>
              <w:rPr>
                <w:rFonts w:hint="eastAsia" w:ascii="Times New Roman" w:hAnsi="Times New Roman" w:eastAsia="宋体" w:cs="宋体"/>
                <w:sz w:val="24"/>
                <w:szCs w:val="24"/>
              </w:rPr>
              <w:t>29</w:t>
            </w:r>
          </w:p>
        </w:tc>
        <w:tc>
          <w:tcPr>
            <w:tcW w:w="1511"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36</w:t>
            </w:r>
          </w:p>
        </w:tc>
        <w:tc>
          <w:tcPr>
            <w:tcW w:w="1512" w:type="dxa"/>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73</w:t>
            </w:r>
          </w:p>
        </w:tc>
        <w:tc>
          <w:tcPr>
            <w:tcW w:w="1207"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09</w:t>
            </w:r>
          </w:p>
        </w:tc>
        <w:tc>
          <w:tcPr>
            <w:tcW w:w="1309"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小楼镇</w:t>
            </w:r>
          </w:p>
        </w:tc>
        <w:tc>
          <w:tcPr>
            <w:tcW w:w="906"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1360"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8</w:t>
            </w:r>
            <w:r>
              <w:rPr>
                <w:rFonts w:hint="eastAsia" w:ascii="宋体" w:hAnsi="宋体" w:eastAsia="宋体" w:cs="宋体"/>
                <w:sz w:val="24"/>
                <w:szCs w:val="24"/>
              </w:rPr>
              <w:t>.</w:t>
            </w:r>
            <w:r>
              <w:rPr>
                <w:rFonts w:hint="eastAsia" w:ascii="Times New Roman" w:hAnsi="Times New Roman" w:eastAsia="宋体" w:cs="宋体"/>
                <w:sz w:val="24"/>
                <w:szCs w:val="24"/>
              </w:rPr>
              <w:t>09</w:t>
            </w:r>
          </w:p>
        </w:tc>
        <w:tc>
          <w:tcPr>
            <w:tcW w:w="1511"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62</w:t>
            </w:r>
          </w:p>
        </w:tc>
        <w:tc>
          <w:tcPr>
            <w:tcW w:w="1512" w:type="dxa"/>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59</w:t>
            </w:r>
          </w:p>
        </w:tc>
        <w:tc>
          <w:tcPr>
            <w:tcW w:w="1207"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4</w:t>
            </w:r>
            <w:r>
              <w:rPr>
                <w:rFonts w:hint="eastAsia" w:ascii="宋体" w:hAnsi="宋体" w:eastAsia="宋体" w:cs="宋体"/>
                <w:sz w:val="24"/>
                <w:szCs w:val="24"/>
              </w:rPr>
              <w:t>.</w:t>
            </w:r>
            <w:r>
              <w:rPr>
                <w:rFonts w:hint="eastAsia" w:ascii="Times New Roman" w:hAnsi="Times New Roman" w:eastAsia="宋体" w:cs="宋体"/>
                <w:sz w:val="24"/>
                <w:szCs w:val="24"/>
              </w:rPr>
              <w:t>21</w:t>
            </w:r>
          </w:p>
        </w:tc>
        <w:tc>
          <w:tcPr>
            <w:tcW w:w="1309"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仙村镇</w:t>
            </w:r>
          </w:p>
        </w:tc>
        <w:tc>
          <w:tcPr>
            <w:tcW w:w="906"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1360"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11</w:t>
            </w:r>
            <w:r>
              <w:rPr>
                <w:rFonts w:hint="eastAsia" w:ascii="宋体" w:hAnsi="宋体" w:eastAsia="宋体" w:cs="宋体"/>
                <w:sz w:val="24"/>
                <w:szCs w:val="24"/>
              </w:rPr>
              <w:t>.</w:t>
            </w:r>
            <w:r>
              <w:rPr>
                <w:rFonts w:hint="eastAsia" w:ascii="Times New Roman" w:hAnsi="Times New Roman" w:eastAsia="宋体" w:cs="宋体"/>
                <w:sz w:val="24"/>
                <w:szCs w:val="24"/>
              </w:rPr>
              <w:t>75</w:t>
            </w:r>
          </w:p>
        </w:tc>
        <w:tc>
          <w:tcPr>
            <w:tcW w:w="1511"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4</w:t>
            </w:r>
            <w:r>
              <w:rPr>
                <w:rFonts w:hint="eastAsia" w:ascii="宋体" w:hAnsi="宋体" w:eastAsia="宋体" w:cs="宋体"/>
                <w:sz w:val="24"/>
                <w:szCs w:val="24"/>
              </w:rPr>
              <w:t>.</w:t>
            </w:r>
            <w:r>
              <w:rPr>
                <w:rFonts w:hint="eastAsia" w:ascii="Times New Roman" w:hAnsi="Times New Roman" w:eastAsia="宋体" w:cs="宋体"/>
                <w:sz w:val="24"/>
                <w:szCs w:val="24"/>
              </w:rPr>
              <w:t>70</w:t>
            </w:r>
          </w:p>
        </w:tc>
        <w:tc>
          <w:tcPr>
            <w:tcW w:w="1512" w:type="dxa"/>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30</w:t>
            </w:r>
          </w:p>
        </w:tc>
        <w:tc>
          <w:tcPr>
            <w:tcW w:w="1207"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8</w:t>
            </w:r>
            <w:r>
              <w:rPr>
                <w:rFonts w:hint="eastAsia" w:ascii="宋体" w:hAnsi="宋体" w:eastAsia="宋体" w:cs="宋体"/>
                <w:sz w:val="24"/>
                <w:szCs w:val="24"/>
              </w:rPr>
              <w:t>.</w:t>
            </w:r>
            <w:r>
              <w:rPr>
                <w:rFonts w:hint="eastAsia" w:ascii="Times New Roman" w:hAnsi="Times New Roman" w:eastAsia="宋体" w:cs="宋体"/>
                <w:sz w:val="24"/>
                <w:szCs w:val="24"/>
              </w:rPr>
              <w:t>00</w:t>
            </w:r>
          </w:p>
        </w:tc>
        <w:tc>
          <w:tcPr>
            <w:tcW w:w="1309"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合计</w:t>
            </w:r>
          </w:p>
        </w:tc>
        <w:tc>
          <w:tcPr>
            <w:tcW w:w="906" w:type="dxa"/>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76</w:t>
            </w:r>
          </w:p>
        </w:tc>
        <w:tc>
          <w:tcPr>
            <w:tcW w:w="1360" w:type="dxa"/>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598</w:t>
            </w:r>
            <w:r>
              <w:rPr>
                <w:rFonts w:hint="eastAsia" w:ascii="宋体" w:hAnsi="宋体" w:eastAsia="宋体" w:cs="宋体"/>
                <w:sz w:val="24"/>
                <w:szCs w:val="24"/>
              </w:rPr>
              <w:t>.</w:t>
            </w:r>
            <w:r>
              <w:rPr>
                <w:rFonts w:hint="eastAsia" w:ascii="Times New Roman" w:hAnsi="Times New Roman" w:eastAsia="宋体" w:cs="宋体"/>
                <w:sz w:val="24"/>
                <w:szCs w:val="24"/>
              </w:rPr>
              <w:t>56</w:t>
            </w:r>
          </w:p>
        </w:tc>
        <w:tc>
          <w:tcPr>
            <w:tcW w:w="1511" w:type="dxa"/>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sz w:val="24"/>
                <w:szCs w:val="24"/>
              </w:rPr>
              <w:t>89</w:t>
            </w:r>
            <w:r>
              <w:rPr>
                <w:rFonts w:hint="eastAsia" w:ascii="宋体" w:hAnsi="宋体" w:eastAsia="宋体" w:cs="宋体"/>
                <w:sz w:val="24"/>
                <w:szCs w:val="24"/>
              </w:rPr>
              <w:t>.</w:t>
            </w:r>
            <w:r>
              <w:rPr>
                <w:rFonts w:hint="eastAsia" w:ascii="Times New Roman" w:hAnsi="Times New Roman" w:eastAsia="宋体" w:cs="宋体"/>
                <w:sz w:val="24"/>
                <w:szCs w:val="24"/>
              </w:rPr>
              <w:t>31</w:t>
            </w:r>
          </w:p>
        </w:tc>
        <w:tc>
          <w:tcPr>
            <w:tcW w:w="1512"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color w:val="000000"/>
                <w:sz w:val="24"/>
                <w:szCs w:val="24"/>
              </w:rPr>
              <w:t>210</w:t>
            </w:r>
            <w:r>
              <w:rPr>
                <w:rFonts w:hint="eastAsia" w:ascii="宋体" w:hAnsi="宋体" w:eastAsia="宋体" w:cs="宋体"/>
                <w:color w:val="000000"/>
                <w:sz w:val="24"/>
                <w:szCs w:val="24"/>
              </w:rPr>
              <w:t>.</w:t>
            </w:r>
            <w:r>
              <w:rPr>
                <w:rFonts w:hint="eastAsia" w:ascii="Times New Roman" w:hAnsi="Times New Roman" w:eastAsia="宋体" w:cs="宋体"/>
                <w:color w:val="000000"/>
                <w:sz w:val="24"/>
                <w:szCs w:val="24"/>
              </w:rPr>
              <w:t>82</w:t>
            </w:r>
          </w:p>
        </w:tc>
        <w:tc>
          <w:tcPr>
            <w:tcW w:w="1207"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color w:val="000000"/>
                <w:sz w:val="24"/>
                <w:szCs w:val="24"/>
              </w:rPr>
              <w:t>300</w:t>
            </w:r>
            <w:r>
              <w:rPr>
                <w:rFonts w:hint="eastAsia" w:ascii="宋体" w:hAnsi="宋体" w:eastAsia="宋体" w:cs="宋体"/>
                <w:color w:val="000000"/>
                <w:sz w:val="24"/>
                <w:szCs w:val="24"/>
              </w:rPr>
              <w:t>.</w:t>
            </w:r>
            <w:r>
              <w:rPr>
                <w:rFonts w:hint="eastAsia" w:ascii="Times New Roman" w:hAnsi="Times New Roman" w:eastAsia="宋体" w:cs="宋体"/>
                <w:color w:val="000000"/>
                <w:sz w:val="24"/>
                <w:szCs w:val="24"/>
              </w:rPr>
              <w:t>13</w:t>
            </w:r>
          </w:p>
        </w:tc>
        <w:tc>
          <w:tcPr>
            <w:tcW w:w="1309" w:type="dxa"/>
            <w:vAlign w:val="center"/>
          </w:tcPr>
          <w:p>
            <w:pPr>
              <w:pStyle w:val="17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Times New Roman" w:hAnsi="Times New Roman" w:eastAsia="宋体" w:cs="宋体"/>
                <w:color w:val="000000"/>
                <w:sz w:val="24"/>
                <w:szCs w:val="24"/>
              </w:rPr>
              <w:t>89</w:t>
            </w:r>
            <w:r>
              <w:rPr>
                <w:rFonts w:hint="eastAsia" w:ascii="宋体" w:hAnsi="宋体" w:eastAsia="宋体" w:cs="宋体"/>
                <w:color w:val="000000"/>
                <w:sz w:val="24"/>
                <w:szCs w:val="24"/>
              </w:rPr>
              <w:t>.</w:t>
            </w:r>
            <w:r>
              <w:rPr>
                <w:rFonts w:hint="eastAsia" w:ascii="Times New Roman" w:hAnsi="Times New Roman" w:eastAsia="宋体" w:cs="宋体"/>
                <w:color w:val="000000"/>
                <w:sz w:val="24"/>
                <w:szCs w:val="24"/>
              </w:rPr>
              <w:t>41</w:t>
            </w:r>
          </w:p>
        </w:tc>
      </w:tr>
      <w:bookmarkEnd w:id="47"/>
    </w:tbl>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hint="eastAsia" w:ascii="黑体" w:hAnsi="黑体" w:eastAsia="黑体" w:cs="黑体"/>
          <w:sz w:val="32"/>
          <w:szCs w:val="32"/>
        </w:rPr>
      </w:pPr>
      <w:bookmarkStart w:id="48" w:name="_Toc215490490"/>
      <w:r>
        <w:rPr>
          <w:rFonts w:hint="eastAsia" w:ascii="黑体" w:hAnsi="黑体" w:eastAsia="黑体" w:cs="黑体"/>
          <w:sz w:val="32"/>
          <w:szCs w:val="32"/>
        </w:rPr>
        <w:t>第十八条</w:t>
      </w:r>
      <w:r>
        <w:rPr>
          <w:rFonts w:hint="eastAsia" w:ascii="黑体" w:hAnsi="黑体" w:cs="黑体"/>
          <w:sz w:val="32"/>
          <w:szCs w:val="32"/>
          <w:lang w:val="en-US" w:eastAsia="zh-CN"/>
        </w:rPr>
        <w:t xml:space="preserve"> </w:t>
      </w:r>
      <w:r>
        <w:rPr>
          <w:rFonts w:hint="eastAsia" w:ascii="黑体" w:hAnsi="黑体" w:eastAsia="黑体" w:cs="黑体"/>
          <w:sz w:val="32"/>
          <w:szCs w:val="32"/>
        </w:rPr>
        <w:t xml:space="preserve"> 短期避护场所规划布局</w:t>
      </w:r>
      <w:bookmarkEnd w:id="48"/>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宋体" w:hAnsi="宋体" w:eastAsia="宋体" w:cs="宋体"/>
          <w:sz w:val="32"/>
          <w:szCs w:val="32"/>
        </w:rPr>
      </w:pPr>
      <w:bookmarkStart w:id="49" w:name="_Hlk213784769"/>
      <w:r>
        <w:rPr>
          <w:rFonts w:hint="eastAsia" w:ascii="宋体" w:hAnsi="宋体" w:eastAsia="宋体" w:cs="宋体"/>
          <w:sz w:val="32"/>
          <w:szCs w:val="32"/>
        </w:rPr>
        <w:t>本次规划短期避护场所</w:t>
      </w:r>
      <w:r>
        <w:rPr>
          <w:rFonts w:hint="eastAsia" w:ascii="Times New Roman" w:hAnsi="Times New Roman" w:eastAsia="宋体" w:cs="宋体"/>
          <w:sz w:val="32"/>
          <w:szCs w:val="32"/>
        </w:rPr>
        <w:t>39</w:t>
      </w:r>
      <w:r>
        <w:rPr>
          <w:rFonts w:hint="eastAsia" w:ascii="宋体" w:hAnsi="宋体" w:eastAsia="宋体" w:cs="宋体"/>
          <w:sz w:val="32"/>
          <w:szCs w:val="32"/>
        </w:rPr>
        <w:t>处（详见表</w:t>
      </w:r>
      <w:r>
        <w:rPr>
          <w:rFonts w:hint="eastAsia" w:ascii="Times New Roman" w:hAnsi="Times New Roman" w:eastAsia="宋体" w:cs="宋体"/>
          <w:sz w:val="32"/>
          <w:szCs w:val="32"/>
        </w:rPr>
        <w:t>4</w:t>
      </w:r>
      <w:r>
        <w:rPr>
          <w:rFonts w:hint="eastAsia" w:ascii="宋体" w:hAnsi="宋体" w:eastAsia="宋体" w:cs="宋体"/>
          <w:sz w:val="32"/>
          <w:szCs w:val="32"/>
        </w:rPr>
        <w:t>），其中室内综合性场所</w:t>
      </w:r>
      <w:r>
        <w:rPr>
          <w:rFonts w:hint="eastAsia" w:ascii="Times New Roman" w:hAnsi="Times New Roman" w:eastAsia="宋体" w:cs="宋体"/>
          <w:sz w:val="32"/>
          <w:szCs w:val="32"/>
        </w:rPr>
        <w:t>30</w:t>
      </w:r>
      <w:r>
        <w:rPr>
          <w:rFonts w:hint="eastAsia" w:ascii="宋体" w:hAnsi="宋体" w:eastAsia="宋体" w:cs="宋体"/>
          <w:sz w:val="32"/>
          <w:szCs w:val="32"/>
        </w:rPr>
        <w:t>处，室外综合性场所</w:t>
      </w:r>
      <w:r>
        <w:rPr>
          <w:rFonts w:hint="eastAsia" w:ascii="Times New Roman" w:hAnsi="Times New Roman" w:eastAsia="宋体" w:cs="宋体"/>
          <w:sz w:val="32"/>
          <w:szCs w:val="32"/>
        </w:rPr>
        <w:t>9</w:t>
      </w:r>
      <w:r>
        <w:rPr>
          <w:rFonts w:hint="eastAsia" w:ascii="宋体" w:hAnsi="宋体" w:eastAsia="宋体" w:cs="宋体"/>
          <w:sz w:val="32"/>
          <w:szCs w:val="32"/>
        </w:rPr>
        <w:t>处</w:t>
      </w:r>
      <w:bookmarkStart w:id="50" w:name="_Hlk209199847"/>
      <w:r>
        <w:rPr>
          <w:rFonts w:hint="eastAsia" w:ascii="宋体" w:hAnsi="宋体" w:eastAsia="宋体" w:cs="宋体"/>
          <w:sz w:val="32"/>
          <w:szCs w:val="32"/>
        </w:rPr>
        <w:t>。总用地面积约</w:t>
      </w:r>
      <w:r>
        <w:rPr>
          <w:rFonts w:hint="eastAsia" w:ascii="Times New Roman" w:hAnsi="Times New Roman" w:eastAsia="宋体" w:cs="宋体"/>
          <w:sz w:val="32"/>
          <w:szCs w:val="32"/>
        </w:rPr>
        <w:t>54</w:t>
      </w:r>
      <w:r>
        <w:rPr>
          <w:rFonts w:hint="eastAsia" w:ascii="宋体" w:hAnsi="宋体" w:eastAsia="宋体" w:cs="宋体"/>
          <w:sz w:val="32"/>
          <w:szCs w:val="32"/>
        </w:rPr>
        <w:t>.</w:t>
      </w:r>
      <w:r>
        <w:rPr>
          <w:rFonts w:hint="eastAsia" w:ascii="Times New Roman" w:hAnsi="Times New Roman" w:eastAsia="宋体" w:cs="宋体"/>
          <w:sz w:val="32"/>
          <w:szCs w:val="32"/>
        </w:rPr>
        <w:t>74</w:t>
      </w:r>
      <w:r>
        <w:rPr>
          <w:rFonts w:hint="eastAsia" w:ascii="宋体" w:hAnsi="宋体" w:eastAsia="宋体" w:cs="宋体"/>
          <w:sz w:val="32"/>
          <w:szCs w:val="32"/>
        </w:rPr>
        <w:t>公顷，有效避护面积约</w:t>
      </w:r>
      <w:r>
        <w:rPr>
          <w:rFonts w:hint="eastAsia" w:ascii="Times New Roman" w:hAnsi="Times New Roman" w:eastAsia="宋体" w:cs="宋体"/>
          <w:sz w:val="32"/>
          <w:szCs w:val="32"/>
        </w:rPr>
        <w:t>34</w:t>
      </w:r>
      <w:r>
        <w:rPr>
          <w:rFonts w:hint="eastAsia" w:ascii="宋体" w:hAnsi="宋体" w:eastAsia="宋体" w:cs="宋体"/>
          <w:sz w:val="32"/>
          <w:szCs w:val="32"/>
        </w:rPr>
        <w:t>.</w:t>
      </w:r>
      <w:r>
        <w:rPr>
          <w:rFonts w:hint="eastAsia" w:ascii="Times New Roman" w:hAnsi="Times New Roman" w:eastAsia="宋体" w:cs="宋体"/>
          <w:sz w:val="32"/>
          <w:szCs w:val="32"/>
        </w:rPr>
        <w:t>78</w:t>
      </w:r>
      <w:r>
        <w:rPr>
          <w:rFonts w:hint="eastAsia" w:ascii="宋体" w:hAnsi="宋体" w:eastAsia="宋体" w:cs="宋体"/>
          <w:sz w:val="32"/>
          <w:szCs w:val="32"/>
        </w:rPr>
        <w:t>万平方米，</w:t>
      </w:r>
      <w:bookmarkStart w:id="51" w:name="OLE_LINK9"/>
      <w:r>
        <w:rPr>
          <w:rFonts w:hint="eastAsia" w:ascii="宋体" w:hAnsi="宋体" w:eastAsia="宋体" w:cs="宋体"/>
          <w:sz w:val="32"/>
          <w:szCs w:val="32"/>
        </w:rPr>
        <w:t>室内有效避护面积</w:t>
      </w:r>
      <w:r>
        <w:rPr>
          <w:rFonts w:hint="eastAsia" w:ascii="Times New Roman" w:hAnsi="Times New Roman" w:eastAsia="宋体" w:cs="宋体"/>
          <w:sz w:val="32"/>
          <w:szCs w:val="32"/>
        </w:rPr>
        <w:t>17</w:t>
      </w:r>
      <w:r>
        <w:rPr>
          <w:rFonts w:hint="eastAsia" w:ascii="宋体" w:hAnsi="宋体" w:eastAsia="宋体" w:cs="宋体"/>
          <w:sz w:val="32"/>
          <w:szCs w:val="32"/>
        </w:rPr>
        <w:t>.</w:t>
      </w:r>
      <w:r>
        <w:rPr>
          <w:rFonts w:hint="eastAsia" w:ascii="Times New Roman" w:hAnsi="Times New Roman" w:eastAsia="宋体" w:cs="宋体"/>
          <w:sz w:val="32"/>
          <w:szCs w:val="32"/>
        </w:rPr>
        <w:t>74</w:t>
      </w:r>
      <w:r>
        <w:rPr>
          <w:rFonts w:hint="eastAsia" w:ascii="宋体" w:hAnsi="宋体" w:eastAsia="宋体" w:cs="宋体"/>
          <w:sz w:val="32"/>
          <w:szCs w:val="32"/>
        </w:rPr>
        <w:t>万平方米</w:t>
      </w:r>
      <w:bookmarkEnd w:id="51"/>
      <w:r>
        <w:rPr>
          <w:rFonts w:hint="eastAsia" w:ascii="宋体" w:hAnsi="宋体" w:eastAsia="宋体" w:cs="宋体"/>
          <w:sz w:val="32"/>
          <w:szCs w:val="32"/>
        </w:rPr>
        <w:t>。其中，保留现状场所</w:t>
      </w:r>
      <w:r>
        <w:rPr>
          <w:rFonts w:hint="eastAsia" w:ascii="Times New Roman" w:hAnsi="Times New Roman" w:eastAsia="宋体" w:cs="宋体"/>
          <w:sz w:val="32"/>
          <w:szCs w:val="32"/>
        </w:rPr>
        <w:t>22</w:t>
      </w:r>
      <w:r>
        <w:rPr>
          <w:rFonts w:hint="eastAsia" w:ascii="宋体" w:hAnsi="宋体" w:eastAsia="宋体" w:cs="宋体"/>
          <w:sz w:val="32"/>
          <w:szCs w:val="32"/>
        </w:rPr>
        <w:t>处，在已建用地新增选址</w:t>
      </w:r>
      <w:r>
        <w:rPr>
          <w:rFonts w:hint="eastAsia" w:ascii="Times New Roman" w:hAnsi="Times New Roman" w:eastAsia="宋体" w:cs="宋体"/>
          <w:sz w:val="32"/>
          <w:szCs w:val="32"/>
        </w:rPr>
        <w:t>15</w:t>
      </w:r>
      <w:r>
        <w:rPr>
          <w:rFonts w:hint="eastAsia" w:ascii="宋体" w:hAnsi="宋体" w:eastAsia="宋体" w:cs="宋体"/>
          <w:sz w:val="32"/>
          <w:szCs w:val="32"/>
        </w:rPr>
        <w:t>处，在规划用地上新增选址</w:t>
      </w:r>
      <w:r>
        <w:rPr>
          <w:rFonts w:hint="eastAsia" w:ascii="Times New Roman" w:hAnsi="Times New Roman" w:eastAsia="宋体" w:cs="宋体"/>
          <w:sz w:val="32"/>
          <w:szCs w:val="32"/>
        </w:rPr>
        <w:t>2</w:t>
      </w:r>
      <w:r>
        <w:rPr>
          <w:rFonts w:hint="eastAsia" w:ascii="宋体" w:hAnsi="宋体" w:eastAsia="宋体" w:cs="宋体"/>
          <w:sz w:val="32"/>
          <w:szCs w:val="32"/>
        </w:rPr>
        <w:t>处</w:t>
      </w:r>
      <w:bookmarkEnd w:id="49"/>
      <w:bookmarkEnd w:id="50"/>
      <w:r>
        <w:rPr>
          <w:rFonts w:hint="eastAsia" w:ascii="宋体" w:hAnsi="宋体" w:eastAsia="宋体" w:cs="宋体"/>
          <w:sz w:val="32"/>
          <w:szCs w:val="32"/>
        </w:rPr>
        <w:t>。</w:t>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表</w:t>
      </w:r>
      <w:r>
        <w:rPr>
          <w:rFonts w:hint="eastAsia" w:ascii="Times New Roman" w:hAnsi="Times New Roman" w:eastAsia="黑体" w:cs="黑体"/>
          <w:sz w:val="32"/>
          <w:szCs w:val="32"/>
        </w:rPr>
        <w:t>4</w:t>
      </w:r>
      <w:r>
        <w:rPr>
          <w:rFonts w:hint="eastAsia" w:ascii="黑体" w:hAnsi="黑体" w:eastAsia="黑体" w:cs="黑体"/>
          <w:sz w:val="32"/>
          <w:szCs w:val="32"/>
        </w:rPr>
        <w:t>各镇（街）短期避护场所汇总表</w:t>
      </w:r>
    </w:p>
    <w:tbl>
      <w:tblPr>
        <w:tblStyle w:val="51"/>
        <w:tblW w:w="8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906"/>
        <w:gridCol w:w="1360"/>
        <w:gridCol w:w="1511"/>
        <w:gridCol w:w="1512"/>
        <w:gridCol w:w="1207"/>
        <w:gridCol w:w="1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blHeader/>
          <w:jc w:val="center"/>
        </w:trPr>
        <w:tc>
          <w:tcPr>
            <w:tcW w:w="1202" w:type="dxa"/>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24"/>
                <w:szCs w:val="24"/>
              </w:rPr>
            </w:pPr>
            <w:bookmarkStart w:id="52" w:name="_Hlk200374209"/>
            <w:r>
              <w:rPr>
                <w:rFonts w:hint="eastAsia" w:ascii="黑体" w:hAnsi="黑体" w:eastAsia="黑体" w:cs="黑体"/>
                <w:b w:val="0"/>
                <w:bCs w:val="0"/>
                <w:kern w:val="0"/>
                <w:sz w:val="24"/>
                <w:szCs w:val="24"/>
              </w:rPr>
              <w:t>镇（街）</w:t>
            </w:r>
          </w:p>
        </w:tc>
        <w:tc>
          <w:tcPr>
            <w:tcW w:w="906" w:type="dxa"/>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数量（处）</w:t>
            </w:r>
          </w:p>
        </w:tc>
        <w:tc>
          <w:tcPr>
            <w:tcW w:w="1360" w:type="dxa"/>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用地面积（公顷）</w:t>
            </w:r>
          </w:p>
        </w:tc>
        <w:tc>
          <w:tcPr>
            <w:tcW w:w="1511" w:type="dxa"/>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室内有效避护面积（万平方米）</w:t>
            </w:r>
          </w:p>
        </w:tc>
        <w:tc>
          <w:tcPr>
            <w:tcW w:w="1512" w:type="dxa"/>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室外有效避护面积（万平方米）</w:t>
            </w:r>
          </w:p>
        </w:tc>
        <w:tc>
          <w:tcPr>
            <w:tcW w:w="1207" w:type="dxa"/>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有效避护面积（万平方米）</w:t>
            </w:r>
          </w:p>
        </w:tc>
        <w:tc>
          <w:tcPr>
            <w:tcW w:w="1225" w:type="dxa"/>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可容纳人口（万人）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bookmarkStart w:id="53" w:name="_Hlk213428353"/>
            <w:r>
              <w:rPr>
                <w:rFonts w:hint="eastAsia" w:ascii="宋体" w:hAnsi="宋体" w:eastAsia="宋体" w:cs="宋体"/>
                <w:sz w:val="24"/>
                <w:szCs w:val="24"/>
              </w:rPr>
              <w:t>荔城街</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4</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4</w:t>
            </w:r>
            <w:r>
              <w:rPr>
                <w:rFonts w:hint="eastAsia" w:ascii="宋体" w:hAnsi="宋体" w:eastAsia="宋体" w:cs="宋体"/>
                <w:sz w:val="24"/>
                <w:szCs w:val="24"/>
              </w:rPr>
              <w:t>.</w:t>
            </w:r>
            <w:r>
              <w:rPr>
                <w:rFonts w:hint="eastAsia" w:ascii="Times New Roman" w:hAnsi="Times New Roman" w:eastAsia="宋体" w:cs="宋体"/>
                <w:sz w:val="24"/>
                <w:szCs w:val="24"/>
              </w:rPr>
              <w:t>15</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90</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81</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71</w:t>
            </w:r>
          </w:p>
        </w:tc>
        <w:tc>
          <w:tcPr>
            <w:tcW w:w="12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增江街</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21</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1</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1</w:t>
            </w:r>
          </w:p>
        </w:tc>
        <w:tc>
          <w:tcPr>
            <w:tcW w:w="12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朱村街</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6</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14</w:t>
            </w:r>
            <w:r>
              <w:rPr>
                <w:rFonts w:hint="eastAsia" w:ascii="宋体" w:hAnsi="宋体" w:eastAsia="宋体" w:cs="宋体"/>
                <w:sz w:val="24"/>
                <w:szCs w:val="24"/>
              </w:rPr>
              <w:t>.</w:t>
            </w:r>
            <w:r>
              <w:rPr>
                <w:rFonts w:hint="eastAsia" w:ascii="Times New Roman" w:hAnsi="Times New Roman" w:eastAsia="宋体" w:cs="宋体"/>
                <w:sz w:val="24"/>
                <w:szCs w:val="24"/>
              </w:rPr>
              <w:t>65</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64</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4</w:t>
            </w:r>
            <w:r>
              <w:rPr>
                <w:rFonts w:hint="eastAsia" w:ascii="宋体" w:hAnsi="宋体" w:eastAsia="宋体" w:cs="宋体"/>
                <w:sz w:val="24"/>
                <w:szCs w:val="24"/>
              </w:rPr>
              <w:t>.</w:t>
            </w:r>
            <w:r>
              <w:rPr>
                <w:rFonts w:hint="eastAsia" w:ascii="Times New Roman" w:hAnsi="Times New Roman" w:eastAsia="宋体" w:cs="宋体"/>
                <w:sz w:val="24"/>
                <w:szCs w:val="24"/>
              </w:rPr>
              <w:t>88</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8</w:t>
            </w:r>
            <w:r>
              <w:rPr>
                <w:rFonts w:hint="eastAsia" w:ascii="宋体" w:hAnsi="宋体" w:eastAsia="宋体" w:cs="宋体"/>
                <w:sz w:val="24"/>
                <w:szCs w:val="24"/>
              </w:rPr>
              <w:t>.</w:t>
            </w:r>
            <w:r>
              <w:rPr>
                <w:rFonts w:hint="eastAsia" w:ascii="Times New Roman" w:hAnsi="Times New Roman" w:eastAsia="宋体" w:cs="宋体"/>
                <w:sz w:val="24"/>
                <w:szCs w:val="24"/>
              </w:rPr>
              <w:t>52</w:t>
            </w:r>
          </w:p>
        </w:tc>
        <w:tc>
          <w:tcPr>
            <w:tcW w:w="12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永宁街</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95</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12</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83</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95</w:t>
            </w:r>
          </w:p>
        </w:tc>
        <w:tc>
          <w:tcPr>
            <w:tcW w:w="12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荔湖街</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19</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38</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38</w:t>
            </w:r>
          </w:p>
        </w:tc>
        <w:tc>
          <w:tcPr>
            <w:tcW w:w="12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宁西街</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89</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16</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37</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53</w:t>
            </w:r>
          </w:p>
        </w:tc>
        <w:tc>
          <w:tcPr>
            <w:tcW w:w="12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新塘镇</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4</w:t>
            </w:r>
            <w:r>
              <w:rPr>
                <w:rFonts w:hint="eastAsia" w:ascii="宋体" w:hAnsi="宋体" w:eastAsia="宋体" w:cs="宋体"/>
                <w:sz w:val="24"/>
                <w:szCs w:val="24"/>
              </w:rPr>
              <w:t>.</w:t>
            </w:r>
            <w:r>
              <w:rPr>
                <w:rFonts w:hint="eastAsia" w:ascii="Times New Roman" w:hAnsi="Times New Roman" w:eastAsia="宋体" w:cs="宋体"/>
                <w:sz w:val="24"/>
                <w:szCs w:val="24"/>
              </w:rPr>
              <w:t>52</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62</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09</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71</w:t>
            </w:r>
          </w:p>
        </w:tc>
        <w:tc>
          <w:tcPr>
            <w:tcW w:w="12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石滩镇</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5</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5</w:t>
            </w:r>
            <w:r>
              <w:rPr>
                <w:rFonts w:hint="eastAsia" w:ascii="宋体" w:hAnsi="宋体" w:eastAsia="宋体" w:cs="宋体"/>
                <w:sz w:val="24"/>
                <w:szCs w:val="24"/>
              </w:rPr>
              <w:t>.</w:t>
            </w:r>
            <w:r>
              <w:rPr>
                <w:rFonts w:hint="eastAsia" w:ascii="Times New Roman" w:hAnsi="Times New Roman" w:eastAsia="宋体" w:cs="宋体"/>
                <w:sz w:val="24"/>
                <w:szCs w:val="24"/>
              </w:rPr>
              <w:t>07</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5</w:t>
            </w:r>
            <w:r>
              <w:rPr>
                <w:rFonts w:hint="eastAsia" w:ascii="宋体" w:hAnsi="宋体" w:eastAsia="宋体" w:cs="宋体"/>
                <w:sz w:val="24"/>
                <w:szCs w:val="24"/>
              </w:rPr>
              <w:t>.</w:t>
            </w:r>
            <w:r>
              <w:rPr>
                <w:rFonts w:hint="eastAsia" w:ascii="Times New Roman" w:hAnsi="Times New Roman" w:eastAsia="宋体" w:cs="宋体"/>
                <w:sz w:val="24"/>
                <w:szCs w:val="24"/>
              </w:rPr>
              <w:t>34</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93</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6</w:t>
            </w:r>
            <w:r>
              <w:rPr>
                <w:rFonts w:hint="eastAsia" w:ascii="宋体" w:hAnsi="宋体" w:eastAsia="宋体" w:cs="宋体"/>
                <w:sz w:val="24"/>
                <w:szCs w:val="24"/>
              </w:rPr>
              <w:t>.</w:t>
            </w:r>
            <w:r>
              <w:rPr>
                <w:rFonts w:hint="eastAsia" w:ascii="Times New Roman" w:hAnsi="Times New Roman" w:eastAsia="宋体" w:cs="宋体"/>
                <w:sz w:val="24"/>
                <w:szCs w:val="24"/>
              </w:rPr>
              <w:t>27</w:t>
            </w:r>
          </w:p>
        </w:tc>
        <w:tc>
          <w:tcPr>
            <w:tcW w:w="12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中新镇</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4</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14</w:t>
            </w:r>
            <w:r>
              <w:rPr>
                <w:rFonts w:hint="eastAsia" w:ascii="宋体" w:hAnsi="宋体" w:eastAsia="宋体" w:cs="宋体"/>
                <w:sz w:val="24"/>
                <w:szCs w:val="24"/>
              </w:rPr>
              <w:t>.</w:t>
            </w:r>
            <w:r>
              <w:rPr>
                <w:rFonts w:hint="eastAsia" w:ascii="Times New Roman" w:hAnsi="Times New Roman" w:eastAsia="宋体" w:cs="宋体"/>
                <w:sz w:val="24"/>
                <w:szCs w:val="24"/>
              </w:rPr>
              <w:t>41</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32</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84</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16</w:t>
            </w:r>
          </w:p>
        </w:tc>
        <w:tc>
          <w:tcPr>
            <w:tcW w:w="12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派潭镇</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2</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62</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62</w:t>
            </w:r>
          </w:p>
        </w:tc>
        <w:tc>
          <w:tcPr>
            <w:tcW w:w="12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正果镇</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2</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3</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9</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2</w:t>
            </w:r>
          </w:p>
        </w:tc>
        <w:tc>
          <w:tcPr>
            <w:tcW w:w="12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小楼镇</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6</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17</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715</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635</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35</w:t>
            </w:r>
          </w:p>
        </w:tc>
        <w:tc>
          <w:tcPr>
            <w:tcW w:w="12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仙村镇</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13</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62</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66</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28</w:t>
            </w:r>
          </w:p>
        </w:tc>
        <w:tc>
          <w:tcPr>
            <w:tcW w:w="12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64</w:t>
            </w:r>
          </w:p>
        </w:tc>
      </w:tr>
      <w:bookmarkEnd w:id="5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合计</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39</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54</w:t>
            </w:r>
            <w:r>
              <w:rPr>
                <w:rFonts w:hint="eastAsia" w:ascii="宋体" w:hAnsi="宋体" w:eastAsia="宋体" w:cs="宋体"/>
                <w:sz w:val="24"/>
                <w:szCs w:val="24"/>
              </w:rPr>
              <w:t>.</w:t>
            </w:r>
            <w:r>
              <w:rPr>
                <w:rFonts w:hint="eastAsia" w:ascii="Times New Roman" w:hAnsi="Times New Roman" w:eastAsia="宋体" w:cs="宋体"/>
                <w:sz w:val="24"/>
                <w:szCs w:val="24"/>
              </w:rPr>
              <w:t>74</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17</w:t>
            </w:r>
            <w:r>
              <w:rPr>
                <w:rFonts w:hint="eastAsia" w:ascii="宋体" w:hAnsi="宋体" w:eastAsia="宋体" w:cs="宋体"/>
                <w:sz w:val="24"/>
                <w:szCs w:val="24"/>
              </w:rPr>
              <w:t>.</w:t>
            </w:r>
            <w:r>
              <w:rPr>
                <w:rFonts w:hint="eastAsia" w:ascii="Times New Roman" w:hAnsi="Times New Roman" w:eastAsia="宋体" w:cs="宋体"/>
                <w:sz w:val="24"/>
                <w:szCs w:val="24"/>
              </w:rPr>
              <w:t>74</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17</w:t>
            </w:r>
            <w:r>
              <w:rPr>
                <w:rFonts w:hint="eastAsia" w:ascii="宋体" w:hAnsi="宋体" w:eastAsia="宋体" w:cs="宋体"/>
                <w:sz w:val="24"/>
                <w:szCs w:val="24"/>
              </w:rPr>
              <w:t>.</w:t>
            </w:r>
            <w:r>
              <w:rPr>
                <w:rFonts w:hint="eastAsia" w:ascii="Times New Roman" w:hAnsi="Times New Roman" w:eastAsia="宋体" w:cs="宋体"/>
                <w:sz w:val="24"/>
                <w:szCs w:val="24"/>
              </w:rPr>
              <w:t>04</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34</w:t>
            </w:r>
            <w:r>
              <w:rPr>
                <w:rFonts w:hint="eastAsia" w:ascii="宋体" w:hAnsi="宋体" w:eastAsia="宋体" w:cs="宋体"/>
                <w:sz w:val="24"/>
                <w:szCs w:val="24"/>
              </w:rPr>
              <w:t>.</w:t>
            </w:r>
            <w:r>
              <w:rPr>
                <w:rFonts w:hint="eastAsia" w:ascii="Times New Roman" w:hAnsi="Times New Roman" w:eastAsia="宋体" w:cs="宋体"/>
                <w:sz w:val="24"/>
                <w:szCs w:val="24"/>
              </w:rPr>
              <w:t>78</w:t>
            </w:r>
          </w:p>
        </w:tc>
        <w:tc>
          <w:tcPr>
            <w:tcW w:w="12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15</w:t>
            </w:r>
            <w:r>
              <w:rPr>
                <w:rFonts w:hint="eastAsia" w:ascii="宋体" w:hAnsi="宋体" w:eastAsia="宋体" w:cs="宋体"/>
                <w:sz w:val="24"/>
                <w:szCs w:val="24"/>
              </w:rPr>
              <w:t>.</w:t>
            </w:r>
            <w:r>
              <w:rPr>
                <w:rFonts w:hint="eastAsia" w:ascii="Times New Roman" w:hAnsi="Times New Roman" w:eastAsia="宋体" w:cs="宋体"/>
                <w:sz w:val="24"/>
                <w:szCs w:val="24"/>
              </w:rPr>
              <w:t>73</w:t>
            </w:r>
          </w:p>
        </w:tc>
      </w:tr>
      <w:bookmarkEnd w:id="52"/>
    </w:tbl>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rPr>
      </w:pPr>
      <w:bookmarkStart w:id="54" w:name="_Toc215490491"/>
      <w:r>
        <w:rPr>
          <w:rFonts w:cs="Times New Roman"/>
        </w:rPr>
        <w:t xml:space="preserve">第十九条 </w:t>
      </w:r>
      <w:r>
        <w:rPr>
          <w:rFonts w:hint="eastAsia" w:cs="Times New Roman"/>
          <w:lang w:val="en-US" w:eastAsia="zh-CN"/>
        </w:rPr>
        <w:t xml:space="preserve"> </w:t>
      </w:r>
      <w:r>
        <w:rPr>
          <w:rFonts w:cs="Times New Roman"/>
        </w:rPr>
        <w:t>紧急避护场所</w:t>
      </w:r>
      <w:r>
        <w:rPr>
          <w:rFonts w:hint="eastAsia" w:cs="Times New Roman"/>
        </w:rPr>
        <w:t>规划布局</w:t>
      </w:r>
      <w:bookmarkEnd w:id="54"/>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rPr>
      </w:pPr>
      <w:r>
        <w:rPr>
          <w:rFonts w:hint="eastAsia" w:ascii="仿宋_GB2312" w:hAnsi="仿宋_GB2312" w:eastAsia="仿宋_GB2312" w:cs="仿宋_GB2312"/>
        </w:rPr>
        <w:t>本</w:t>
      </w:r>
      <w:bookmarkStart w:id="55" w:name="_Hlk213784922"/>
      <w:r>
        <w:rPr>
          <w:rFonts w:hint="eastAsia" w:ascii="仿宋_GB2312" w:hAnsi="仿宋_GB2312" w:eastAsia="仿宋_GB2312" w:cs="仿宋_GB2312"/>
        </w:rPr>
        <w:t>次规划紧急避护场所</w:t>
      </w:r>
      <w:r>
        <w:rPr>
          <w:rFonts w:hint="eastAsia" w:ascii="Times New Roman" w:hAnsi="Times New Roman" w:eastAsia="仿宋_GB2312" w:cs="仿宋_GB2312"/>
        </w:rPr>
        <w:t>283</w:t>
      </w:r>
      <w:r>
        <w:rPr>
          <w:rFonts w:hint="eastAsia" w:ascii="仿宋_GB2312" w:hAnsi="仿宋_GB2312" w:eastAsia="仿宋_GB2312" w:cs="仿宋_GB2312"/>
        </w:rPr>
        <w:t>处（详见表</w:t>
      </w:r>
      <w:r>
        <w:rPr>
          <w:rFonts w:hint="eastAsia" w:ascii="Times New Roman" w:hAnsi="Times New Roman" w:eastAsia="仿宋_GB2312" w:cs="仿宋_GB2312"/>
        </w:rPr>
        <w:t>5</w:t>
      </w:r>
      <w:r>
        <w:rPr>
          <w:rFonts w:hint="eastAsia" w:ascii="仿宋_GB2312" w:hAnsi="仿宋_GB2312" w:eastAsia="仿宋_GB2312" w:cs="仿宋_GB2312"/>
        </w:rPr>
        <w:t>），</w:t>
      </w:r>
      <w:bookmarkStart w:id="56" w:name="_Hlk209199891"/>
      <w:r>
        <w:rPr>
          <w:rFonts w:hint="eastAsia" w:ascii="仿宋_GB2312" w:hAnsi="仿宋_GB2312" w:eastAsia="仿宋_GB2312" w:cs="仿宋_GB2312"/>
        </w:rPr>
        <w:t>其中室内综合性场所</w:t>
      </w:r>
      <w:r>
        <w:rPr>
          <w:rFonts w:hint="eastAsia" w:ascii="Times New Roman" w:hAnsi="Times New Roman" w:eastAsia="仿宋_GB2312" w:cs="仿宋_GB2312"/>
        </w:rPr>
        <w:t>267</w:t>
      </w:r>
      <w:r>
        <w:rPr>
          <w:rFonts w:hint="eastAsia" w:ascii="仿宋_GB2312" w:hAnsi="仿宋_GB2312" w:eastAsia="仿宋_GB2312" w:cs="仿宋_GB2312"/>
        </w:rPr>
        <w:t>处；室外综合性场所</w:t>
      </w:r>
      <w:r>
        <w:rPr>
          <w:rFonts w:hint="eastAsia" w:ascii="Times New Roman" w:hAnsi="Times New Roman" w:eastAsia="仿宋_GB2312" w:cs="仿宋_GB2312"/>
        </w:rPr>
        <w:t>16</w:t>
      </w:r>
      <w:r>
        <w:rPr>
          <w:rFonts w:hint="eastAsia" w:ascii="仿宋_GB2312" w:hAnsi="仿宋_GB2312" w:eastAsia="仿宋_GB2312" w:cs="仿宋_GB2312"/>
        </w:rPr>
        <w:t>处。总用地面积</w:t>
      </w:r>
      <w:r>
        <w:rPr>
          <w:rFonts w:hint="eastAsia" w:ascii="Times New Roman" w:hAnsi="Times New Roman" w:eastAsia="仿宋_GB2312" w:cs="仿宋_GB2312"/>
        </w:rPr>
        <w:t>90</w:t>
      </w:r>
      <w:r>
        <w:rPr>
          <w:rFonts w:hint="eastAsia" w:ascii="仿宋_GB2312" w:hAnsi="仿宋_GB2312" w:eastAsia="仿宋_GB2312" w:cs="仿宋_GB2312"/>
        </w:rPr>
        <w:t>.</w:t>
      </w:r>
      <w:r>
        <w:rPr>
          <w:rFonts w:hint="eastAsia" w:ascii="Times New Roman" w:hAnsi="Times New Roman" w:eastAsia="仿宋_GB2312" w:cs="仿宋_GB2312"/>
        </w:rPr>
        <w:t>53</w:t>
      </w:r>
      <w:r>
        <w:rPr>
          <w:rFonts w:hint="eastAsia" w:ascii="仿宋_GB2312" w:hAnsi="仿宋_GB2312" w:eastAsia="仿宋_GB2312" w:cs="仿宋_GB2312"/>
        </w:rPr>
        <w:t>公顷，有效避护面积</w:t>
      </w:r>
      <w:r>
        <w:rPr>
          <w:rFonts w:hint="eastAsia" w:ascii="Times New Roman" w:hAnsi="Times New Roman" w:eastAsia="仿宋_GB2312" w:cs="仿宋_GB2312"/>
        </w:rPr>
        <w:t>90</w:t>
      </w:r>
      <w:r>
        <w:rPr>
          <w:rFonts w:hint="eastAsia" w:ascii="仿宋_GB2312" w:hAnsi="仿宋_GB2312" w:eastAsia="仿宋_GB2312" w:cs="仿宋_GB2312"/>
        </w:rPr>
        <w:t>.</w:t>
      </w:r>
      <w:r>
        <w:rPr>
          <w:rFonts w:hint="eastAsia" w:ascii="Times New Roman" w:hAnsi="Times New Roman" w:eastAsia="仿宋_GB2312" w:cs="仿宋_GB2312"/>
        </w:rPr>
        <w:t>38</w:t>
      </w:r>
      <w:r>
        <w:rPr>
          <w:rFonts w:hint="eastAsia" w:ascii="仿宋_GB2312" w:hAnsi="仿宋_GB2312" w:eastAsia="仿宋_GB2312" w:cs="仿宋_GB2312"/>
        </w:rPr>
        <w:t>万平方米，室内有效避护面积</w:t>
      </w:r>
      <w:r>
        <w:rPr>
          <w:rFonts w:hint="eastAsia" w:ascii="Times New Roman" w:hAnsi="Times New Roman" w:eastAsia="仿宋_GB2312" w:cs="仿宋_GB2312"/>
        </w:rPr>
        <w:t>63</w:t>
      </w:r>
      <w:r>
        <w:rPr>
          <w:rFonts w:hint="eastAsia" w:ascii="仿宋_GB2312" w:hAnsi="仿宋_GB2312" w:eastAsia="仿宋_GB2312" w:cs="仿宋_GB2312"/>
        </w:rPr>
        <w:t>.</w:t>
      </w:r>
      <w:r>
        <w:rPr>
          <w:rFonts w:hint="eastAsia" w:ascii="Times New Roman" w:hAnsi="Times New Roman" w:eastAsia="仿宋_GB2312" w:cs="仿宋_GB2312"/>
        </w:rPr>
        <w:t>78</w:t>
      </w:r>
      <w:r>
        <w:rPr>
          <w:rFonts w:hint="eastAsia" w:ascii="仿宋_GB2312" w:hAnsi="仿宋_GB2312" w:eastAsia="仿宋_GB2312" w:cs="仿宋_GB2312"/>
        </w:rPr>
        <w:t>万平方米。其中，保留现状场所</w:t>
      </w:r>
      <w:r>
        <w:rPr>
          <w:rFonts w:hint="eastAsia" w:ascii="Times New Roman" w:hAnsi="Times New Roman" w:eastAsia="仿宋_GB2312" w:cs="仿宋_GB2312"/>
        </w:rPr>
        <w:t>250</w:t>
      </w:r>
      <w:r>
        <w:rPr>
          <w:rFonts w:hint="eastAsia" w:ascii="仿宋_GB2312" w:hAnsi="仿宋_GB2312" w:eastAsia="仿宋_GB2312" w:cs="仿宋_GB2312"/>
        </w:rPr>
        <w:t>处，在已建用地新增选址</w:t>
      </w:r>
      <w:r>
        <w:rPr>
          <w:rFonts w:hint="eastAsia" w:ascii="Times New Roman" w:hAnsi="Times New Roman" w:eastAsia="仿宋_GB2312" w:cs="仿宋_GB2312"/>
        </w:rPr>
        <w:t>33</w:t>
      </w:r>
      <w:r>
        <w:rPr>
          <w:rFonts w:hint="eastAsia" w:ascii="仿宋_GB2312" w:hAnsi="仿宋_GB2312" w:eastAsia="仿宋_GB2312" w:cs="仿宋_GB2312"/>
        </w:rPr>
        <w:t>处</w:t>
      </w:r>
      <w:bookmarkEnd w:id="56"/>
      <w:r>
        <w:rPr>
          <w:rFonts w:hint="eastAsia" w:ascii="仿宋_GB2312" w:hAnsi="仿宋_GB2312" w:eastAsia="仿宋_GB2312" w:cs="仿宋_GB2312"/>
        </w:rPr>
        <w:t>。</w:t>
      </w:r>
    </w:p>
    <w:bookmarkEnd w:id="55"/>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rPr>
          <w:rFonts w:hint="eastAsia" w:ascii="黑体" w:hAnsi="黑体" w:eastAsia="黑体" w:cs="黑体"/>
        </w:rPr>
      </w:pPr>
      <w:r>
        <w:rPr>
          <w:rFonts w:hint="eastAsia" w:ascii="黑体" w:hAnsi="黑体" w:eastAsia="黑体" w:cs="黑体"/>
        </w:rPr>
        <w:t>表</w:t>
      </w:r>
      <w:r>
        <w:rPr>
          <w:rFonts w:hint="eastAsia" w:ascii="Times New Roman" w:hAnsi="Times New Roman" w:eastAsia="黑体" w:cs="黑体"/>
        </w:rPr>
        <w:t>5</w:t>
      </w:r>
      <w:r>
        <w:rPr>
          <w:rFonts w:hint="eastAsia" w:ascii="黑体" w:hAnsi="黑体" w:eastAsia="黑体" w:cs="黑体"/>
        </w:rPr>
        <w:t>各镇（街）紧急避护场所汇总表</w:t>
      </w:r>
    </w:p>
    <w:tbl>
      <w:tblPr>
        <w:tblStyle w:val="51"/>
        <w:tblW w:w="8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906"/>
        <w:gridCol w:w="1360"/>
        <w:gridCol w:w="1511"/>
        <w:gridCol w:w="1512"/>
        <w:gridCol w:w="1207"/>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blHeader/>
          <w:jc w:val="center"/>
        </w:trPr>
        <w:tc>
          <w:tcPr>
            <w:tcW w:w="1202" w:type="dxa"/>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24"/>
                <w:szCs w:val="24"/>
              </w:rPr>
            </w:pPr>
            <w:bookmarkStart w:id="57" w:name="_Hlk213784943"/>
            <w:r>
              <w:rPr>
                <w:rFonts w:hint="eastAsia" w:ascii="黑体" w:hAnsi="黑体" w:eastAsia="黑体" w:cs="黑体"/>
                <w:b w:val="0"/>
                <w:bCs w:val="0"/>
                <w:kern w:val="0"/>
                <w:sz w:val="24"/>
                <w:szCs w:val="24"/>
              </w:rPr>
              <w:t>镇（街）</w:t>
            </w:r>
          </w:p>
        </w:tc>
        <w:tc>
          <w:tcPr>
            <w:tcW w:w="906" w:type="dxa"/>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数量（处）</w:t>
            </w:r>
          </w:p>
        </w:tc>
        <w:tc>
          <w:tcPr>
            <w:tcW w:w="1360" w:type="dxa"/>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用地面积（公顷）</w:t>
            </w:r>
          </w:p>
        </w:tc>
        <w:tc>
          <w:tcPr>
            <w:tcW w:w="1511" w:type="dxa"/>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室内有效避护面积（万平方米）</w:t>
            </w:r>
          </w:p>
        </w:tc>
        <w:tc>
          <w:tcPr>
            <w:tcW w:w="1512" w:type="dxa"/>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室外有效避护面积（万平方米）</w:t>
            </w:r>
          </w:p>
        </w:tc>
        <w:tc>
          <w:tcPr>
            <w:tcW w:w="1207" w:type="dxa"/>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有效避护面积（万平方米）</w:t>
            </w:r>
          </w:p>
        </w:tc>
        <w:tc>
          <w:tcPr>
            <w:tcW w:w="1219" w:type="dxa"/>
            <w:shd w:val="clear" w:color="auto" w:fill="D8D8D8" w:themeFill="background1" w:themeFillShade="D9"/>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可容纳人口（万人）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Cs/>
                <w:sz w:val="24"/>
                <w:szCs w:val="24"/>
              </w:rPr>
            </w:pPr>
            <w:r>
              <w:rPr>
                <w:rFonts w:hint="eastAsia" w:ascii="宋体" w:hAnsi="宋体" w:eastAsia="宋体" w:cs="宋体"/>
                <w:sz w:val="24"/>
                <w:szCs w:val="24"/>
              </w:rPr>
              <w:t>荔城街</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14</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19</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98</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75</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73</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增江街</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11</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4</w:t>
            </w:r>
            <w:r>
              <w:rPr>
                <w:rFonts w:hint="eastAsia" w:ascii="宋体" w:hAnsi="宋体" w:eastAsia="宋体" w:cs="宋体"/>
                <w:sz w:val="24"/>
                <w:szCs w:val="24"/>
              </w:rPr>
              <w:t>.</w:t>
            </w:r>
            <w:r>
              <w:rPr>
                <w:rFonts w:hint="eastAsia" w:ascii="Times New Roman" w:hAnsi="Times New Roman" w:eastAsia="宋体" w:cs="宋体"/>
                <w:sz w:val="24"/>
                <w:szCs w:val="24"/>
              </w:rPr>
              <w:t>78</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4</w:t>
            </w:r>
            <w:r>
              <w:rPr>
                <w:rFonts w:hint="eastAsia" w:ascii="宋体" w:hAnsi="宋体" w:eastAsia="宋体" w:cs="宋体"/>
                <w:sz w:val="24"/>
                <w:szCs w:val="24"/>
              </w:rPr>
              <w:t>.</w:t>
            </w:r>
            <w:r>
              <w:rPr>
                <w:rFonts w:hint="eastAsia" w:ascii="Times New Roman" w:hAnsi="Times New Roman" w:eastAsia="宋体" w:cs="宋体"/>
                <w:sz w:val="24"/>
                <w:szCs w:val="24"/>
              </w:rPr>
              <w:t>78</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5</w:t>
            </w:r>
            <w:r>
              <w:rPr>
                <w:rFonts w:hint="eastAsia" w:ascii="宋体" w:hAnsi="宋体" w:eastAsia="宋体" w:cs="宋体"/>
                <w:sz w:val="24"/>
                <w:szCs w:val="24"/>
              </w:rPr>
              <w:t>.</w:t>
            </w:r>
            <w:r>
              <w:rPr>
                <w:rFonts w:hint="eastAsia" w:ascii="Times New Roman" w:hAnsi="Times New Roman" w:eastAsia="宋体" w:cs="宋体"/>
                <w:sz w:val="24"/>
                <w:szCs w:val="24"/>
              </w:rPr>
              <w:t>48</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10</w:t>
            </w:r>
            <w:r>
              <w:rPr>
                <w:rFonts w:hint="eastAsia" w:ascii="宋体" w:hAnsi="宋体" w:eastAsia="宋体" w:cs="宋体"/>
                <w:sz w:val="24"/>
                <w:szCs w:val="24"/>
              </w:rPr>
              <w:t>.</w:t>
            </w:r>
            <w:r>
              <w:rPr>
                <w:rFonts w:hint="eastAsia" w:ascii="Times New Roman" w:hAnsi="Times New Roman" w:eastAsia="宋体" w:cs="宋体"/>
                <w:sz w:val="24"/>
                <w:szCs w:val="24"/>
              </w:rPr>
              <w:t>26</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5</w:t>
            </w:r>
            <w:r>
              <w:rPr>
                <w:rFonts w:hint="eastAsia" w:ascii="宋体" w:hAnsi="宋体" w:eastAsia="宋体" w:cs="宋体"/>
                <w:sz w:val="24"/>
                <w:szCs w:val="24"/>
              </w:rPr>
              <w:t>.</w:t>
            </w:r>
            <w:r>
              <w:rPr>
                <w:rFonts w:hint="eastAsia" w:ascii="Times New Roman" w:hAnsi="Times New Roman" w:eastAsia="宋体" w:cs="宋体"/>
                <w:sz w:val="24"/>
                <w:szCs w:val="24"/>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朱村街</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10</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6</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62</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59</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4</w:t>
            </w:r>
            <w:r>
              <w:rPr>
                <w:rFonts w:hint="eastAsia" w:ascii="宋体" w:hAnsi="宋体" w:eastAsia="宋体" w:cs="宋体"/>
                <w:sz w:val="24"/>
                <w:szCs w:val="24"/>
              </w:rPr>
              <w:t>.</w:t>
            </w:r>
            <w:r>
              <w:rPr>
                <w:rFonts w:hint="eastAsia" w:ascii="Times New Roman" w:hAnsi="Times New Roman" w:eastAsia="宋体" w:cs="宋体"/>
                <w:sz w:val="24"/>
                <w:szCs w:val="24"/>
              </w:rPr>
              <w:t>21</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永宁街</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9</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5</w:t>
            </w:r>
            <w:r>
              <w:rPr>
                <w:rFonts w:hint="eastAsia" w:ascii="宋体" w:hAnsi="宋体" w:eastAsia="宋体" w:cs="宋体"/>
                <w:sz w:val="24"/>
                <w:szCs w:val="24"/>
              </w:rPr>
              <w:t>.</w:t>
            </w:r>
            <w:r>
              <w:rPr>
                <w:rFonts w:hint="eastAsia" w:ascii="Times New Roman" w:hAnsi="Times New Roman" w:eastAsia="宋体" w:cs="宋体"/>
                <w:sz w:val="24"/>
                <w:szCs w:val="24"/>
              </w:rPr>
              <w:t>44</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38</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52</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9</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Cs/>
                <w:sz w:val="24"/>
                <w:szCs w:val="24"/>
              </w:rPr>
            </w:pPr>
            <w:r>
              <w:rPr>
                <w:rFonts w:hint="eastAsia" w:ascii="宋体" w:hAnsi="宋体" w:eastAsia="宋体" w:cs="宋体"/>
                <w:sz w:val="24"/>
                <w:szCs w:val="24"/>
              </w:rPr>
              <w:t>荔湖街</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51</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55</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17</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72</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Cs/>
                <w:sz w:val="24"/>
                <w:szCs w:val="24"/>
              </w:rPr>
            </w:pPr>
            <w:r>
              <w:rPr>
                <w:rFonts w:hint="eastAsia" w:ascii="宋体" w:hAnsi="宋体" w:eastAsia="宋体" w:cs="宋体"/>
                <w:sz w:val="24"/>
                <w:szCs w:val="24"/>
              </w:rPr>
              <w:t>宁西街</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14</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4</w:t>
            </w:r>
            <w:r>
              <w:rPr>
                <w:rFonts w:hint="eastAsia" w:ascii="宋体" w:hAnsi="宋体" w:eastAsia="宋体" w:cs="宋体"/>
                <w:sz w:val="24"/>
                <w:szCs w:val="24"/>
              </w:rPr>
              <w:t>.</w:t>
            </w:r>
            <w:r>
              <w:rPr>
                <w:rFonts w:hint="eastAsia" w:ascii="Times New Roman" w:hAnsi="Times New Roman" w:eastAsia="宋体" w:cs="宋体"/>
                <w:sz w:val="24"/>
                <w:szCs w:val="24"/>
              </w:rPr>
              <w:t>03</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00</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35</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4</w:t>
            </w:r>
            <w:r>
              <w:rPr>
                <w:rFonts w:hint="eastAsia" w:ascii="宋体" w:hAnsi="宋体" w:eastAsia="宋体" w:cs="宋体"/>
                <w:sz w:val="24"/>
                <w:szCs w:val="24"/>
              </w:rPr>
              <w:t>.</w:t>
            </w:r>
            <w:r>
              <w:rPr>
                <w:rFonts w:hint="eastAsia" w:ascii="Times New Roman" w:hAnsi="Times New Roman" w:eastAsia="宋体" w:cs="宋体"/>
                <w:sz w:val="24"/>
                <w:szCs w:val="24"/>
              </w:rPr>
              <w:t>35</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新塘镇</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25</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21</w:t>
            </w:r>
            <w:r>
              <w:rPr>
                <w:rFonts w:hint="eastAsia" w:ascii="宋体" w:hAnsi="宋体" w:eastAsia="宋体" w:cs="宋体"/>
                <w:sz w:val="24"/>
                <w:szCs w:val="24"/>
              </w:rPr>
              <w:t>.</w:t>
            </w:r>
            <w:r>
              <w:rPr>
                <w:rFonts w:hint="eastAsia" w:ascii="Times New Roman" w:hAnsi="Times New Roman" w:eastAsia="宋体" w:cs="宋体"/>
                <w:sz w:val="24"/>
                <w:szCs w:val="24"/>
              </w:rPr>
              <w:t>76</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6</w:t>
            </w:r>
            <w:r>
              <w:rPr>
                <w:rFonts w:hint="eastAsia" w:ascii="宋体" w:hAnsi="宋体" w:eastAsia="宋体" w:cs="宋体"/>
                <w:sz w:val="24"/>
                <w:szCs w:val="24"/>
              </w:rPr>
              <w:t>.</w:t>
            </w:r>
            <w:r>
              <w:rPr>
                <w:rFonts w:hint="eastAsia" w:ascii="Times New Roman" w:hAnsi="Times New Roman" w:eastAsia="宋体" w:cs="宋体"/>
                <w:sz w:val="24"/>
                <w:szCs w:val="24"/>
              </w:rPr>
              <w:t>74</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7</w:t>
            </w:r>
            <w:r>
              <w:rPr>
                <w:rFonts w:hint="eastAsia" w:ascii="宋体" w:hAnsi="宋体" w:eastAsia="宋体" w:cs="宋体"/>
                <w:sz w:val="24"/>
                <w:szCs w:val="24"/>
              </w:rPr>
              <w:t>.</w:t>
            </w:r>
            <w:r>
              <w:rPr>
                <w:rFonts w:hint="eastAsia" w:ascii="Times New Roman" w:hAnsi="Times New Roman" w:eastAsia="宋体" w:cs="宋体"/>
                <w:sz w:val="24"/>
                <w:szCs w:val="24"/>
              </w:rPr>
              <w:t>85</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14</w:t>
            </w:r>
            <w:r>
              <w:rPr>
                <w:rFonts w:hint="eastAsia" w:ascii="宋体" w:hAnsi="宋体" w:eastAsia="宋体" w:cs="宋体"/>
                <w:sz w:val="24"/>
                <w:szCs w:val="24"/>
              </w:rPr>
              <w:t>.</w:t>
            </w:r>
            <w:r>
              <w:rPr>
                <w:rFonts w:hint="eastAsia" w:ascii="Times New Roman" w:hAnsi="Times New Roman" w:eastAsia="宋体" w:cs="宋体"/>
                <w:sz w:val="24"/>
                <w:szCs w:val="24"/>
              </w:rPr>
              <w:t>59</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7</w:t>
            </w:r>
            <w:r>
              <w:rPr>
                <w:rFonts w:hint="eastAsia" w:ascii="宋体" w:hAnsi="宋体" w:eastAsia="宋体" w:cs="宋体"/>
                <w:sz w:val="24"/>
                <w:szCs w:val="24"/>
              </w:rPr>
              <w:t>.</w:t>
            </w:r>
            <w:r>
              <w:rPr>
                <w:rFonts w:hint="eastAsia" w:ascii="Times New Roman" w:hAnsi="Times New Roman" w:eastAsia="宋体" w:cs="宋体"/>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石滩镇</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53</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31</w:t>
            </w:r>
            <w:r>
              <w:rPr>
                <w:rFonts w:hint="eastAsia" w:ascii="宋体" w:hAnsi="宋体" w:eastAsia="宋体" w:cs="宋体"/>
                <w:sz w:val="24"/>
                <w:szCs w:val="24"/>
              </w:rPr>
              <w:t>.</w:t>
            </w:r>
            <w:r>
              <w:rPr>
                <w:rFonts w:hint="eastAsia" w:ascii="Times New Roman" w:hAnsi="Times New Roman" w:eastAsia="宋体" w:cs="宋体"/>
                <w:sz w:val="24"/>
                <w:szCs w:val="24"/>
              </w:rPr>
              <w:t>87</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32</w:t>
            </w:r>
            <w:r>
              <w:rPr>
                <w:rFonts w:hint="eastAsia" w:ascii="宋体" w:hAnsi="宋体" w:eastAsia="宋体" w:cs="宋体"/>
                <w:sz w:val="24"/>
                <w:szCs w:val="24"/>
              </w:rPr>
              <w:t>.</w:t>
            </w:r>
            <w:r>
              <w:rPr>
                <w:rFonts w:hint="eastAsia" w:ascii="Times New Roman" w:hAnsi="Times New Roman" w:eastAsia="宋体" w:cs="宋体"/>
                <w:sz w:val="24"/>
                <w:szCs w:val="24"/>
              </w:rPr>
              <w:t>61</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07</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32</w:t>
            </w:r>
            <w:r>
              <w:rPr>
                <w:rFonts w:hint="eastAsia" w:ascii="宋体" w:hAnsi="宋体" w:eastAsia="宋体" w:cs="宋体"/>
                <w:sz w:val="24"/>
                <w:szCs w:val="24"/>
              </w:rPr>
              <w:t>.</w:t>
            </w:r>
            <w:r>
              <w:rPr>
                <w:rFonts w:hint="eastAsia" w:ascii="Times New Roman" w:hAnsi="Times New Roman" w:eastAsia="宋体" w:cs="宋体"/>
                <w:sz w:val="24"/>
                <w:szCs w:val="24"/>
              </w:rPr>
              <w:t>68</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16</w:t>
            </w:r>
            <w:r>
              <w:rPr>
                <w:rFonts w:hint="eastAsia" w:ascii="宋体" w:hAnsi="宋体" w:eastAsia="宋体" w:cs="宋体"/>
                <w:sz w:val="24"/>
                <w:szCs w:val="24"/>
              </w:rPr>
              <w:t>.</w:t>
            </w:r>
            <w:r>
              <w:rPr>
                <w:rFonts w:hint="eastAsia" w:ascii="Times New Roman" w:hAnsi="Times New Roman" w:eastAsia="宋体" w:cs="宋体"/>
                <w:sz w:val="24"/>
                <w:szCs w:val="24"/>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中新镇</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40</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61</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87</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68</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55</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Cs/>
                <w:sz w:val="24"/>
                <w:szCs w:val="24"/>
              </w:rPr>
            </w:pPr>
            <w:r>
              <w:rPr>
                <w:rFonts w:hint="eastAsia" w:ascii="宋体" w:hAnsi="宋体" w:eastAsia="宋体" w:cs="宋体"/>
                <w:sz w:val="24"/>
                <w:szCs w:val="24"/>
              </w:rPr>
              <w:t>派潭镇</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39</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82</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876</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004</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88</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Cs/>
                <w:sz w:val="24"/>
                <w:szCs w:val="24"/>
              </w:rPr>
            </w:pPr>
            <w:r>
              <w:rPr>
                <w:rFonts w:hint="eastAsia" w:ascii="宋体" w:hAnsi="宋体" w:eastAsia="宋体" w:cs="宋体"/>
                <w:sz w:val="24"/>
                <w:szCs w:val="24"/>
              </w:rPr>
              <w:t>正果镇</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31</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1</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5</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57</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07</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Cs/>
                <w:sz w:val="24"/>
                <w:szCs w:val="24"/>
              </w:rPr>
            </w:pPr>
            <w:r>
              <w:rPr>
                <w:rFonts w:hint="eastAsia" w:ascii="宋体" w:hAnsi="宋体" w:eastAsia="宋体" w:cs="宋体"/>
                <w:sz w:val="24"/>
                <w:szCs w:val="24"/>
              </w:rPr>
              <w:t>小楼镇</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17</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8</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64</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03</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67</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0</w:t>
            </w:r>
            <w:r>
              <w:rPr>
                <w:rFonts w:hint="eastAsia" w:ascii="宋体" w:hAnsi="宋体" w:eastAsia="宋体" w:cs="宋体"/>
                <w:sz w:val="24"/>
                <w:szCs w:val="24"/>
              </w:rPr>
              <w:t>.</w:t>
            </w:r>
            <w:r>
              <w:rPr>
                <w:rFonts w:hint="eastAsia" w:ascii="Times New Roman" w:hAnsi="Times New Roman" w:eastAsia="宋体" w:cs="宋体"/>
                <w:sz w:val="24"/>
                <w:szCs w:val="24"/>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Cs/>
                <w:sz w:val="24"/>
                <w:szCs w:val="24"/>
              </w:rPr>
            </w:pPr>
            <w:r>
              <w:rPr>
                <w:rFonts w:hint="eastAsia" w:ascii="宋体" w:hAnsi="宋体" w:eastAsia="宋体" w:cs="宋体"/>
                <w:sz w:val="24"/>
                <w:szCs w:val="24"/>
              </w:rPr>
              <w:t>仙村镇</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18</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5</w:t>
            </w:r>
            <w:r>
              <w:rPr>
                <w:rFonts w:hint="eastAsia" w:ascii="宋体" w:hAnsi="宋体" w:eastAsia="宋体" w:cs="宋体"/>
                <w:sz w:val="24"/>
                <w:szCs w:val="24"/>
              </w:rPr>
              <w:t>.</w:t>
            </w:r>
            <w:r>
              <w:rPr>
                <w:rFonts w:hint="eastAsia" w:ascii="Times New Roman" w:hAnsi="Times New Roman" w:eastAsia="宋体" w:cs="宋体"/>
                <w:sz w:val="24"/>
                <w:szCs w:val="24"/>
              </w:rPr>
              <w:t>02</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r>
              <w:rPr>
                <w:rFonts w:hint="eastAsia" w:ascii="宋体" w:hAnsi="宋体" w:eastAsia="宋体" w:cs="宋体"/>
                <w:sz w:val="24"/>
                <w:szCs w:val="24"/>
              </w:rPr>
              <w:t>.</w:t>
            </w:r>
            <w:r>
              <w:rPr>
                <w:rFonts w:hint="eastAsia" w:ascii="Times New Roman" w:hAnsi="Times New Roman" w:eastAsia="宋体" w:cs="宋体"/>
                <w:sz w:val="24"/>
                <w:szCs w:val="24"/>
              </w:rPr>
              <w:t>24</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53</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r>
              <w:rPr>
                <w:rFonts w:hint="eastAsia" w:ascii="宋体" w:hAnsi="宋体" w:eastAsia="宋体" w:cs="宋体"/>
                <w:sz w:val="24"/>
                <w:szCs w:val="24"/>
              </w:rPr>
              <w:t>.</w:t>
            </w:r>
            <w:r>
              <w:rPr>
                <w:rFonts w:hint="eastAsia" w:ascii="Times New Roman" w:hAnsi="Times New Roman" w:eastAsia="宋体" w:cs="宋体"/>
                <w:sz w:val="24"/>
                <w:szCs w:val="24"/>
              </w:rPr>
              <w:t>77</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r>
              <w:rPr>
                <w:rFonts w:hint="eastAsia" w:ascii="宋体" w:hAnsi="宋体" w:eastAsia="宋体" w:cs="宋体"/>
                <w:sz w:val="24"/>
                <w:szCs w:val="24"/>
              </w:rPr>
              <w:t>.</w:t>
            </w:r>
            <w:r>
              <w:rPr>
                <w:rFonts w:hint="eastAsia" w:ascii="Times New Roman" w:hAnsi="Times New Roman" w:eastAsia="宋体" w:cs="宋体"/>
                <w:sz w:val="24"/>
                <w:szCs w:val="24"/>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0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Cs/>
                <w:sz w:val="24"/>
                <w:szCs w:val="24"/>
              </w:rPr>
            </w:pPr>
            <w:r>
              <w:rPr>
                <w:rFonts w:hint="eastAsia" w:ascii="宋体" w:hAnsi="宋体" w:eastAsia="宋体" w:cs="宋体"/>
                <w:bCs/>
                <w:sz w:val="24"/>
                <w:szCs w:val="24"/>
              </w:rPr>
              <w:t>合计</w:t>
            </w:r>
          </w:p>
        </w:tc>
        <w:tc>
          <w:tcPr>
            <w:tcW w:w="90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283</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color w:val="000000"/>
                <w:sz w:val="24"/>
                <w:szCs w:val="24"/>
              </w:rPr>
              <w:t>90</w:t>
            </w:r>
            <w:r>
              <w:rPr>
                <w:rFonts w:hint="eastAsia" w:ascii="宋体" w:hAnsi="宋体" w:eastAsia="宋体" w:cs="宋体"/>
                <w:color w:val="000000"/>
                <w:sz w:val="24"/>
                <w:szCs w:val="24"/>
              </w:rPr>
              <w:t>.</w:t>
            </w:r>
            <w:r>
              <w:rPr>
                <w:rFonts w:hint="eastAsia" w:ascii="Times New Roman" w:hAnsi="Times New Roman" w:eastAsia="宋体" w:cs="宋体"/>
                <w:color w:val="000000"/>
                <w:sz w:val="24"/>
                <w:szCs w:val="24"/>
              </w:rPr>
              <w:t>53</w:t>
            </w:r>
          </w:p>
        </w:tc>
        <w:tc>
          <w:tcPr>
            <w:tcW w:w="15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color w:val="000000"/>
                <w:sz w:val="24"/>
                <w:szCs w:val="24"/>
              </w:rPr>
              <w:t>63</w:t>
            </w:r>
            <w:r>
              <w:rPr>
                <w:rFonts w:hint="eastAsia" w:ascii="宋体" w:hAnsi="宋体" w:eastAsia="宋体" w:cs="宋体"/>
                <w:color w:val="000000"/>
                <w:sz w:val="24"/>
                <w:szCs w:val="24"/>
              </w:rPr>
              <w:t>.</w:t>
            </w:r>
            <w:r>
              <w:rPr>
                <w:rFonts w:hint="eastAsia" w:ascii="Times New Roman" w:hAnsi="Times New Roman" w:eastAsia="宋体" w:cs="宋体"/>
                <w:color w:val="000000"/>
                <w:sz w:val="24"/>
                <w:szCs w:val="24"/>
              </w:rPr>
              <w:t>786</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color w:val="000000"/>
                <w:sz w:val="24"/>
                <w:szCs w:val="24"/>
              </w:rPr>
              <w:t>26</w:t>
            </w:r>
            <w:r>
              <w:rPr>
                <w:rFonts w:hint="eastAsia" w:ascii="宋体" w:hAnsi="宋体" w:eastAsia="宋体" w:cs="宋体"/>
                <w:color w:val="000000"/>
                <w:sz w:val="24"/>
                <w:szCs w:val="24"/>
              </w:rPr>
              <w:t>.</w:t>
            </w:r>
            <w:r>
              <w:rPr>
                <w:rFonts w:hint="eastAsia" w:ascii="Times New Roman" w:hAnsi="Times New Roman" w:eastAsia="宋体" w:cs="宋体"/>
                <w:color w:val="000000"/>
                <w:sz w:val="24"/>
                <w:szCs w:val="24"/>
              </w:rPr>
              <w:t>594</w:t>
            </w:r>
          </w:p>
        </w:tc>
        <w:tc>
          <w:tcPr>
            <w:tcW w:w="120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color w:val="000000"/>
                <w:sz w:val="24"/>
                <w:szCs w:val="24"/>
              </w:rPr>
              <w:t>90</w:t>
            </w:r>
            <w:r>
              <w:rPr>
                <w:rFonts w:hint="eastAsia" w:ascii="宋体" w:hAnsi="宋体" w:eastAsia="宋体" w:cs="宋体"/>
                <w:color w:val="000000"/>
                <w:sz w:val="24"/>
                <w:szCs w:val="24"/>
              </w:rPr>
              <w:t>.</w:t>
            </w:r>
            <w:r>
              <w:rPr>
                <w:rFonts w:hint="eastAsia" w:ascii="Times New Roman" w:hAnsi="Times New Roman" w:eastAsia="宋体" w:cs="宋体"/>
                <w:color w:val="000000"/>
                <w:sz w:val="24"/>
                <w:szCs w:val="24"/>
              </w:rPr>
              <w:t>38</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4"/>
                <w:szCs w:val="24"/>
              </w:rPr>
            </w:pPr>
            <w:r>
              <w:rPr>
                <w:rFonts w:hint="eastAsia" w:ascii="Times New Roman" w:hAnsi="Times New Roman" w:eastAsia="宋体" w:cs="宋体"/>
                <w:color w:val="000000"/>
                <w:sz w:val="24"/>
                <w:szCs w:val="24"/>
              </w:rPr>
              <w:t>44</w:t>
            </w:r>
            <w:r>
              <w:rPr>
                <w:rFonts w:hint="eastAsia" w:ascii="宋体" w:hAnsi="宋体" w:eastAsia="宋体" w:cs="宋体"/>
                <w:color w:val="000000"/>
                <w:sz w:val="24"/>
                <w:szCs w:val="24"/>
              </w:rPr>
              <w:t>.</w:t>
            </w:r>
            <w:r>
              <w:rPr>
                <w:rFonts w:hint="eastAsia" w:ascii="Times New Roman" w:hAnsi="Times New Roman" w:eastAsia="宋体" w:cs="宋体"/>
                <w:color w:val="000000"/>
                <w:sz w:val="24"/>
                <w:szCs w:val="24"/>
              </w:rPr>
              <w:t>15</w:t>
            </w:r>
          </w:p>
        </w:tc>
      </w:tr>
      <w:bookmarkEnd w:id="57"/>
    </w:tbl>
    <w:p>
      <w:pPr>
        <w:pStyle w:val="3"/>
        <w:keepNext w:val="0"/>
        <w:keepLines w:val="0"/>
        <w:pageBreakBefore w:val="0"/>
        <w:widowControl w:val="0"/>
        <w:kinsoku/>
        <w:wordWrap/>
        <w:overflowPunct/>
        <w:topLinePunct w:val="0"/>
        <w:autoSpaceDE/>
        <w:autoSpaceDN/>
        <w:bidi w:val="0"/>
        <w:adjustRightInd/>
        <w:snapToGrid/>
        <w:spacing w:before="0" w:after="0" w:line="570" w:lineRule="exact"/>
        <w:textAlignment w:val="auto"/>
        <w:rPr>
          <w:rFonts w:cs="Times New Roman"/>
          <w:kern w:val="2"/>
        </w:rPr>
      </w:pPr>
      <w:bookmarkStart w:id="58" w:name="_Toc215490492"/>
    </w:p>
    <w:p>
      <w:pPr>
        <w:pStyle w:val="3"/>
        <w:keepNext w:val="0"/>
        <w:keepLines w:val="0"/>
        <w:pageBreakBefore w:val="0"/>
        <w:widowControl w:val="0"/>
        <w:kinsoku/>
        <w:wordWrap/>
        <w:overflowPunct/>
        <w:topLinePunct w:val="0"/>
        <w:autoSpaceDE/>
        <w:autoSpaceDN/>
        <w:bidi w:val="0"/>
        <w:adjustRightInd/>
        <w:snapToGrid/>
        <w:spacing w:before="0" w:after="0" w:line="570" w:lineRule="exact"/>
        <w:textAlignment w:val="auto"/>
        <w:rPr>
          <w:rFonts w:cs="Times New Roman"/>
          <w:kern w:val="2"/>
        </w:rPr>
      </w:pPr>
    </w:p>
    <w:p>
      <w:pPr>
        <w:pStyle w:val="3"/>
        <w:keepNext w:val="0"/>
        <w:keepLines w:val="0"/>
        <w:pageBreakBefore w:val="0"/>
        <w:widowControl w:val="0"/>
        <w:kinsoku/>
        <w:wordWrap/>
        <w:overflowPunct/>
        <w:topLinePunct w:val="0"/>
        <w:autoSpaceDE/>
        <w:autoSpaceDN/>
        <w:bidi w:val="0"/>
        <w:adjustRightInd/>
        <w:snapToGrid/>
        <w:spacing w:before="0" w:after="0" w:line="570" w:lineRule="exact"/>
        <w:textAlignment w:val="auto"/>
        <w:rPr>
          <w:rFonts w:cs="Times New Roman"/>
          <w:kern w:val="2"/>
        </w:rPr>
      </w:pPr>
      <w:r>
        <w:rPr>
          <w:rFonts w:cs="Times New Roman"/>
          <w:kern w:val="2"/>
        </w:rPr>
        <w:t>第五章  应急交通系统规划</w:t>
      </w:r>
      <w:bookmarkEnd w:id="58"/>
    </w:p>
    <w:p>
      <w:pPr>
        <w:keepNext w:val="0"/>
        <w:keepLines w:val="0"/>
        <w:pageBreakBefore w:val="0"/>
        <w:widowControl w:val="0"/>
        <w:kinsoku/>
        <w:wordWrap/>
        <w:overflowPunct/>
        <w:topLinePunct w:val="0"/>
        <w:autoSpaceDE/>
        <w:autoSpaceDN/>
        <w:bidi w:val="0"/>
        <w:adjustRightInd/>
        <w:snapToGrid/>
        <w:spacing w:line="570" w:lineRule="exact"/>
        <w:textAlignment w:val="auto"/>
      </w:pP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59" w:name="_Toc215490493"/>
      <w:r>
        <w:rPr>
          <w:rFonts w:cs="Times New Roman"/>
          <w:kern w:val="2"/>
        </w:rPr>
        <w:t>第二十条</w:t>
      </w:r>
      <w:r>
        <w:rPr>
          <w:rFonts w:hint="eastAsia" w:cs="Times New Roman"/>
          <w:kern w:val="2"/>
          <w:lang w:val="en-US" w:eastAsia="zh-CN"/>
        </w:rPr>
        <w:t xml:space="preserve"> </w:t>
      </w:r>
      <w:r>
        <w:rPr>
          <w:rFonts w:cs="Times New Roman"/>
          <w:kern w:val="2"/>
        </w:rPr>
        <w:t xml:space="preserve"> 应急交通设施体系</w:t>
      </w:r>
      <w:bookmarkEnd w:id="59"/>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应急交通设施是指为城市提供人员紧急救援救护、应急疏散和应急物资保障等交通运输功能的设施，依据不同空间形态，分为应急通道和应急交通节点。</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应急通道是应急交通系统的核心，按照服务功能及范围分为区域救灾干道、疏散救援主通道、疏散救援次通道和一般疏散通道。</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w:t>
      </w:r>
      <w:r>
        <w:rPr>
          <w:rFonts w:hint="eastAsia" w:ascii="仿宋_GB2312" w:hAnsi="仿宋_GB2312" w:eastAsia="仿宋_GB2312" w:cs="仿宋_GB2312"/>
          <w:kern w:val="2"/>
        </w:rPr>
        <w:t>.区域救灾干道：属于区域级和市级应急通道，承担城市对外和内部疏散救援、救灾物资运输、应急指挥等重大救灾活动的重要通道。</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2</w:t>
      </w:r>
      <w:r>
        <w:rPr>
          <w:rFonts w:hint="eastAsia" w:ascii="仿宋_GB2312" w:hAnsi="仿宋_GB2312" w:eastAsia="仿宋_GB2312" w:cs="仿宋_GB2312"/>
          <w:kern w:val="2"/>
        </w:rPr>
        <w:t>.疏散救援主通道：属于区级应急通道，是城市内部疏散救援和救灾物资运输等重要活动的主要通道。</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3</w:t>
      </w:r>
      <w:r>
        <w:rPr>
          <w:rFonts w:hint="eastAsia" w:ascii="仿宋_GB2312" w:hAnsi="仿宋_GB2312" w:eastAsia="仿宋_GB2312" w:cs="仿宋_GB2312"/>
          <w:kern w:val="2"/>
        </w:rPr>
        <w:t>.疏散救援次通道：属于镇（街）级应急通道，是镇（街）内各类应急疏散救援活动的联系通道。</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4</w:t>
      </w:r>
      <w:r>
        <w:rPr>
          <w:rFonts w:hint="eastAsia" w:ascii="仿宋_GB2312" w:hAnsi="仿宋_GB2312" w:eastAsia="仿宋_GB2312" w:cs="仿宋_GB2312"/>
          <w:kern w:val="2"/>
        </w:rPr>
        <w:t>.一般疏散通道：属于社区（村）级应急通道，是发生灾害时市民最先进行应急疏散的通道。</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应急交通节点在应急救援过程中起到枢纽、中转、集散作用，主要为机场、火车站、港口、码头、停机坪等交通枢纽。</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60" w:name="_Toc215490494"/>
      <w:r>
        <w:rPr>
          <w:rFonts w:cs="Times New Roman"/>
          <w:kern w:val="2"/>
        </w:rPr>
        <w:t xml:space="preserve">第二十一条 </w:t>
      </w:r>
      <w:r>
        <w:rPr>
          <w:rFonts w:hint="eastAsia" w:cs="Times New Roman"/>
          <w:kern w:val="2"/>
          <w:lang w:val="en-US" w:eastAsia="zh-CN"/>
        </w:rPr>
        <w:t xml:space="preserve"> </w:t>
      </w:r>
      <w:r>
        <w:rPr>
          <w:rFonts w:cs="Times New Roman"/>
          <w:kern w:val="2"/>
        </w:rPr>
        <w:t>陆上交通</w:t>
      </w:r>
      <w:bookmarkEnd w:id="60"/>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陆上通道是整个应急通道网络的核心。基于城市道路网络，综合考虑自然灾害风险分布、通道可靠性、应急避护场所连通性等，规划形成以区域救灾干道和疏散救援主通道为骨架、疏散救援次通道和一般疏散通道为支撑的应急通道网络体系。</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1</w:t>
      </w:r>
      <w:r>
        <w:rPr>
          <w:rFonts w:hint="eastAsia" w:ascii="仿宋_GB2312" w:hAnsi="仿宋_GB2312" w:eastAsia="仿宋_GB2312" w:cs="仿宋_GB2312"/>
          <w:kern w:val="2"/>
        </w:rPr>
        <w:t>.区域救灾干道</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区域救灾主干道主要由高速公路和具备关键连通功能的快速路组成。落实上位规划《广州市应急避护场所建设规划（</w:t>
      </w:r>
      <w:r>
        <w:rPr>
          <w:rFonts w:hint="eastAsia" w:ascii="Times New Roman" w:hAnsi="Times New Roman" w:eastAsia="仿宋_GB2312" w:cs="仿宋_GB2312"/>
          <w:kern w:val="2"/>
        </w:rPr>
        <w:t>2023</w:t>
      </w:r>
      <w:r>
        <w:rPr>
          <w:rFonts w:hint="eastAsia" w:ascii="仿宋_GB2312" w:hAnsi="仿宋_GB2312" w:eastAsia="仿宋_GB2312" w:cs="仿宋_GB2312"/>
          <w:kern w:val="2"/>
        </w:rPr>
        <w:t>-</w:t>
      </w:r>
      <w:r>
        <w:rPr>
          <w:rFonts w:hint="eastAsia" w:ascii="Times New Roman" w:hAnsi="Times New Roman" w:eastAsia="仿宋_GB2312" w:cs="仿宋_GB2312"/>
          <w:kern w:val="2"/>
        </w:rPr>
        <w:t>2035</w:t>
      </w:r>
      <w:r>
        <w:rPr>
          <w:rFonts w:hint="eastAsia" w:ascii="仿宋_GB2312" w:hAnsi="仿宋_GB2312" w:eastAsia="仿宋_GB2312" w:cs="仿宋_GB2312"/>
          <w:kern w:val="2"/>
        </w:rPr>
        <w:t>年）》与《广州市增城区国土空间总体规划（</w:t>
      </w:r>
      <w:r>
        <w:rPr>
          <w:rFonts w:hint="eastAsia" w:ascii="Times New Roman" w:hAnsi="Times New Roman" w:eastAsia="仿宋_GB2312" w:cs="仿宋_GB2312"/>
          <w:kern w:val="2"/>
        </w:rPr>
        <w:t>2021</w:t>
      </w:r>
      <w:r>
        <w:rPr>
          <w:rFonts w:hint="eastAsia" w:ascii="仿宋_GB2312" w:hAnsi="仿宋_GB2312" w:eastAsia="仿宋_GB2312" w:cs="仿宋_GB2312"/>
          <w:kern w:val="2"/>
        </w:rPr>
        <w:t>-</w:t>
      </w:r>
      <w:r>
        <w:rPr>
          <w:rFonts w:hint="eastAsia" w:ascii="Times New Roman" w:hAnsi="Times New Roman" w:eastAsia="仿宋_GB2312" w:cs="仿宋_GB2312"/>
          <w:kern w:val="2"/>
        </w:rPr>
        <w:t>2035</w:t>
      </w:r>
      <w:r>
        <w:rPr>
          <w:rFonts w:hint="eastAsia" w:ascii="仿宋_GB2312" w:hAnsi="仿宋_GB2312" w:eastAsia="仿宋_GB2312" w:cs="仿宋_GB2312"/>
          <w:kern w:val="2"/>
        </w:rPr>
        <w:t>年）》提出的增城区区域救灾干道</w:t>
      </w:r>
      <w:bookmarkStart w:id="61" w:name="OLE_LINK4"/>
      <w:r>
        <w:rPr>
          <w:rFonts w:hint="eastAsia" w:ascii="仿宋_GB2312" w:hAnsi="仿宋_GB2312" w:eastAsia="仿宋_GB2312" w:cs="仿宋_GB2312"/>
          <w:kern w:val="2"/>
        </w:rPr>
        <w:t>（详见表</w:t>
      </w:r>
      <w:r>
        <w:rPr>
          <w:rFonts w:hint="eastAsia" w:ascii="Times New Roman" w:hAnsi="Times New Roman" w:eastAsia="仿宋_GB2312" w:cs="仿宋_GB2312"/>
          <w:kern w:val="2"/>
        </w:rPr>
        <w:t>6</w:t>
      </w:r>
      <w:r>
        <w:rPr>
          <w:rFonts w:hint="eastAsia" w:ascii="仿宋_GB2312" w:hAnsi="仿宋_GB2312" w:eastAsia="仿宋_GB2312" w:cs="仿宋_GB2312"/>
          <w:kern w:val="2"/>
        </w:rPr>
        <w:t>）</w:t>
      </w:r>
      <w:bookmarkEnd w:id="61"/>
      <w:r>
        <w:rPr>
          <w:rFonts w:hint="eastAsia" w:ascii="仿宋_GB2312" w:hAnsi="仿宋_GB2312" w:eastAsia="仿宋_GB2312" w:cs="仿宋_GB2312"/>
          <w:kern w:val="2"/>
        </w:rPr>
        <w:t>，主要为广河高速、增莞番高速、惠肇高速等高速路。</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原则上区域救灾主干道通道有效宽度不小于</w:t>
      </w:r>
      <w:r>
        <w:rPr>
          <w:rFonts w:hint="eastAsia" w:ascii="Times New Roman" w:hAnsi="Times New Roman" w:eastAsia="仿宋_GB2312" w:cs="仿宋_GB2312"/>
          <w:kern w:val="2"/>
        </w:rPr>
        <w:t>20</w:t>
      </w:r>
      <w:r>
        <w:rPr>
          <w:rFonts w:hint="eastAsia" w:ascii="仿宋_GB2312" w:hAnsi="仿宋_GB2312" w:eastAsia="仿宋_GB2312" w:cs="仿宋_GB2312"/>
          <w:kern w:val="2"/>
        </w:rPr>
        <w:t>米，有效净空满足各类救援车辆通行。救灾主干道有效宽度是指考虑两侧建筑物受灾倒塌后，路面部分受阻，仍可满足救援车辆通行的宽度。</w:t>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rPr>
          <w:rFonts w:hint="eastAsia" w:ascii="黑体" w:hAnsi="黑体" w:eastAsia="黑体" w:cs="黑体"/>
          <w:kern w:val="2"/>
        </w:rPr>
      </w:pPr>
      <w:r>
        <w:rPr>
          <w:rFonts w:hint="eastAsia" w:ascii="黑体" w:hAnsi="黑体" w:eastAsia="黑体" w:cs="黑体"/>
          <w:kern w:val="2"/>
        </w:rPr>
        <w:t>表</w:t>
      </w:r>
      <w:r>
        <w:rPr>
          <w:rFonts w:hint="eastAsia" w:ascii="Times New Roman" w:hAnsi="Times New Roman" w:eastAsia="黑体" w:cs="黑体"/>
          <w:kern w:val="2"/>
        </w:rPr>
        <w:t>6</w:t>
      </w:r>
      <w:r>
        <w:rPr>
          <w:rFonts w:hint="eastAsia" w:ascii="黑体" w:hAnsi="黑体" w:eastAsia="黑体" w:cs="黑体"/>
          <w:kern w:val="2"/>
        </w:rPr>
        <w:t>区域救灾干道一览表</w:t>
      </w:r>
    </w:p>
    <w:tbl>
      <w:tblPr>
        <w:tblStyle w:val="50"/>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4081"/>
        <w:gridCol w:w="2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1801" w:type="dxa"/>
            <w:shd w:val="clear" w:color="auto" w:fill="D8D8D8" w:themeFill="background1" w:themeFillShade="D9"/>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序号</w:t>
            </w:r>
          </w:p>
        </w:tc>
        <w:tc>
          <w:tcPr>
            <w:tcW w:w="4081" w:type="dxa"/>
            <w:shd w:val="clear" w:color="auto" w:fill="D8D8D8" w:themeFill="background1" w:themeFillShade="D9"/>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道路名称</w:t>
            </w:r>
          </w:p>
        </w:tc>
        <w:tc>
          <w:tcPr>
            <w:tcW w:w="2952" w:type="dxa"/>
            <w:shd w:val="clear" w:color="auto" w:fill="D8D8D8" w:themeFill="background1" w:themeFillShade="D9"/>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道路等级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广河高速</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高速公路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惠肇高速</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高速公路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广深高速</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高速公路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4</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增莞番高速</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高速公路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5</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珠三角环线高速</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高速公路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6</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增佛高速</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高速公路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7</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从莞深高速</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高速公路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8</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派街高速</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高速公路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9</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济广高速</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高速公路</w:t>
            </w:r>
          </w:p>
        </w:tc>
      </w:tr>
    </w:tbl>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rPr>
      </w:pPr>
      <w:r>
        <w:rPr>
          <w:rFonts w:hint="eastAsia" w:ascii="Times New Roman" w:hAnsi="Times New Roman" w:eastAsia="仿宋_GB2312" w:cs="仿宋_GB2312"/>
        </w:rPr>
        <w:t>2</w:t>
      </w:r>
      <w:r>
        <w:rPr>
          <w:rFonts w:hint="eastAsia" w:ascii="仿宋_GB2312" w:hAnsi="仿宋_GB2312" w:eastAsia="仿宋_GB2312" w:cs="仿宋_GB2312"/>
        </w:rPr>
        <w:t>.疏散救援主通道</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rPr>
      </w:pPr>
      <w:r>
        <w:rPr>
          <w:rFonts w:hint="eastAsia" w:ascii="仿宋_GB2312" w:hAnsi="仿宋_GB2312" w:eastAsia="仿宋_GB2312" w:cs="仿宋_GB2312"/>
        </w:rPr>
        <w:t>疏散救援主通道以城市快速路为主，部分城市主干路为辅，局部考虑通道的安全性、通达性，可选择较低等级的道路。疏散主通道是连接长期避护场所与设施并能与区域救灾干道快速连接的不可缺少的重要通道。落实上位规划《广州市应急避护场所建设规划（</w:t>
      </w:r>
      <w:r>
        <w:rPr>
          <w:rFonts w:hint="eastAsia" w:ascii="Times New Roman" w:hAnsi="Times New Roman" w:eastAsia="仿宋_GB2312" w:cs="仿宋_GB2312"/>
        </w:rPr>
        <w:t>2023</w:t>
      </w:r>
      <w:r>
        <w:rPr>
          <w:rFonts w:hint="eastAsia" w:ascii="仿宋_GB2312" w:hAnsi="仿宋_GB2312" w:eastAsia="仿宋_GB2312" w:cs="仿宋_GB2312"/>
        </w:rPr>
        <w:t>-</w:t>
      </w:r>
      <w:r>
        <w:rPr>
          <w:rFonts w:hint="eastAsia" w:ascii="Times New Roman" w:hAnsi="Times New Roman" w:eastAsia="仿宋_GB2312" w:cs="仿宋_GB2312"/>
        </w:rPr>
        <w:t>2035</w:t>
      </w:r>
      <w:r>
        <w:rPr>
          <w:rFonts w:hint="eastAsia" w:ascii="仿宋_GB2312" w:hAnsi="仿宋_GB2312" w:eastAsia="仿宋_GB2312" w:cs="仿宋_GB2312"/>
        </w:rPr>
        <w:t>年）》与《广州市增城区国土空间总体规划（</w:t>
      </w:r>
      <w:r>
        <w:rPr>
          <w:rFonts w:hint="eastAsia" w:ascii="Times New Roman" w:hAnsi="Times New Roman" w:eastAsia="仿宋_GB2312" w:cs="仿宋_GB2312"/>
        </w:rPr>
        <w:t>2021</w:t>
      </w:r>
      <w:r>
        <w:rPr>
          <w:rFonts w:hint="eastAsia" w:ascii="仿宋_GB2312" w:hAnsi="仿宋_GB2312" w:eastAsia="仿宋_GB2312" w:cs="仿宋_GB2312"/>
        </w:rPr>
        <w:t>-</w:t>
      </w:r>
      <w:r>
        <w:rPr>
          <w:rFonts w:hint="eastAsia" w:ascii="Times New Roman" w:hAnsi="Times New Roman" w:eastAsia="仿宋_GB2312" w:cs="仿宋_GB2312"/>
        </w:rPr>
        <w:t>2035</w:t>
      </w:r>
      <w:r>
        <w:rPr>
          <w:rFonts w:hint="eastAsia" w:ascii="仿宋_GB2312" w:hAnsi="仿宋_GB2312" w:eastAsia="仿宋_GB2312" w:cs="仿宋_GB2312"/>
        </w:rPr>
        <w:t>年）》提出的疏散救援主通道（详见表</w:t>
      </w:r>
      <w:r>
        <w:rPr>
          <w:rFonts w:hint="eastAsia" w:ascii="Times New Roman" w:hAnsi="Times New Roman" w:eastAsia="仿宋_GB2312" w:cs="仿宋_GB2312"/>
        </w:rPr>
        <w:t>7</w:t>
      </w:r>
      <w:r>
        <w:rPr>
          <w:rFonts w:hint="eastAsia" w:ascii="仿宋_GB2312" w:hAnsi="仿宋_GB2312" w:eastAsia="仿宋_GB2312" w:cs="仿宋_GB2312"/>
        </w:rPr>
        <w:t>），且原则上通道有效宽度不小于</w:t>
      </w:r>
      <w:r>
        <w:rPr>
          <w:rFonts w:hint="eastAsia" w:ascii="Times New Roman" w:hAnsi="Times New Roman" w:eastAsia="仿宋_GB2312" w:cs="仿宋_GB2312"/>
        </w:rPr>
        <w:t>15</w:t>
      </w:r>
      <w:r>
        <w:rPr>
          <w:rFonts w:hint="eastAsia" w:ascii="仿宋_GB2312" w:hAnsi="仿宋_GB2312" w:eastAsia="仿宋_GB2312" w:cs="仿宋_GB2312"/>
        </w:rPr>
        <w:t>米。有效净空满足各类救援车辆的通行。</w:t>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rPr>
          <w:rFonts w:hint="eastAsia" w:ascii="黑体" w:hAnsi="黑体" w:eastAsia="黑体" w:cs="黑体"/>
        </w:rPr>
      </w:pPr>
      <w:r>
        <w:rPr>
          <w:rFonts w:hint="eastAsia" w:ascii="黑体" w:hAnsi="黑体" w:eastAsia="黑体" w:cs="黑体"/>
        </w:rPr>
        <w:t>表</w:t>
      </w:r>
      <w:r>
        <w:rPr>
          <w:rFonts w:hint="eastAsia" w:ascii="Times New Roman" w:hAnsi="Times New Roman" w:eastAsia="黑体" w:cs="黑体"/>
        </w:rPr>
        <w:t>7</w:t>
      </w:r>
      <w:r>
        <w:rPr>
          <w:rFonts w:hint="eastAsia" w:ascii="黑体" w:hAnsi="黑体" w:eastAsia="黑体" w:cs="黑体"/>
        </w:rPr>
        <w:t>疏散救援主通道一览表</w:t>
      </w:r>
    </w:p>
    <w:tbl>
      <w:tblPr>
        <w:tblStyle w:val="50"/>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4081"/>
        <w:gridCol w:w="2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blHeader/>
        </w:trPr>
        <w:tc>
          <w:tcPr>
            <w:tcW w:w="1801" w:type="dxa"/>
            <w:shd w:val="clear" w:color="auto" w:fill="D8D8D8" w:themeFill="background1" w:themeFillShade="D9"/>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24"/>
                <w:szCs w:val="24"/>
              </w:rPr>
            </w:pPr>
            <w:r>
              <w:rPr>
                <w:rFonts w:hint="eastAsia" w:ascii="黑体" w:hAnsi="黑体" w:eastAsia="黑体" w:cs="黑体"/>
                <w:b/>
                <w:bCs/>
                <w:sz w:val="24"/>
                <w:szCs w:val="24"/>
              </w:rPr>
              <w:t>序号</w:t>
            </w:r>
          </w:p>
        </w:tc>
        <w:tc>
          <w:tcPr>
            <w:tcW w:w="4081" w:type="dxa"/>
            <w:shd w:val="clear" w:color="auto" w:fill="D8D8D8" w:themeFill="background1" w:themeFillShade="D9"/>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24"/>
                <w:szCs w:val="24"/>
              </w:rPr>
            </w:pPr>
            <w:r>
              <w:rPr>
                <w:rFonts w:hint="eastAsia" w:ascii="黑体" w:hAnsi="黑体" w:eastAsia="黑体" w:cs="黑体"/>
                <w:b/>
                <w:bCs/>
                <w:sz w:val="24"/>
                <w:szCs w:val="24"/>
              </w:rPr>
              <w:t>道路名称</w:t>
            </w:r>
          </w:p>
        </w:tc>
        <w:tc>
          <w:tcPr>
            <w:tcW w:w="2952" w:type="dxa"/>
            <w:shd w:val="clear" w:color="auto" w:fill="D8D8D8" w:themeFill="background1" w:themeFillShade="D9"/>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24"/>
                <w:szCs w:val="24"/>
              </w:rPr>
            </w:pPr>
            <w:r>
              <w:rPr>
                <w:rFonts w:hint="eastAsia" w:ascii="黑体" w:hAnsi="黑体" w:eastAsia="黑体" w:cs="黑体"/>
                <w:b/>
                <w:bCs/>
                <w:sz w:val="24"/>
                <w:szCs w:val="24"/>
              </w:rPr>
              <w:t>道路等级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广汕公路</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bookmarkStart w:id="62" w:name="OLE_LINK2"/>
            <w:r>
              <w:rPr>
                <w:rFonts w:hint="eastAsia" w:ascii="宋体" w:hAnsi="宋体" w:eastAsia="宋体" w:cs="宋体"/>
                <w:bCs/>
                <w:sz w:val="24"/>
                <w:szCs w:val="24"/>
              </w:rPr>
              <w:t>快速路</w:t>
            </w:r>
            <w:bookmarkEnd w:id="6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2</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广汕南路</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快速路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3</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广园快速</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快速路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4</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荔三公路</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快速路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5</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荔新公路</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快速路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6</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石石大道</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快速路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7</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石顺大道</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快速路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8</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穗莞大道</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快速路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9</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新城大道</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宋体" w:hAnsi="宋体" w:eastAsia="宋体" w:cs="宋体"/>
                <w:bCs/>
                <w:sz w:val="24"/>
                <w:szCs w:val="24"/>
              </w:rPr>
              <w:t>快速路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10</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新新大道北</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快速路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11</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新新大道中</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快速路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12</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增莞大道</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快速路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4"/>
                <w:szCs w:val="24"/>
              </w:rPr>
            </w:pPr>
            <w:r>
              <w:rPr>
                <w:rFonts w:hint="eastAsia" w:ascii="Times New Roman" w:hAnsi="Times New Roman" w:eastAsia="宋体" w:cs="宋体"/>
                <w:sz w:val="24"/>
                <w:szCs w:val="24"/>
              </w:rPr>
              <w:t>13</w:t>
            </w:r>
          </w:p>
        </w:tc>
        <w:tc>
          <w:tcPr>
            <w:tcW w:w="4081"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增广大道</w:t>
            </w:r>
          </w:p>
        </w:tc>
        <w:tc>
          <w:tcPr>
            <w:tcW w:w="2952" w:type="dxa"/>
            <w:vAlign w:val="center"/>
          </w:tcPr>
          <w:p>
            <w:pPr>
              <w:pStyle w:val="7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快速路</w:t>
            </w:r>
          </w:p>
        </w:tc>
      </w:tr>
    </w:tbl>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3</w:t>
      </w:r>
      <w:r>
        <w:rPr>
          <w:rFonts w:hint="eastAsia" w:ascii="仿宋_GB2312" w:hAnsi="仿宋_GB2312" w:eastAsia="仿宋_GB2312" w:cs="仿宋_GB2312"/>
          <w:kern w:val="2"/>
        </w:rPr>
        <w:t>.疏散救援次通道及一般疏散通道</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疏散救援次通道主要是由城市的次干道构成，其主要功能是连接紧急应急避护场所。这些通道在应急情况下是至关重要的生命线，为受灾群众提供逃生的机会。每一镇（街）至少应规划设置</w:t>
      </w:r>
      <w:r>
        <w:rPr>
          <w:rFonts w:hint="eastAsia" w:ascii="Times New Roman" w:hAnsi="Times New Roman" w:eastAsia="仿宋_GB2312" w:cs="仿宋_GB2312"/>
          <w:kern w:val="2"/>
        </w:rPr>
        <w:t>2</w:t>
      </w:r>
      <w:r>
        <w:rPr>
          <w:rFonts w:hint="eastAsia" w:ascii="仿宋_GB2312" w:hAnsi="仿宋_GB2312" w:eastAsia="仿宋_GB2312" w:cs="仿宋_GB2312"/>
          <w:kern w:val="2"/>
        </w:rPr>
        <w:t>条疏散次通道，原则上通道宽度不小于</w:t>
      </w:r>
      <w:r>
        <w:rPr>
          <w:rFonts w:hint="eastAsia" w:ascii="Times New Roman" w:hAnsi="Times New Roman" w:eastAsia="仿宋_GB2312" w:cs="仿宋_GB2312"/>
          <w:kern w:val="2"/>
        </w:rPr>
        <w:t>8</w:t>
      </w:r>
      <w:r>
        <w:rPr>
          <w:rFonts w:hint="eastAsia" w:ascii="仿宋_GB2312" w:hAnsi="仿宋_GB2312" w:eastAsia="仿宋_GB2312" w:cs="仿宋_GB2312"/>
          <w:kern w:val="2"/>
        </w:rPr>
        <w:t>米，有效净空满足各类救援车辆的通行。</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一般疏散通道以人员应急避护疏散为主，通常是小区至紧急应急避护场所的道路，以步行为主；同时考虑消防车的进入，通道净宽度和净空高度均不应小于</w:t>
      </w:r>
      <w:r>
        <w:rPr>
          <w:rFonts w:hint="eastAsia" w:ascii="Times New Roman" w:hAnsi="Times New Roman" w:eastAsia="仿宋_GB2312" w:cs="仿宋_GB2312"/>
          <w:kern w:val="2"/>
        </w:rPr>
        <w:t>4</w:t>
      </w:r>
      <w:r>
        <w:rPr>
          <w:rFonts w:hint="eastAsia" w:ascii="仿宋_GB2312" w:hAnsi="仿宋_GB2312" w:eastAsia="仿宋_GB2312" w:cs="仿宋_GB2312"/>
          <w:kern w:val="2"/>
        </w:rPr>
        <w:t>米，且不能设置限制消防车通行的固定设施，并在沿线做好指定避护路径导向指示避免越过干道、铁路和河流等，同时两侧的建筑物高度需制定必要的规定加以限制。</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4</w:t>
      </w:r>
      <w:r>
        <w:rPr>
          <w:rFonts w:hint="eastAsia" w:ascii="仿宋_GB2312" w:hAnsi="仿宋_GB2312" w:eastAsia="仿宋_GB2312" w:cs="仿宋_GB2312"/>
          <w:kern w:val="2"/>
        </w:rPr>
        <w:t>.备用通道</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充分发挥利用铁路运输的作用，灾时作为除地震外救灾物资的重要运输通道。</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63" w:name="_Toc215490495"/>
      <w:r>
        <w:rPr>
          <w:rFonts w:cs="Times New Roman"/>
          <w:kern w:val="2"/>
        </w:rPr>
        <w:t xml:space="preserve">第二十二条 </w:t>
      </w:r>
      <w:r>
        <w:rPr>
          <w:rFonts w:hint="eastAsia" w:cs="Times New Roman"/>
          <w:kern w:val="2"/>
          <w:lang w:val="en-US" w:eastAsia="zh-CN"/>
        </w:rPr>
        <w:t xml:space="preserve"> </w:t>
      </w:r>
      <w:r>
        <w:rPr>
          <w:rFonts w:cs="Times New Roman"/>
          <w:kern w:val="2"/>
        </w:rPr>
        <w:t>空中交通</w:t>
      </w:r>
      <w:bookmarkEnd w:id="63"/>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航空通道是陆上通道的重要补充，是整个应急通道网络的重要组成部分。规划建议应急停机坪结合应急避护场所集中布置。</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应急避护场所作为灾害发生后的救灾救助场地，对灾后救援起着至关重要的作用。应急避护场所是航空应急救援的重要节点，在应急避护场所或其附近规划建设起降点（或停机坪），构建立体应急救援网，提升应急救援保障能力。</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应急停机坪面积须保证直升机升降、悬停、消防器材的搬运、人员疏散、伤者救护、收容等诸多要求，其平面形状尺寸不宜小于直升机旋翼直径的</w:t>
      </w:r>
      <w:r>
        <w:rPr>
          <w:rFonts w:hint="eastAsia" w:ascii="Times New Roman" w:hAnsi="Times New Roman" w:eastAsia="仿宋_GB2312" w:cs="仿宋_GB2312"/>
          <w:kern w:val="2"/>
        </w:rPr>
        <w:t>1</w:t>
      </w:r>
      <w:r>
        <w:rPr>
          <w:rFonts w:hint="eastAsia" w:ascii="仿宋_GB2312" w:hAnsi="仿宋_GB2312" w:eastAsia="仿宋_GB2312" w:cs="仿宋_GB2312"/>
          <w:kern w:val="2"/>
        </w:rPr>
        <w:t>.</w:t>
      </w:r>
      <w:r>
        <w:rPr>
          <w:rFonts w:hint="eastAsia" w:ascii="Times New Roman" w:hAnsi="Times New Roman" w:eastAsia="仿宋_GB2312" w:cs="仿宋_GB2312"/>
          <w:kern w:val="2"/>
        </w:rPr>
        <w:t>5</w:t>
      </w:r>
      <w:r>
        <w:rPr>
          <w:rFonts w:hint="eastAsia" w:ascii="仿宋_GB2312" w:hAnsi="仿宋_GB2312" w:eastAsia="仿宋_GB2312" w:cs="仿宋_GB2312"/>
          <w:kern w:val="2"/>
        </w:rPr>
        <w:t>倍。应确保停机坪面平坦硬质、周围无高大建筑物，直升机有升空平行安全角度。</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本规划结合中心避护场所设置</w:t>
      </w:r>
      <w:r>
        <w:rPr>
          <w:rFonts w:hint="eastAsia" w:ascii="Times New Roman" w:hAnsi="Times New Roman" w:eastAsia="仿宋_GB2312" w:cs="仿宋_GB2312"/>
          <w:kern w:val="2"/>
        </w:rPr>
        <w:t>2</w:t>
      </w:r>
      <w:r>
        <w:rPr>
          <w:rFonts w:hint="eastAsia" w:ascii="仿宋_GB2312" w:hAnsi="仿宋_GB2312" w:eastAsia="仿宋_GB2312" w:cs="仿宋_GB2312"/>
          <w:kern w:val="2"/>
        </w:rPr>
        <w:t>处应急停机坪，长期避护场所中有场地具备条件的考虑增设应急停机坪，与空中应急指挥中心及其它可用机场共同构成空中应急网络。长期避护场所宜配置低空应急救援设施，结合场所实际设置专用无人机起降点。起降点应选址于开阔平坦、净空条件良好的安全区域，满足应急物资投送、灾情侦测与空中照明等任务的作业要求。</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64" w:name="_Toc215490496"/>
      <w:r>
        <w:rPr>
          <w:rFonts w:cs="Times New Roman"/>
          <w:kern w:val="2"/>
        </w:rPr>
        <w:t>第二十三条</w:t>
      </w:r>
      <w:r>
        <w:rPr>
          <w:rFonts w:hint="eastAsia" w:cs="Times New Roman"/>
          <w:kern w:val="2"/>
          <w:lang w:val="en-US" w:eastAsia="zh-CN"/>
        </w:rPr>
        <w:t xml:space="preserve"> </w:t>
      </w:r>
      <w:r>
        <w:rPr>
          <w:rFonts w:cs="Times New Roman"/>
          <w:kern w:val="2"/>
        </w:rPr>
        <w:t xml:space="preserve"> 提高灾时应急交通能力的措施</w:t>
      </w:r>
      <w:bookmarkEnd w:id="64"/>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避护通道灾时通行能力直接影响到灾时的疏散与救援速度。提高通道灾时通行能力重在平时的管理、预案的研究以及灾时的应急管理，包括严格控制建筑后退道路红线的距离、确保道路两侧建筑防灾性能、完善城市道路系统、制定灾时应急交通预案、加强避护标识系统建设及灾时交通管制等措施。</w:t>
      </w:r>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pPr>
    </w:p>
    <w:p>
      <w:pPr>
        <w:pStyle w:val="3"/>
        <w:keepNext w:val="0"/>
        <w:keepLines w:val="0"/>
        <w:pageBreakBefore w:val="0"/>
        <w:widowControl w:val="0"/>
        <w:kinsoku/>
        <w:wordWrap/>
        <w:overflowPunct/>
        <w:topLinePunct w:val="0"/>
        <w:autoSpaceDE/>
        <w:autoSpaceDN/>
        <w:bidi w:val="0"/>
        <w:adjustRightInd/>
        <w:snapToGrid/>
        <w:spacing w:before="0" w:after="0" w:line="570" w:lineRule="exact"/>
        <w:textAlignment w:val="auto"/>
        <w:rPr>
          <w:rFonts w:cs="Times New Roman"/>
          <w:kern w:val="2"/>
        </w:rPr>
      </w:pPr>
      <w:bookmarkStart w:id="65" w:name="_Toc215490497"/>
      <w:r>
        <w:rPr>
          <w:rFonts w:cs="Times New Roman"/>
          <w:kern w:val="2"/>
        </w:rPr>
        <w:t>第六章  应急避护场所设计要求指引</w:t>
      </w:r>
      <w:bookmarkEnd w:id="65"/>
    </w:p>
    <w:p>
      <w:pPr>
        <w:keepNext w:val="0"/>
        <w:keepLines w:val="0"/>
        <w:pageBreakBefore w:val="0"/>
        <w:widowControl w:val="0"/>
        <w:kinsoku/>
        <w:wordWrap/>
        <w:overflowPunct/>
        <w:topLinePunct w:val="0"/>
        <w:autoSpaceDE/>
        <w:autoSpaceDN/>
        <w:bidi w:val="0"/>
        <w:adjustRightInd/>
        <w:snapToGrid/>
        <w:spacing w:line="570" w:lineRule="exact"/>
        <w:textAlignment w:val="auto"/>
      </w:pP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66" w:name="_Toc215490498"/>
      <w:r>
        <w:rPr>
          <w:rFonts w:cs="Times New Roman"/>
          <w:kern w:val="2"/>
        </w:rPr>
        <w:t>第二十四条</w:t>
      </w:r>
      <w:r>
        <w:rPr>
          <w:rFonts w:hint="eastAsia" w:cs="Times New Roman"/>
          <w:kern w:val="2"/>
          <w:lang w:val="en-US" w:eastAsia="zh-CN"/>
        </w:rPr>
        <w:t xml:space="preserve"> </w:t>
      </w:r>
      <w:r>
        <w:rPr>
          <w:rFonts w:cs="Times New Roman"/>
          <w:kern w:val="2"/>
        </w:rPr>
        <w:t xml:space="preserve"> 场地建筑条件</w:t>
      </w:r>
      <w:bookmarkEnd w:id="66"/>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应急避护场地设计应保障人流、车流与物流合理分流，并应有利于消防、停车、避护人员集散以及无障碍设施设置。</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避护场地内应急通道数量、宽度应与避护时长、可容纳避护人数和功能区要求相适应。</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避护建筑间距应符合城乡规划要求，满足日照、采光、通风、消防、防灾、管线埋设和视觉卫生等需求。</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67" w:name="_Toc215490499"/>
      <w:bookmarkStart w:id="68" w:name="OLE_LINK100"/>
      <w:r>
        <w:rPr>
          <w:rFonts w:cs="Times New Roman"/>
          <w:kern w:val="2"/>
        </w:rPr>
        <w:t xml:space="preserve">第二十五条 </w:t>
      </w:r>
      <w:r>
        <w:rPr>
          <w:rFonts w:hint="eastAsia" w:cs="Times New Roman"/>
          <w:kern w:val="2"/>
          <w:lang w:val="en-US" w:eastAsia="zh-CN"/>
        </w:rPr>
        <w:t xml:space="preserve"> </w:t>
      </w:r>
      <w:r>
        <w:rPr>
          <w:rFonts w:cs="Times New Roman"/>
          <w:kern w:val="2"/>
        </w:rPr>
        <w:t>功能区</w:t>
      </w:r>
      <w:bookmarkEnd w:id="67"/>
    </w:p>
    <w:bookmarkEnd w:id="68"/>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长期、短期、紧急应急避护场所功能区应根据场所级别、类型和容纳避护人数，按照规范标准合理配置。</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69" w:name="_Toc215490500"/>
      <w:r>
        <w:rPr>
          <w:rFonts w:cs="Times New Roman"/>
          <w:kern w:val="2"/>
        </w:rPr>
        <w:t xml:space="preserve">第二十六条 </w:t>
      </w:r>
      <w:r>
        <w:rPr>
          <w:rFonts w:hint="eastAsia" w:cs="Times New Roman"/>
          <w:kern w:val="2"/>
          <w:lang w:val="en-US" w:eastAsia="zh-CN"/>
        </w:rPr>
        <w:t xml:space="preserve"> </w:t>
      </w:r>
      <w:r>
        <w:rPr>
          <w:rFonts w:cs="Times New Roman"/>
          <w:kern w:val="2"/>
        </w:rPr>
        <w:t>设施设备</w:t>
      </w:r>
      <w:bookmarkEnd w:id="69"/>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按照应急</w:t>
      </w:r>
      <w:r>
        <w:rPr>
          <w:rFonts w:hint="eastAsia" w:cs="Times New Roman"/>
          <w:kern w:val="2"/>
        </w:rPr>
        <w:t>避护</w:t>
      </w:r>
      <w:r>
        <w:rPr>
          <w:rFonts w:cs="Times New Roman"/>
          <w:kern w:val="2"/>
        </w:rPr>
        <w:t>场所相关标准规范，明确不同级别和类型应急避护场所应急设施和设备的配备要求。结合实际，设施设备应满足特殊群体和特定条件下无障碍等需求。</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70" w:name="_Toc215490501"/>
      <w:r>
        <w:rPr>
          <w:rFonts w:cs="Times New Roman"/>
          <w:kern w:val="2"/>
        </w:rPr>
        <w:t xml:space="preserve">第二十七条 </w:t>
      </w:r>
      <w:r>
        <w:rPr>
          <w:rFonts w:hint="eastAsia" w:cs="Times New Roman"/>
          <w:kern w:val="2"/>
          <w:lang w:val="en-US" w:eastAsia="zh-CN"/>
        </w:rPr>
        <w:t xml:space="preserve"> </w:t>
      </w:r>
      <w:r>
        <w:rPr>
          <w:rFonts w:cs="Times New Roman"/>
          <w:kern w:val="2"/>
        </w:rPr>
        <w:t>物资储备</w:t>
      </w:r>
      <w:bookmarkEnd w:id="70"/>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按照应急避护场所相关标准规范，根据应急避护场所的级别和类型，明确应急</w:t>
      </w:r>
      <w:bookmarkStart w:id="71" w:name="OLE_LINK101"/>
      <w:r>
        <w:rPr>
          <w:rFonts w:cs="Times New Roman"/>
          <w:kern w:val="2"/>
        </w:rPr>
        <w:t>避护</w:t>
      </w:r>
      <w:bookmarkEnd w:id="71"/>
      <w:r>
        <w:rPr>
          <w:rFonts w:cs="Times New Roman"/>
          <w:kern w:val="2"/>
        </w:rPr>
        <w:t>场所物资储备的种类、数量、储备方式要求等。</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72" w:name="_Toc215490502"/>
      <w:r>
        <w:rPr>
          <w:rFonts w:cs="Times New Roman"/>
          <w:kern w:val="2"/>
        </w:rPr>
        <w:t>第二十八条</w:t>
      </w:r>
      <w:r>
        <w:rPr>
          <w:rFonts w:hint="eastAsia" w:cs="Times New Roman"/>
          <w:kern w:val="2"/>
          <w:lang w:val="en-US" w:eastAsia="zh-CN"/>
        </w:rPr>
        <w:t xml:space="preserve"> </w:t>
      </w:r>
      <w:r>
        <w:rPr>
          <w:rFonts w:cs="Times New Roman"/>
          <w:kern w:val="2"/>
        </w:rPr>
        <w:t xml:space="preserve"> 应急转换</w:t>
      </w:r>
      <w:bookmarkEnd w:id="72"/>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明确本行政区内应急</w:t>
      </w:r>
      <w:r>
        <w:rPr>
          <w:rFonts w:hint="eastAsia" w:cs="Times New Roman"/>
          <w:kern w:val="2"/>
        </w:rPr>
        <w:t>避护</w:t>
      </w:r>
      <w:r>
        <w:rPr>
          <w:rFonts w:cs="Times New Roman"/>
          <w:kern w:val="2"/>
        </w:rPr>
        <w:t>场所资源统筹管理调度的信息化建设要求，统一使用统建的应急</w:t>
      </w:r>
      <w:r>
        <w:rPr>
          <w:rFonts w:hint="eastAsia" w:cs="Times New Roman"/>
          <w:kern w:val="2"/>
        </w:rPr>
        <w:t>避护</w:t>
      </w:r>
      <w:r>
        <w:rPr>
          <w:rFonts w:cs="Times New Roman"/>
          <w:kern w:val="2"/>
        </w:rPr>
        <w:t>场所信息系统，增强应急</w:t>
      </w:r>
      <w:r>
        <w:rPr>
          <w:rFonts w:hint="eastAsia" w:cs="Times New Roman"/>
          <w:kern w:val="2"/>
        </w:rPr>
        <w:t>避护</w:t>
      </w:r>
      <w:r>
        <w:rPr>
          <w:rFonts w:cs="Times New Roman"/>
          <w:kern w:val="2"/>
        </w:rPr>
        <w:t>场所信息系统视频监控和动态感知等实战化、智能化功能。构建应急</w:t>
      </w:r>
      <w:r>
        <w:rPr>
          <w:rFonts w:hint="eastAsia" w:cs="Times New Roman"/>
          <w:kern w:val="2"/>
        </w:rPr>
        <w:t>避护</w:t>
      </w:r>
      <w:r>
        <w:rPr>
          <w:rFonts w:cs="Times New Roman"/>
          <w:kern w:val="2"/>
        </w:rPr>
        <w:t>疏散数字化平台框架，为应急</w:t>
      </w:r>
      <w:r>
        <w:rPr>
          <w:rFonts w:hint="eastAsia" w:cs="Times New Roman"/>
          <w:kern w:val="2"/>
        </w:rPr>
        <w:t>避护</w:t>
      </w:r>
      <w:r>
        <w:rPr>
          <w:rFonts w:cs="Times New Roman"/>
          <w:kern w:val="2"/>
        </w:rPr>
        <w:t>疏散提供管理决策支持。</w:t>
      </w:r>
    </w:p>
    <w:p>
      <w:pPr>
        <w:pStyle w:val="2"/>
      </w:pPr>
    </w:p>
    <w:p>
      <w:pPr>
        <w:pStyle w:val="3"/>
        <w:keepNext w:val="0"/>
        <w:keepLines w:val="0"/>
        <w:pageBreakBefore w:val="0"/>
        <w:widowControl w:val="0"/>
        <w:kinsoku/>
        <w:wordWrap/>
        <w:overflowPunct/>
        <w:topLinePunct w:val="0"/>
        <w:autoSpaceDE/>
        <w:autoSpaceDN/>
        <w:bidi w:val="0"/>
        <w:adjustRightInd/>
        <w:snapToGrid/>
        <w:spacing w:before="0" w:after="0" w:line="570" w:lineRule="exact"/>
        <w:textAlignment w:val="auto"/>
        <w:rPr>
          <w:rFonts w:cs="Times New Roman"/>
          <w:kern w:val="2"/>
        </w:rPr>
      </w:pPr>
      <w:bookmarkStart w:id="73" w:name="_Toc215490503"/>
      <w:r>
        <w:rPr>
          <w:rFonts w:cs="Times New Roman"/>
          <w:kern w:val="2"/>
        </w:rPr>
        <w:t>第七章  规划实施安排</w:t>
      </w:r>
      <w:bookmarkEnd w:id="73"/>
    </w:p>
    <w:p>
      <w:pPr>
        <w:keepNext w:val="0"/>
        <w:keepLines w:val="0"/>
        <w:pageBreakBefore w:val="0"/>
        <w:widowControl w:val="0"/>
        <w:kinsoku/>
        <w:wordWrap/>
        <w:overflowPunct/>
        <w:topLinePunct w:val="0"/>
        <w:autoSpaceDE/>
        <w:autoSpaceDN/>
        <w:bidi w:val="0"/>
        <w:adjustRightInd/>
        <w:snapToGrid/>
        <w:spacing w:line="570" w:lineRule="exact"/>
        <w:textAlignment w:val="auto"/>
      </w:pP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74" w:name="_Toc215490504"/>
      <w:r>
        <w:rPr>
          <w:rFonts w:cs="Times New Roman"/>
          <w:kern w:val="2"/>
        </w:rPr>
        <w:t xml:space="preserve">第二十九条 </w:t>
      </w:r>
      <w:bookmarkStart w:id="75" w:name="OLE_LINK12"/>
      <w:r>
        <w:rPr>
          <w:rFonts w:hint="eastAsia" w:cs="Times New Roman"/>
          <w:kern w:val="2"/>
          <w:lang w:val="en-US" w:eastAsia="zh-CN"/>
        </w:rPr>
        <w:t xml:space="preserve"> </w:t>
      </w:r>
      <w:r>
        <w:rPr>
          <w:rFonts w:cs="Times New Roman"/>
          <w:kern w:val="2"/>
        </w:rPr>
        <w:t>近期建设目标</w:t>
      </w:r>
      <w:bookmarkEnd w:id="74"/>
      <w:bookmarkEnd w:id="75"/>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bookmarkStart w:id="76" w:name="_Hlk213881551"/>
      <w:r>
        <w:rPr>
          <w:rFonts w:hint="eastAsia" w:ascii="仿宋_GB2312" w:hAnsi="仿宋_GB2312" w:eastAsia="仿宋_GB2312" w:cs="仿宋_GB2312"/>
          <w:kern w:val="2"/>
        </w:rPr>
        <w:t>按照近期避护场所规模预测，结合各镇（街）现有应急避护场所分布特征，规划近期重点解决应急避护场所分布不均匀、设施标识不完善等问题。规划至</w:t>
      </w:r>
      <w:r>
        <w:rPr>
          <w:rFonts w:hint="eastAsia" w:ascii="Times New Roman" w:hAnsi="Times New Roman" w:eastAsia="仿宋_GB2312" w:cs="仿宋_GB2312"/>
          <w:kern w:val="2"/>
        </w:rPr>
        <w:t>2030</w:t>
      </w:r>
      <w:r>
        <w:rPr>
          <w:rFonts w:hint="eastAsia" w:ascii="仿宋_GB2312" w:hAnsi="仿宋_GB2312" w:eastAsia="仿宋_GB2312" w:cs="仿宋_GB2312"/>
          <w:kern w:val="2"/>
        </w:rPr>
        <w:t>年，规划新增应急避护场所</w:t>
      </w:r>
      <w:r>
        <w:rPr>
          <w:rFonts w:hint="eastAsia" w:ascii="Times New Roman" w:hAnsi="Times New Roman" w:eastAsia="仿宋_GB2312" w:cs="仿宋_GB2312"/>
          <w:kern w:val="2"/>
        </w:rPr>
        <w:t>47</w:t>
      </w:r>
      <w:r>
        <w:rPr>
          <w:rFonts w:hint="eastAsia" w:ascii="仿宋_GB2312" w:hAnsi="仿宋_GB2312" w:eastAsia="仿宋_GB2312" w:cs="仿宋_GB2312"/>
          <w:kern w:val="2"/>
        </w:rPr>
        <w:t>处，应急避护场所数量达</w:t>
      </w:r>
      <w:r>
        <w:rPr>
          <w:rFonts w:hint="eastAsia" w:ascii="Times New Roman" w:hAnsi="Times New Roman" w:eastAsia="仿宋_GB2312" w:cs="仿宋_GB2312"/>
          <w:kern w:val="2"/>
        </w:rPr>
        <w:t>347</w:t>
      </w:r>
      <w:r>
        <w:rPr>
          <w:rFonts w:hint="eastAsia" w:ascii="仿宋_GB2312" w:hAnsi="仿宋_GB2312" w:eastAsia="仿宋_GB2312" w:cs="仿宋_GB2312"/>
          <w:kern w:val="2"/>
        </w:rPr>
        <w:t>处以上，应急避险能力明显提升</w:t>
      </w:r>
      <w:bookmarkEnd w:id="76"/>
      <w:r>
        <w:rPr>
          <w:rFonts w:hint="eastAsia" w:ascii="仿宋_GB2312" w:hAnsi="仿宋_GB2312" w:eastAsia="仿宋_GB2312" w:cs="仿宋_GB2312"/>
          <w:kern w:val="2"/>
        </w:rPr>
        <w:t>。</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77" w:name="_Toc215490505"/>
      <w:r>
        <w:rPr>
          <w:rFonts w:cs="Times New Roman"/>
          <w:kern w:val="2"/>
        </w:rPr>
        <w:t xml:space="preserve">第三十条 </w:t>
      </w:r>
      <w:r>
        <w:rPr>
          <w:rFonts w:hint="eastAsia" w:cs="Times New Roman"/>
          <w:kern w:val="2"/>
          <w:lang w:val="en-US" w:eastAsia="zh-CN"/>
        </w:rPr>
        <w:t xml:space="preserve"> </w:t>
      </w:r>
      <w:r>
        <w:rPr>
          <w:rFonts w:cs="Times New Roman"/>
          <w:kern w:val="2"/>
        </w:rPr>
        <w:t>近期建设计划</w:t>
      </w:r>
      <w:bookmarkEnd w:id="77"/>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bookmarkStart w:id="78" w:name="_Hlk208951011"/>
      <w:r>
        <w:rPr>
          <w:rFonts w:hint="eastAsia" w:ascii="仿宋_GB2312" w:hAnsi="仿宋_GB2312" w:eastAsia="仿宋_GB2312" w:cs="仿宋_GB2312"/>
          <w:kern w:val="2"/>
        </w:rPr>
        <w:t>荔城街新增应急避护场所</w:t>
      </w:r>
      <w:r>
        <w:rPr>
          <w:rFonts w:hint="eastAsia" w:ascii="Times New Roman" w:hAnsi="Times New Roman" w:eastAsia="仿宋_GB2312" w:cs="仿宋_GB2312"/>
          <w:kern w:val="2"/>
        </w:rPr>
        <w:t>6</w:t>
      </w:r>
      <w:r>
        <w:rPr>
          <w:rFonts w:hint="eastAsia" w:ascii="仿宋_GB2312" w:hAnsi="仿宋_GB2312" w:eastAsia="仿宋_GB2312" w:cs="仿宋_GB2312"/>
          <w:kern w:val="2"/>
        </w:rPr>
        <w:t>处，增江街新增应急避护场所</w:t>
      </w:r>
      <w:r>
        <w:rPr>
          <w:rFonts w:hint="eastAsia" w:ascii="Times New Roman" w:hAnsi="Times New Roman" w:eastAsia="仿宋_GB2312" w:cs="仿宋_GB2312"/>
          <w:kern w:val="2"/>
        </w:rPr>
        <w:t>4</w:t>
      </w:r>
      <w:r>
        <w:rPr>
          <w:rFonts w:hint="eastAsia" w:ascii="仿宋_GB2312" w:hAnsi="仿宋_GB2312" w:eastAsia="仿宋_GB2312" w:cs="仿宋_GB2312"/>
          <w:kern w:val="2"/>
        </w:rPr>
        <w:t>处，朱村街新增应急避护场所</w:t>
      </w:r>
      <w:r>
        <w:rPr>
          <w:rFonts w:hint="eastAsia" w:ascii="Times New Roman" w:hAnsi="Times New Roman" w:eastAsia="仿宋_GB2312" w:cs="仿宋_GB2312"/>
          <w:kern w:val="2"/>
        </w:rPr>
        <w:t>1</w:t>
      </w:r>
      <w:r>
        <w:rPr>
          <w:rFonts w:hint="eastAsia" w:ascii="仿宋_GB2312" w:hAnsi="仿宋_GB2312" w:eastAsia="仿宋_GB2312" w:cs="仿宋_GB2312"/>
          <w:kern w:val="2"/>
        </w:rPr>
        <w:t>处，永宁街新增应急避护场所</w:t>
      </w:r>
      <w:r>
        <w:rPr>
          <w:rFonts w:hint="eastAsia" w:ascii="Times New Roman" w:hAnsi="Times New Roman" w:eastAsia="仿宋_GB2312" w:cs="仿宋_GB2312"/>
          <w:kern w:val="2"/>
        </w:rPr>
        <w:t>7</w:t>
      </w:r>
      <w:r>
        <w:rPr>
          <w:rFonts w:hint="eastAsia" w:ascii="仿宋_GB2312" w:hAnsi="仿宋_GB2312" w:eastAsia="仿宋_GB2312" w:cs="仿宋_GB2312"/>
          <w:kern w:val="2"/>
        </w:rPr>
        <w:t>处，荔湖街新增应急避护场所</w:t>
      </w:r>
      <w:r>
        <w:rPr>
          <w:rFonts w:hint="eastAsia" w:ascii="Times New Roman" w:hAnsi="Times New Roman" w:eastAsia="仿宋_GB2312" w:cs="仿宋_GB2312"/>
          <w:kern w:val="2"/>
        </w:rPr>
        <w:t>6</w:t>
      </w:r>
      <w:r>
        <w:rPr>
          <w:rFonts w:hint="eastAsia" w:ascii="仿宋_GB2312" w:hAnsi="仿宋_GB2312" w:eastAsia="仿宋_GB2312" w:cs="仿宋_GB2312"/>
          <w:kern w:val="2"/>
        </w:rPr>
        <w:t>处，宁西街新增应急避护场所</w:t>
      </w:r>
      <w:r>
        <w:rPr>
          <w:rFonts w:hint="eastAsia" w:ascii="Times New Roman" w:hAnsi="Times New Roman" w:eastAsia="仿宋_GB2312" w:cs="仿宋_GB2312"/>
          <w:kern w:val="2"/>
        </w:rPr>
        <w:t>5</w:t>
      </w:r>
      <w:r>
        <w:rPr>
          <w:rFonts w:hint="eastAsia" w:ascii="仿宋_GB2312" w:hAnsi="仿宋_GB2312" w:eastAsia="仿宋_GB2312" w:cs="仿宋_GB2312"/>
          <w:kern w:val="2"/>
        </w:rPr>
        <w:t>处，新塘镇新增应急避护场所</w:t>
      </w:r>
      <w:r>
        <w:rPr>
          <w:rFonts w:hint="eastAsia" w:ascii="Times New Roman" w:hAnsi="Times New Roman" w:eastAsia="仿宋_GB2312" w:cs="仿宋_GB2312"/>
          <w:kern w:val="2"/>
        </w:rPr>
        <w:t>7</w:t>
      </w:r>
      <w:r>
        <w:rPr>
          <w:rFonts w:hint="eastAsia" w:ascii="仿宋_GB2312" w:hAnsi="仿宋_GB2312" w:eastAsia="仿宋_GB2312" w:cs="仿宋_GB2312"/>
          <w:kern w:val="2"/>
        </w:rPr>
        <w:t>处，石滩镇新增应急避护场所</w:t>
      </w:r>
      <w:r>
        <w:rPr>
          <w:rFonts w:hint="eastAsia" w:ascii="Times New Roman" w:hAnsi="Times New Roman" w:eastAsia="仿宋_GB2312" w:cs="仿宋_GB2312"/>
          <w:kern w:val="2"/>
        </w:rPr>
        <w:t>5</w:t>
      </w:r>
      <w:r>
        <w:rPr>
          <w:rFonts w:hint="eastAsia" w:ascii="仿宋_GB2312" w:hAnsi="仿宋_GB2312" w:eastAsia="仿宋_GB2312" w:cs="仿宋_GB2312"/>
          <w:kern w:val="2"/>
        </w:rPr>
        <w:t>处，中新镇新增应急避护场所</w:t>
      </w:r>
      <w:r>
        <w:rPr>
          <w:rFonts w:hint="eastAsia" w:ascii="Times New Roman" w:hAnsi="Times New Roman" w:eastAsia="仿宋_GB2312" w:cs="仿宋_GB2312"/>
          <w:kern w:val="2"/>
        </w:rPr>
        <w:t>4</w:t>
      </w:r>
      <w:r>
        <w:rPr>
          <w:rFonts w:hint="eastAsia" w:ascii="仿宋_GB2312" w:hAnsi="仿宋_GB2312" w:eastAsia="仿宋_GB2312" w:cs="仿宋_GB2312"/>
          <w:kern w:val="2"/>
        </w:rPr>
        <w:t>处，派潭镇新增应急避护场所</w:t>
      </w:r>
      <w:r>
        <w:rPr>
          <w:rFonts w:hint="eastAsia" w:ascii="Times New Roman" w:hAnsi="Times New Roman" w:eastAsia="仿宋_GB2312" w:cs="仿宋_GB2312"/>
          <w:kern w:val="2"/>
        </w:rPr>
        <w:t>2</w:t>
      </w:r>
      <w:r>
        <w:rPr>
          <w:rFonts w:hint="eastAsia" w:ascii="仿宋_GB2312" w:hAnsi="仿宋_GB2312" w:eastAsia="仿宋_GB2312" w:cs="仿宋_GB2312"/>
          <w:kern w:val="2"/>
        </w:rPr>
        <w:t>处（详见表</w:t>
      </w:r>
      <w:r>
        <w:rPr>
          <w:rFonts w:hint="eastAsia" w:ascii="Times New Roman" w:hAnsi="Times New Roman" w:eastAsia="仿宋_GB2312" w:cs="仿宋_GB2312"/>
          <w:kern w:val="2"/>
        </w:rPr>
        <w:t>8</w:t>
      </w:r>
      <w:r>
        <w:rPr>
          <w:rFonts w:hint="eastAsia" w:ascii="仿宋_GB2312" w:hAnsi="仿宋_GB2312" w:eastAsia="仿宋_GB2312" w:cs="仿宋_GB2312"/>
          <w:kern w:val="2"/>
        </w:rPr>
        <w:t>）。</w:t>
      </w:r>
    </w:p>
    <w:bookmarkEnd w:id="78"/>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rPr>
          <w:rFonts w:hint="eastAsia" w:ascii="黑体" w:hAnsi="黑体" w:eastAsia="黑体" w:cs="黑体"/>
          <w:kern w:val="2"/>
        </w:rPr>
      </w:pPr>
      <w:bookmarkStart w:id="79" w:name="_Hlk208951032"/>
      <w:r>
        <w:rPr>
          <w:rFonts w:hint="eastAsia" w:ascii="黑体" w:hAnsi="黑体" w:eastAsia="黑体" w:cs="黑体"/>
          <w:kern w:val="2"/>
        </w:rPr>
        <w:t>表</w:t>
      </w:r>
      <w:r>
        <w:rPr>
          <w:rFonts w:hint="eastAsia" w:ascii="Times New Roman" w:hAnsi="Times New Roman" w:eastAsia="黑体" w:cs="黑体"/>
          <w:kern w:val="2"/>
        </w:rPr>
        <w:t>8</w:t>
      </w:r>
      <w:r>
        <w:rPr>
          <w:rFonts w:hint="eastAsia" w:ascii="黑体" w:hAnsi="黑体" w:eastAsia="黑体" w:cs="黑体"/>
          <w:kern w:val="2"/>
        </w:rPr>
        <w:t>近期建设一览表</w:t>
      </w:r>
    </w:p>
    <w:bookmarkEnd w:id="79"/>
    <w:tbl>
      <w:tblPr>
        <w:tblStyle w:val="50"/>
        <w:tblW w:w="8980" w:type="dxa"/>
        <w:jc w:val="center"/>
        <w:tblLayout w:type="fixed"/>
        <w:tblCellMar>
          <w:top w:w="0" w:type="dxa"/>
          <w:left w:w="108" w:type="dxa"/>
          <w:bottom w:w="0" w:type="dxa"/>
          <w:right w:w="108" w:type="dxa"/>
        </w:tblCellMar>
      </w:tblPr>
      <w:tblGrid>
        <w:gridCol w:w="1080"/>
        <w:gridCol w:w="951"/>
        <w:gridCol w:w="4170"/>
        <w:gridCol w:w="1104"/>
        <w:gridCol w:w="1675"/>
      </w:tblGrid>
      <w:tr>
        <w:tblPrEx>
          <w:tblCellMar>
            <w:top w:w="0" w:type="dxa"/>
            <w:left w:w="108" w:type="dxa"/>
            <w:bottom w:w="0" w:type="dxa"/>
            <w:right w:w="108" w:type="dxa"/>
          </w:tblCellMar>
        </w:tblPrEx>
        <w:trPr>
          <w:trHeight w:val="300" w:hRule="atLeast"/>
          <w:tblHeader/>
          <w:jc w:val="center"/>
        </w:trPr>
        <w:tc>
          <w:tcPr>
            <w:tcW w:w="1080" w:type="dxa"/>
            <w:tcBorders>
              <w:top w:val="single" w:color="auto" w:sz="8" w:space="0"/>
              <w:left w:val="single" w:color="auto" w:sz="8" w:space="0"/>
              <w:bottom w:val="single" w:color="auto" w:sz="8" w:space="0"/>
              <w:right w:val="single" w:color="auto" w:sz="8" w:space="0"/>
            </w:tcBorders>
            <w:shd w:val="clear" w:color="000000" w:fill="D9D9D9"/>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黑体" w:hAnsi="黑体" w:eastAsia="黑体" w:cs="黑体"/>
                <w:b w:val="0"/>
                <w:bCs w:val="0"/>
                <w:kern w:val="0"/>
                <w:sz w:val="24"/>
                <w:szCs w:val="24"/>
              </w:rPr>
            </w:pPr>
            <w:bookmarkStart w:id="80" w:name="_Hlk208951023"/>
            <w:r>
              <w:rPr>
                <w:rFonts w:hint="eastAsia" w:ascii="黑体" w:hAnsi="黑体" w:eastAsia="黑体" w:cs="黑体"/>
                <w:b w:val="0"/>
                <w:bCs w:val="0"/>
                <w:kern w:val="0"/>
                <w:sz w:val="24"/>
                <w:szCs w:val="24"/>
              </w:rPr>
              <w:t>镇（街）</w:t>
            </w:r>
          </w:p>
        </w:tc>
        <w:tc>
          <w:tcPr>
            <w:tcW w:w="951" w:type="dxa"/>
            <w:tcBorders>
              <w:top w:val="single" w:color="auto" w:sz="8" w:space="0"/>
              <w:left w:val="nil"/>
              <w:bottom w:val="single" w:color="auto" w:sz="8" w:space="0"/>
              <w:right w:val="single" w:color="auto" w:sz="8" w:space="0"/>
            </w:tcBorders>
            <w:shd w:val="clear" w:color="000000" w:fill="D9D9D9"/>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类型</w:t>
            </w:r>
          </w:p>
        </w:tc>
        <w:tc>
          <w:tcPr>
            <w:tcW w:w="4170" w:type="dxa"/>
            <w:tcBorders>
              <w:top w:val="single" w:color="auto" w:sz="8" w:space="0"/>
              <w:left w:val="nil"/>
              <w:bottom w:val="single" w:color="auto" w:sz="8" w:space="0"/>
              <w:right w:val="single" w:color="auto" w:sz="8" w:space="0"/>
            </w:tcBorders>
            <w:shd w:val="clear" w:color="000000" w:fill="D9D9D9"/>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名称</w:t>
            </w:r>
          </w:p>
        </w:tc>
        <w:tc>
          <w:tcPr>
            <w:tcW w:w="1104" w:type="dxa"/>
            <w:tcBorders>
              <w:top w:val="single" w:color="auto" w:sz="8" w:space="0"/>
              <w:left w:val="nil"/>
              <w:bottom w:val="single" w:color="auto" w:sz="8" w:space="0"/>
              <w:right w:val="single" w:color="auto" w:sz="8" w:space="0"/>
            </w:tcBorders>
            <w:shd w:val="clear" w:color="000000" w:fill="D9D9D9"/>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用地面积（公顷）</w:t>
            </w:r>
          </w:p>
        </w:tc>
        <w:tc>
          <w:tcPr>
            <w:tcW w:w="1675" w:type="dxa"/>
            <w:tcBorders>
              <w:top w:val="single" w:color="auto" w:sz="8" w:space="0"/>
              <w:left w:val="nil"/>
              <w:bottom w:val="single" w:color="auto" w:sz="8" w:space="0"/>
              <w:right w:val="single" w:color="auto" w:sz="8" w:space="0"/>
            </w:tcBorders>
            <w:shd w:val="clear" w:color="000000" w:fill="D9D9D9"/>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有效避护面积（万平方米）</w:t>
            </w:r>
          </w:p>
        </w:tc>
      </w:tr>
      <w:tr>
        <w:tblPrEx>
          <w:tblCellMar>
            <w:top w:w="0" w:type="dxa"/>
            <w:left w:w="108" w:type="dxa"/>
            <w:bottom w:w="0" w:type="dxa"/>
            <w:right w:w="108" w:type="dxa"/>
          </w:tblCellMar>
        </w:tblPrEx>
        <w:trPr>
          <w:trHeight w:val="300" w:hRule="atLeast"/>
          <w:jc w:val="center"/>
        </w:trPr>
        <w:tc>
          <w:tcPr>
            <w:tcW w:w="1080" w:type="dxa"/>
            <w:vMerge w:val="restart"/>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荔城街</w:t>
            </w: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大鹏小学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16</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15</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广州市增城区英华学校</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7</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65</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增城儿童公园</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16</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36</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6</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54</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增城区华侨中学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3</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7</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92</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增城区荔城街第三中学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5</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3</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04</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增城区荔城街荔景中学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44</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41</w:t>
            </w:r>
          </w:p>
        </w:tc>
      </w:tr>
      <w:tr>
        <w:tblPrEx>
          <w:tblCellMar>
            <w:top w:w="0" w:type="dxa"/>
            <w:left w:w="108" w:type="dxa"/>
            <w:bottom w:w="0" w:type="dxa"/>
            <w:right w:w="108" w:type="dxa"/>
          </w:tblCellMar>
        </w:tblPrEx>
        <w:trPr>
          <w:trHeight w:val="300" w:hRule="atLeast"/>
          <w:jc w:val="center"/>
        </w:trPr>
        <w:tc>
          <w:tcPr>
            <w:tcW w:w="6201" w:type="dxa"/>
            <w:gridSpan w:val="3"/>
            <w:tcBorders>
              <w:top w:val="single" w:color="auto" w:sz="8" w:space="0"/>
              <w:left w:val="single" w:color="auto" w:sz="8" w:space="0"/>
              <w:bottom w:val="single" w:color="auto" w:sz="8" w:space="0"/>
              <w:right w:val="single" w:color="000000"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荔城街 汇总（</w:t>
            </w:r>
            <w:r>
              <w:rPr>
                <w:rFonts w:hint="eastAsia" w:ascii="Times New Roman" w:hAnsi="Times New Roman" w:eastAsia="宋体" w:cs="宋体"/>
                <w:b/>
                <w:bCs/>
                <w:kern w:val="0"/>
                <w:sz w:val="24"/>
                <w:szCs w:val="24"/>
              </w:rPr>
              <w:t>6</w:t>
            </w:r>
            <w:r>
              <w:rPr>
                <w:rFonts w:hint="eastAsia" w:ascii="宋体" w:hAnsi="宋体" w:eastAsia="宋体" w:cs="宋体"/>
                <w:b/>
                <w:bCs/>
                <w:kern w:val="0"/>
                <w:sz w:val="24"/>
                <w:szCs w:val="24"/>
              </w:rPr>
              <w:t>处）</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35</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86</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21</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71</w:t>
            </w:r>
          </w:p>
        </w:tc>
      </w:tr>
      <w:tr>
        <w:tblPrEx>
          <w:tblCellMar>
            <w:top w:w="0" w:type="dxa"/>
            <w:left w:w="108" w:type="dxa"/>
            <w:bottom w:w="0" w:type="dxa"/>
            <w:right w:w="108" w:type="dxa"/>
          </w:tblCellMar>
        </w:tblPrEx>
        <w:trPr>
          <w:trHeight w:val="300" w:hRule="atLeast"/>
          <w:jc w:val="center"/>
        </w:trPr>
        <w:tc>
          <w:tcPr>
            <w:tcW w:w="1080" w:type="dxa"/>
            <w:vMerge w:val="restart"/>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增江街</w:t>
            </w: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广州华立科技职业学院</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64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38</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59</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华南师范大学附属增江学校</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6</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95</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3</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62</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荔城中学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6</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52</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3</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39</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增城区二中</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16</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14</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8</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39</w:t>
            </w:r>
          </w:p>
        </w:tc>
      </w:tr>
      <w:tr>
        <w:tblPrEx>
          <w:tblCellMar>
            <w:top w:w="0" w:type="dxa"/>
            <w:left w:w="108" w:type="dxa"/>
            <w:bottom w:w="0" w:type="dxa"/>
            <w:right w:w="108" w:type="dxa"/>
          </w:tblCellMar>
        </w:tblPrEx>
        <w:trPr>
          <w:trHeight w:val="300" w:hRule="atLeast"/>
          <w:jc w:val="center"/>
        </w:trPr>
        <w:tc>
          <w:tcPr>
            <w:tcW w:w="6201" w:type="dxa"/>
            <w:gridSpan w:val="3"/>
            <w:tcBorders>
              <w:top w:val="single" w:color="auto" w:sz="8" w:space="0"/>
              <w:left w:val="single" w:color="auto" w:sz="8" w:space="0"/>
              <w:bottom w:val="single" w:color="auto" w:sz="8" w:space="0"/>
              <w:right w:val="single" w:color="000000"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增江街 汇总（</w:t>
            </w:r>
            <w:r>
              <w:rPr>
                <w:rFonts w:hint="eastAsia" w:ascii="Times New Roman" w:hAnsi="Times New Roman" w:eastAsia="宋体" w:cs="宋体"/>
                <w:b/>
                <w:bCs/>
                <w:kern w:val="0"/>
                <w:sz w:val="24"/>
                <w:szCs w:val="24"/>
              </w:rPr>
              <w:t>4</w:t>
            </w:r>
            <w:r>
              <w:rPr>
                <w:rFonts w:hint="eastAsia" w:ascii="宋体" w:hAnsi="宋体" w:eastAsia="宋体" w:cs="宋体"/>
                <w:b/>
                <w:bCs/>
                <w:kern w:val="0"/>
                <w:sz w:val="24"/>
                <w:szCs w:val="24"/>
              </w:rPr>
              <w:t>处）</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93</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99</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26</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99</w:t>
            </w:r>
          </w:p>
        </w:tc>
      </w:tr>
      <w:tr>
        <w:tblPrEx>
          <w:tblCellMar>
            <w:top w:w="0" w:type="dxa"/>
            <w:left w:w="108" w:type="dxa"/>
            <w:bottom w:w="0" w:type="dxa"/>
            <w:right w:w="108" w:type="dxa"/>
          </w:tblCellMar>
        </w:tblPrEx>
        <w:trPr>
          <w:trHeight w:val="300" w:hRule="atLeast"/>
          <w:jc w:val="center"/>
        </w:trPr>
        <w:tc>
          <w:tcPr>
            <w:tcW w:w="1080" w:type="dxa"/>
            <w:tcBorders>
              <w:top w:val="nil"/>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朱村街</w:t>
            </w: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朱村街西福小学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3</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3</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98</w:t>
            </w:r>
          </w:p>
        </w:tc>
      </w:tr>
      <w:tr>
        <w:tblPrEx>
          <w:tblCellMar>
            <w:top w:w="0" w:type="dxa"/>
            <w:left w:w="108" w:type="dxa"/>
            <w:bottom w:w="0" w:type="dxa"/>
            <w:right w:w="108" w:type="dxa"/>
          </w:tblCellMar>
        </w:tblPrEx>
        <w:trPr>
          <w:trHeight w:val="300" w:hRule="atLeast"/>
          <w:jc w:val="center"/>
        </w:trPr>
        <w:tc>
          <w:tcPr>
            <w:tcW w:w="6201" w:type="dxa"/>
            <w:gridSpan w:val="3"/>
            <w:tcBorders>
              <w:top w:val="single" w:color="auto" w:sz="8" w:space="0"/>
              <w:left w:val="single" w:color="auto" w:sz="8" w:space="0"/>
              <w:bottom w:val="single" w:color="auto" w:sz="8" w:space="0"/>
              <w:right w:val="single" w:color="000000"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朱村街 汇总（</w:t>
            </w:r>
            <w:r>
              <w:rPr>
                <w:rFonts w:hint="eastAsia" w:ascii="Times New Roman" w:hAnsi="Times New Roman" w:eastAsia="宋体" w:cs="宋体"/>
                <w:b/>
                <w:bCs/>
                <w:kern w:val="0"/>
                <w:sz w:val="24"/>
                <w:szCs w:val="24"/>
              </w:rPr>
              <w:t>1</w:t>
            </w:r>
            <w:r>
              <w:rPr>
                <w:rFonts w:hint="eastAsia" w:ascii="宋体" w:hAnsi="宋体" w:eastAsia="宋体" w:cs="宋体"/>
                <w:b/>
                <w:bCs/>
                <w:kern w:val="0"/>
                <w:sz w:val="24"/>
                <w:szCs w:val="24"/>
              </w:rPr>
              <w:t>处）</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3</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3</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1</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98</w:t>
            </w:r>
          </w:p>
        </w:tc>
      </w:tr>
      <w:tr>
        <w:tblPrEx>
          <w:tblCellMar>
            <w:top w:w="0" w:type="dxa"/>
            <w:left w:w="108" w:type="dxa"/>
            <w:bottom w:w="0" w:type="dxa"/>
            <w:right w:w="108" w:type="dxa"/>
          </w:tblCellMar>
        </w:tblPrEx>
        <w:trPr>
          <w:trHeight w:val="300" w:hRule="atLeast"/>
          <w:jc w:val="center"/>
        </w:trPr>
        <w:tc>
          <w:tcPr>
            <w:tcW w:w="1080" w:type="dxa"/>
            <w:vMerge w:val="restart"/>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永宁街</w:t>
            </w: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凤凰城中英文学校</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8</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67</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51</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广外增城外国语学校</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67</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39</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广州市增城区南香山小学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93</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53</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无忧花园</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10</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33</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12</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永和中学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8</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86</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61</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永宁第二小学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53</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5</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永宁中学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35</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22</w:t>
            </w:r>
          </w:p>
        </w:tc>
      </w:tr>
      <w:tr>
        <w:tblPrEx>
          <w:tblCellMar>
            <w:top w:w="0" w:type="dxa"/>
            <w:left w:w="108" w:type="dxa"/>
            <w:bottom w:w="0" w:type="dxa"/>
            <w:right w:w="108" w:type="dxa"/>
          </w:tblCellMar>
        </w:tblPrEx>
        <w:trPr>
          <w:trHeight w:val="300" w:hRule="atLeast"/>
          <w:jc w:val="center"/>
        </w:trPr>
        <w:tc>
          <w:tcPr>
            <w:tcW w:w="6201" w:type="dxa"/>
            <w:gridSpan w:val="3"/>
            <w:tcBorders>
              <w:top w:val="single" w:color="auto" w:sz="8" w:space="0"/>
              <w:left w:val="single" w:color="auto" w:sz="8" w:space="0"/>
              <w:bottom w:val="single" w:color="auto" w:sz="8" w:space="0"/>
              <w:right w:val="single" w:color="000000"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永宁街 汇总（</w:t>
            </w:r>
            <w:r>
              <w:rPr>
                <w:rFonts w:hint="eastAsia" w:ascii="Times New Roman" w:hAnsi="Times New Roman" w:eastAsia="宋体" w:cs="宋体"/>
                <w:b/>
                <w:bCs/>
                <w:kern w:val="0"/>
                <w:sz w:val="24"/>
                <w:szCs w:val="24"/>
              </w:rPr>
              <w:t>7</w:t>
            </w:r>
            <w:r>
              <w:rPr>
                <w:rFonts w:hint="eastAsia" w:ascii="宋体" w:hAnsi="宋体" w:eastAsia="宋体" w:cs="宋体"/>
                <w:b/>
                <w:bCs/>
                <w:kern w:val="0"/>
                <w:sz w:val="24"/>
                <w:szCs w:val="24"/>
              </w:rPr>
              <w:t>处）</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38</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34</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18</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88</w:t>
            </w:r>
          </w:p>
        </w:tc>
      </w:tr>
      <w:tr>
        <w:tblPrEx>
          <w:tblCellMar>
            <w:top w:w="0" w:type="dxa"/>
            <w:left w:w="108" w:type="dxa"/>
            <w:bottom w:w="0" w:type="dxa"/>
            <w:right w:w="108" w:type="dxa"/>
          </w:tblCellMar>
        </w:tblPrEx>
        <w:trPr>
          <w:trHeight w:val="300" w:hRule="atLeast"/>
          <w:jc w:val="center"/>
        </w:trPr>
        <w:tc>
          <w:tcPr>
            <w:tcW w:w="1080" w:type="dxa"/>
            <w:vMerge w:val="restart"/>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荔湖街</w:t>
            </w: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广州华商职业学院（广东财经大学华商学院）</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57</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43</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10</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34</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广州市增城区第一中学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13</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82</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7</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19</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广州市增城区荔湖小学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5</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24</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73</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广州市执信中学增城实验学校(初中校区)</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3</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37</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75</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增城少年宫</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3</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01</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71</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增城中学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16</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09</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8</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37</w:t>
            </w:r>
          </w:p>
        </w:tc>
      </w:tr>
      <w:tr>
        <w:tblPrEx>
          <w:tblCellMar>
            <w:top w:w="0" w:type="dxa"/>
            <w:left w:w="108" w:type="dxa"/>
            <w:bottom w:w="0" w:type="dxa"/>
            <w:right w:w="108" w:type="dxa"/>
          </w:tblCellMar>
        </w:tblPrEx>
        <w:trPr>
          <w:trHeight w:val="300" w:hRule="atLeast"/>
          <w:jc w:val="center"/>
        </w:trPr>
        <w:tc>
          <w:tcPr>
            <w:tcW w:w="6201" w:type="dxa"/>
            <w:gridSpan w:val="3"/>
            <w:tcBorders>
              <w:top w:val="single" w:color="auto" w:sz="8" w:space="0"/>
              <w:left w:val="single" w:color="auto" w:sz="8" w:space="0"/>
              <w:bottom w:val="single" w:color="auto" w:sz="8" w:space="0"/>
              <w:right w:val="single" w:color="000000"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荔湖街 汇总（</w:t>
            </w:r>
            <w:r>
              <w:rPr>
                <w:rFonts w:hint="eastAsia" w:ascii="Times New Roman" w:hAnsi="Times New Roman" w:eastAsia="宋体" w:cs="宋体"/>
                <w:b/>
                <w:bCs/>
                <w:kern w:val="0"/>
                <w:sz w:val="24"/>
                <w:szCs w:val="24"/>
              </w:rPr>
              <w:t>6</w:t>
            </w:r>
            <w:r>
              <w:rPr>
                <w:rFonts w:hint="eastAsia" w:ascii="宋体" w:hAnsi="宋体" w:eastAsia="宋体" w:cs="宋体"/>
                <w:b/>
                <w:bCs/>
                <w:kern w:val="0"/>
                <w:sz w:val="24"/>
                <w:szCs w:val="24"/>
              </w:rPr>
              <w:t>处）</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98</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96</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33</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09</w:t>
            </w:r>
          </w:p>
        </w:tc>
      </w:tr>
      <w:tr>
        <w:tblPrEx>
          <w:tblCellMar>
            <w:top w:w="0" w:type="dxa"/>
            <w:left w:w="108" w:type="dxa"/>
            <w:bottom w:w="0" w:type="dxa"/>
            <w:right w:w="108" w:type="dxa"/>
          </w:tblCellMar>
        </w:tblPrEx>
        <w:trPr>
          <w:trHeight w:val="300" w:hRule="atLeast"/>
          <w:jc w:val="center"/>
        </w:trPr>
        <w:tc>
          <w:tcPr>
            <w:tcW w:w="1080" w:type="dxa"/>
            <w:vMerge w:val="restart"/>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宁西街</w:t>
            </w: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华商外语实验学校</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47</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6</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48</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华中师范大学附属广州增城实验学校</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5</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17</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69</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增城开发区第一小学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8</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46</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增城开发区政务服务中心广场</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31</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0</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93</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增城区宁西镇（街）泰学校与宁西广场</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9</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31</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21</w:t>
            </w:r>
          </w:p>
        </w:tc>
      </w:tr>
      <w:tr>
        <w:tblPrEx>
          <w:tblCellMar>
            <w:top w:w="0" w:type="dxa"/>
            <w:left w:w="108" w:type="dxa"/>
            <w:bottom w:w="0" w:type="dxa"/>
            <w:right w:w="108" w:type="dxa"/>
          </w:tblCellMar>
        </w:tblPrEx>
        <w:trPr>
          <w:trHeight w:val="300" w:hRule="atLeast"/>
          <w:jc w:val="center"/>
        </w:trPr>
        <w:tc>
          <w:tcPr>
            <w:tcW w:w="6201" w:type="dxa"/>
            <w:gridSpan w:val="3"/>
            <w:tcBorders>
              <w:top w:val="single" w:color="auto" w:sz="8" w:space="0"/>
              <w:left w:val="single" w:color="auto" w:sz="8" w:space="0"/>
              <w:bottom w:val="single" w:color="auto" w:sz="8" w:space="0"/>
              <w:right w:val="single" w:color="000000"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宁西街 汇总（</w:t>
            </w:r>
            <w:r>
              <w:rPr>
                <w:rFonts w:hint="eastAsia" w:ascii="Times New Roman" w:hAnsi="Times New Roman" w:eastAsia="宋体" w:cs="宋体"/>
                <w:b/>
                <w:bCs/>
                <w:kern w:val="0"/>
                <w:sz w:val="24"/>
                <w:szCs w:val="24"/>
              </w:rPr>
              <w:t>5</w:t>
            </w:r>
            <w:r>
              <w:rPr>
                <w:rFonts w:hint="eastAsia" w:ascii="宋体" w:hAnsi="宋体" w:eastAsia="宋体" w:cs="宋体"/>
                <w:b/>
                <w:bCs/>
                <w:kern w:val="0"/>
                <w:sz w:val="24"/>
                <w:szCs w:val="24"/>
              </w:rPr>
              <w:t>处）</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32</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06</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15</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77</w:t>
            </w:r>
          </w:p>
        </w:tc>
      </w:tr>
      <w:tr>
        <w:tblPrEx>
          <w:tblCellMar>
            <w:top w:w="0" w:type="dxa"/>
            <w:left w:w="108" w:type="dxa"/>
            <w:bottom w:w="0" w:type="dxa"/>
            <w:right w:w="108" w:type="dxa"/>
          </w:tblCellMar>
        </w:tblPrEx>
        <w:trPr>
          <w:trHeight w:val="300" w:hRule="atLeast"/>
          <w:jc w:val="center"/>
        </w:trPr>
        <w:tc>
          <w:tcPr>
            <w:tcW w:w="1080" w:type="dxa"/>
            <w:vMerge w:val="restart"/>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新塘镇</w:t>
            </w: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中心级</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广大附中增城实验中学与新泉小学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9</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7</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9</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6</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广州市增城区新星学校</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3</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69</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92</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合生育才学校</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6</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4</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3</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33</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沙埔中心小学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87</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49</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香江中学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5</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37</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79</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新塘第二中学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3</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46</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8</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增城区鹤泉小学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65</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42</w:t>
            </w:r>
          </w:p>
        </w:tc>
      </w:tr>
      <w:tr>
        <w:tblPrEx>
          <w:tblCellMar>
            <w:top w:w="0" w:type="dxa"/>
            <w:left w:w="108" w:type="dxa"/>
            <w:bottom w:w="0" w:type="dxa"/>
            <w:right w:w="108" w:type="dxa"/>
          </w:tblCellMar>
        </w:tblPrEx>
        <w:trPr>
          <w:trHeight w:val="300" w:hRule="atLeast"/>
          <w:jc w:val="center"/>
        </w:trPr>
        <w:tc>
          <w:tcPr>
            <w:tcW w:w="6201" w:type="dxa"/>
            <w:gridSpan w:val="3"/>
            <w:tcBorders>
              <w:top w:val="single" w:color="auto" w:sz="8" w:space="0"/>
              <w:left w:val="single" w:color="auto" w:sz="8" w:space="0"/>
              <w:bottom w:val="single" w:color="auto" w:sz="8" w:space="0"/>
              <w:right w:val="single" w:color="000000"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新塘镇 汇总（</w:t>
            </w:r>
            <w:r>
              <w:rPr>
                <w:rFonts w:hint="eastAsia" w:ascii="Times New Roman" w:hAnsi="Times New Roman" w:eastAsia="宋体" w:cs="宋体"/>
                <w:b/>
                <w:bCs/>
                <w:kern w:val="0"/>
                <w:sz w:val="24"/>
                <w:szCs w:val="24"/>
              </w:rPr>
              <w:t>7</w:t>
            </w:r>
            <w:r>
              <w:rPr>
                <w:rFonts w:hint="eastAsia" w:ascii="宋体" w:hAnsi="宋体" w:eastAsia="宋体" w:cs="宋体"/>
                <w:b/>
                <w:bCs/>
                <w:kern w:val="0"/>
                <w:sz w:val="24"/>
                <w:szCs w:val="24"/>
              </w:rPr>
              <w:t>处）</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36</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14</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23</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35</w:t>
            </w:r>
          </w:p>
        </w:tc>
      </w:tr>
      <w:tr>
        <w:tblPrEx>
          <w:tblCellMar>
            <w:top w:w="0" w:type="dxa"/>
            <w:left w:w="108" w:type="dxa"/>
            <w:bottom w:w="0" w:type="dxa"/>
            <w:right w:w="108" w:type="dxa"/>
          </w:tblCellMar>
        </w:tblPrEx>
        <w:trPr>
          <w:trHeight w:val="300" w:hRule="atLeast"/>
          <w:jc w:val="center"/>
        </w:trPr>
        <w:tc>
          <w:tcPr>
            <w:tcW w:w="1080" w:type="dxa"/>
            <w:vMerge w:val="restart"/>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石滩镇</w:t>
            </w: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广州增城外国语实验中学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41</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6</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45</w:t>
            </w:r>
          </w:p>
        </w:tc>
      </w:tr>
      <w:tr>
        <w:tblPrEx>
          <w:tblCellMar>
            <w:top w:w="0" w:type="dxa"/>
            <w:left w:w="108" w:type="dxa"/>
            <w:bottom w:w="0" w:type="dxa"/>
            <w:right w:w="108" w:type="dxa"/>
          </w:tblCellMar>
        </w:tblPrEx>
        <w:trPr>
          <w:trHeight w:val="285"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黄冈中学(广州增城学校)</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15</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79</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8</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21</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江龙学校</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88</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54</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天恩双语学校(第二校区)</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6</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41</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3</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33</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增城碧桂园学校</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6</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15</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3</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2</w:t>
            </w:r>
          </w:p>
        </w:tc>
      </w:tr>
      <w:tr>
        <w:tblPrEx>
          <w:tblCellMar>
            <w:top w:w="0" w:type="dxa"/>
            <w:left w:w="108" w:type="dxa"/>
            <w:bottom w:w="0" w:type="dxa"/>
            <w:right w:w="108" w:type="dxa"/>
          </w:tblCellMar>
        </w:tblPrEx>
        <w:trPr>
          <w:trHeight w:val="300" w:hRule="atLeast"/>
          <w:jc w:val="center"/>
        </w:trPr>
        <w:tc>
          <w:tcPr>
            <w:tcW w:w="6201" w:type="dxa"/>
            <w:gridSpan w:val="3"/>
            <w:tcBorders>
              <w:top w:val="single" w:color="auto" w:sz="8" w:space="0"/>
              <w:left w:val="single" w:color="auto" w:sz="8" w:space="0"/>
              <w:bottom w:val="single" w:color="auto" w:sz="8" w:space="0"/>
              <w:right w:val="single" w:color="000000"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石滩镇 汇总（</w:t>
            </w:r>
            <w:r>
              <w:rPr>
                <w:rFonts w:hint="eastAsia" w:ascii="Times New Roman" w:hAnsi="Times New Roman" w:eastAsia="宋体" w:cs="宋体"/>
                <w:b/>
                <w:bCs/>
                <w:kern w:val="0"/>
                <w:sz w:val="24"/>
                <w:szCs w:val="24"/>
              </w:rPr>
              <w:t>5</w:t>
            </w:r>
            <w:r>
              <w:rPr>
                <w:rFonts w:hint="eastAsia" w:ascii="宋体" w:hAnsi="宋体" w:eastAsia="宋体" w:cs="宋体"/>
                <w:b/>
                <w:bCs/>
                <w:kern w:val="0"/>
                <w:sz w:val="24"/>
                <w:szCs w:val="24"/>
              </w:rPr>
              <w:t>处）</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45</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64</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23</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73</w:t>
            </w:r>
          </w:p>
        </w:tc>
      </w:tr>
      <w:tr>
        <w:tblPrEx>
          <w:tblCellMar>
            <w:top w:w="0" w:type="dxa"/>
            <w:left w:w="108" w:type="dxa"/>
            <w:bottom w:w="0" w:type="dxa"/>
            <w:right w:w="108" w:type="dxa"/>
          </w:tblCellMar>
        </w:tblPrEx>
        <w:trPr>
          <w:trHeight w:val="300" w:hRule="atLeast"/>
          <w:jc w:val="center"/>
        </w:trPr>
        <w:tc>
          <w:tcPr>
            <w:tcW w:w="1080" w:type="dxa"/>
            <w:vMerge w:val="restart"/>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中新镇</w:t>
            </w: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福和第一小学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44</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27</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广州理工实验学校</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13</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27</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39</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广州市增城区中新镇</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第一小学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05</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11</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中新镇第三小学</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3</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63</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89</w:t>
            </w:r>
          </w:p>
        </w:tc>
      </w:tr>
      <w:tr>
        <w:tblPrEx>
          <w:tblCellMar>
            <w:top w:w="0" w:type="dxa"/>
            <w:left w:w="108" w:type="dxa"/>
            <w:bottom w:w="0" w:type="dxa"/>
            <w:right w:w="108" w:type="dxa"/>
          </w:tblCellMar>
        </w:tblPrEx>
        <w:trPr>
          <w:trHeight w:val="300" w:hRule="atLeast"/>
          <w:jc w:val="center"/>
        </w:trPr>
        <w:tc>
          <w:tcPr>
            <w:tcW w:w="6201" w:type="dxa"/>
            <w:gridSpan w:val="3"/>
            <w:tcBorders>
              <w:top w:val="single" w:color="auto" w:sz="8" w:space="0"/>
              <w:left w:val="single" w:color="auto" w:sz="8" w:space="0"/>
              <w:bottom w:val="single" w:color="auto" w:sz="8" w:space="0"/>
              <w:right w:val="single" w:color="000000"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中新镇 汇总（</w:t>
            </w:r>
            <w:r>
              <w:rPr>
                <w:rFonts w:hint="eastAsia" w:ascii="Times New Roman" w:hAnsi="Times New Roman" w:eastAsia="宋体" w:cs="宋体"/>
                <w:b/>
                <w:bCs/>
                <w:kern w:val="0"/>
                <w:sz w:val="24"/>
                <w:szCs w:val="24"/>
              </w:rPr>
              <w:t>4</w:t>
            </w:r>
            <w:r>
              <w:rPr>
                <w:rFonts w:hint="eastAsia" w:ascii="宋体" w:hAnsi="宋体" w:eastAsia="宋体" w:cs="宋体"/>
                <w:b/>
                <w:bCs/>
                <w:kern w:val="0"/>
                <w:sz w:val="24"/>
                <w:szCs w:val="24"/>
              </w:rPr>
              <w:t>处）</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23</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39</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7</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66</w:t>
            </w:r>
          </w:p>
        </w:tc>
      </w:tr>
      <w:tr>
        <w:tblPrEx>
          <w:tblCellMar>
            <w:top w:w="0" w:type="dxa"/>
            <w:left w:w="108" w:type="dxa"/>
            <w:bottom w:w="0" w:type="dxa"/>
            <w:right w:w="108" w:type="dxa"/>
          </w:tblCellMar>
        </w:tblPrEx>
        <w:trPr>
          <w:trHeight w:val="300" w:hRule="atLeast"/>
          <w:jc w:val="center"/>
        </w:trPr>
        <w:tc>
          <w:tcPr>
            <w:tcW w:w="1080" w:type="dxa"/>
            <w:vMerge w:val="restart"/>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派潭镇</w:t>
            </w: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白水寨风景名胜区</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77</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1</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11</w:t>
            </w:r>
          </w:p>
        </w:tc>
      </w:tr>
      <w:tr>
        <w:tblPrEx>
          <w:tblCellMar>
            <w:top w:w="0" w:type="dxa"/>
            <w:left w:w="108" w:type="dxa"/>
            <w:bottom w:w="0" w:type="dxa"/>
            <w:right w:w="108" w:type="dxa"/>
          </w:tblCellMar>
        </w:tblPrEx>
        <w:trPr>
          <w:trHeight w:val="30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kern w:val="0"/>
                <w:sz w:val="24"/>
                <w:szCs w:val="24"/>
              </w:rPr>
            </w:pPr>
          </w:p>
        </w:tc>
        <w:tc>
          <w:tcPr>
            <w:tcW w:w="951"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长期</w:t>
            </w:r>
          </w:p>
        </w:tc>
        <w:tc>
          <w:tcPr>
            <w:tcW w:w="4170"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派潭镇实验学校（东校区）</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小学部</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4</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85</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0"/>
                <w:sz w:val="24"/>
                <w:szCs w:val="24"/>
              </w:rPr>
            </w:pPr>
            <w:r>
              <w:rPr>
                <w:rFonts w:hint="eastAsia" w:ascii="Times New Roman" w:hAnsi="Times New Roman" w:eastAsia="宋体" w:cs="宋体"/>
                <w:kern w:val="0"/>
                <w:sz w:val="24"/>
                <w:szCs w:val="24"/>
              </w:rPr>
              <w:t>2</w:t>
            </w:r>
            <w:r>
              <w:rPr>
                <w:rFonts w:hint="eastAsia" w:ascii="宋体" w:hAnsi="宋体" w:eastAsia="宋体" w:cs="宋体"/>
                <w:kern w:val="0"/>
                <w:sz w:val="24"/>
                <w:szCs w:val="24"/>
              </w:rPr>
              <w:t>.</w:t>
            </w:r>
            <w:r>
              <w:rPr>
                <w:rFonts w:hint="eastAsia" w:ascii="Times New Roman" w:hAnsi="Times New Roman" w:eastAsia="宋体" w:cs="宋体"/>
                <w:kern w:val="0"/>
                <w:sz w:val="24"/>
                <w:szCs w:val="24"/>
              </w:rPr>
              <w:t>52</w:t>
            </w:r>
          </w:p>
        </w:tc>
      </w:tr>
      <w:tr>
        <w:tblPrEx>
          <w:tblCellMar>
            <w:top w:w="0" w:type="dxa"/>
            <w:left w:w="108" w:type="dxa"/>
            <w:bottom w:w="0" w:type="dxa"/>
            <w:right w:w="108" w:type="dxa"/>
          </w:tblCellMar>
        </w:tblPrEx>
        <w:trPr>
          <w:trHeight w:val="300" w:hRule="atLeast"/>
          <w:jc w:val="center"/>
        </w:trPr>
        <w:tc>
          <w:tcPr>
            <w:tcW w:w="6201" w:type="dxa"/>
            <w:gridSpan w:val="3"/>
            <w:tcBorders>
              <w:top w:val="single" w:color="auto" w:sz="8" w:space="0"/>
              <w:left w:val="single" w:color="auto" w:sz="8" w:space="0"/>
              <w:bottom w:val="single" w:color="auto" w:sz="8" w:space="0"/>
              <w:right w:val="single" w:color="000000"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派潭镇 汇总（</w:t>
            </w:r>
            <w:r>
              <w:rPr>
                <w:rFonts w:hint="eastAsia" w:ascii="Times New Roman" w:hAnsi="Times New Roman" w:eastAsia="宋体" w:cs="宋体"/>
                <w:b/>
                <w:bCs/>
                <w:kern w:val="0"/>
                <w:sz w:val="24"/>
                <w:szCs w:val="24"/>
              </w:rPr>
              <w:t>2</w:t>
            </w:r>
            <w:r>
              <w:rPr>
                <w:rFonts w:hint="eastAsia" w:ascii="宋体" w:hAnsi="宋体" w:eastAsia="宋体" w:cs="宋体"/>
                <w:b/>
                <w:bCs/>
                <w:kern w:val="0"/>
                <w:sz w:val="24"/>
                <w:szCs w:val="24"/>
              </w:rPr>
              <w:t>处）</w:t>
            </w:r>
          </w:p>
        </w:tc>
        <w:tc>
          <w:tcPr>
            <w:tcW w:w="110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7</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62</w:t>
            </w:r>
          </w:p>
        </w:tc>
        <w:tc>
          <w:tcPr>
            <w:tcW w:w="1675"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kern w:val="0"/>
                <w:sz w:val="24"/>
                <w:szCs w:val="24"/>
              </w:rPr>
            </w:pPr>
            <w:r>
              <w:rPr>
                <w:rFonts w:hint="eastAsia" w:ascii="Times New Roman" w:hAnsi="Times New Roman" w:eastAsia="宋体" w:cs="宋体"/>
                <w:b/>
                <w:bCs/>
                <w:kern w:val="0"/>
                <w:sz w:val="24"/>
                <w:szCs w:val="24"/>
              </w:rPr>
              <w:t>3</w:t>
            </w:r>
            <w:r>
              <w:rPr>
                <w:rFonts w:hint="eastAsia" w:ascii="宋体" w:hAnsi="宋体" w:eastAsia="宋体" w:cs="宋体"/>
                <w:b/>
                <w:bCs/>
                <w:kern w:val="0"/>
                <w:sz w:val="24"/>
                <w:szCs w:val="24"/>
              </w:rPr>
              <w:t>.</w:t>
            </w:r>
            <w:r>
              <w:rPr>
                <w:rFonts w:hint="eastAsia" w:ascii="Times New Roman" w:hAnsi="Times New Roman" w:eastAsia="宋体" w:cs="宋体"/>
                <w:b/>
                <w:bCs/>
                <w:kern w:val="0"/>
                <w:sz w:val="24"/>
                <w:szCs w:val="24"/>
              </w:rPr>
              <w:t>63</w:t>
            </w:r>
          </w:p>
        </w:tc>
      </w:tr>
      <w:bookmarkEnd w:id="80"/>
    </w:tbl>
    <w:p>
      <w:pPr>
        <w:pStyle w:val="3"/>
        <w:keepNext w:val="0"/>
        <w:keepLines w:val="0"/>
        <w:pageBreakBefore w:val="0"/>
        <w:widowControl w:val="0"/>
        <w:kinsoku/>
        <w:wordWrap/>
        <w:overflowPunct/>
        <w:topLinePunct w:val="0"/>
        <w:autoSpaceDE/>
        <w:autoSpaceDN/>
        <w:bidi w:val="0"/>
        <w:adjustRightInd/>
        <w:snapToGrid/>
        <w:spacing w:before="0" w:after="0" w:line="570" w:lineRule="exact"/>
        <w:textAlignment w:val="auto"/>
        <w:rPr>
          <w:rFonts w:cs="Times New Roman"/>
          <w:kern w:val="2"/>
        </w:rPr>
      </w:pPr>
      <w:bookmarkStart w:id="81" w:name="_Toc215490506"/>
      <w:r>
        <w:rPr>
          <w:rFonts w:cs="Times New Roman"/>
          <w:kern w:val="2"/>
        </w:rPr>
        <w:t>第八章  规划实施保障</w:t>
      </w:r>
      <w:bookmarkEnd w:id="81"/>
    </w:p>
    <w:p>
      <w:pPr>
        <w:keepNext w:val="0"/>
        <w:keepLines w:val="0"/>
        <w:pageBreakBefore w:val="0"/>
        <w:widowControl w:val="0"/>
        <w:kinsoku/>
        <w:wordWrap/>
        <w:overflowPunct/>
        <w:topLinePunct w:val="0"/>
        <w:autoSpaceDE/>
        <w:autoSpaceDN/>
        <w:bidi w:val="0"/>
        <w:adjustRightInd/>
        <w:snapToGrid/>
        <w:spacing w:line="570" w:lineRule="exact"/>
        <w:textAlignment w:val="auto"/>
      </w:pP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82" w:name="_Toc215490507"/>
      <w:r>
        <w:rPr>
          <w:rFonts w:cs="Times New Roman"/>
          <w:kern w:val="2"/>
        </w:rPr>
        <w:t xml:space="preserve">第三十一条 </w:t>
      </w:r>
      <w:r>
        <w:rPr>
          <w:rFonts w:hint="eastAsia" w:cs="Times New Roman"/>
          <w:kern w:val="2"/>
          <w:lang w:val="en-US" w:eastAsia="zh-CN"/>
        </w:rPr>
        <w:t xml:space="preserve"> </w:t>
      </w:r>
      <w:r>
        <w:rPr>
          <w:rFonts w:cs="Times New Roman"/>
          <w:kern w:val="2"/>
        </w:rPr>
        <w:t>实施机制保障</w:t>
      </w:r>
      <w:bookmarkEnd w:id="82"/>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rPr>
        <w:t>完善规划传导，落实应急避护场所专项规划要求。全区详细规划编制时应加强与本规划衔接，细化落实应急避护场所规划内容。强化规划刚性约束，避免随意变更调整，完善规划成果管理和动态更新机制，本规划经区人民政府批复后，规划成果纳入国土空间规划“一张图”实施监督信息系统，在用地和规划审批时明确应急避护场所的要求。</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83" w:name="_Toc215490508"/>
      <w:r>
        <w:rPr>
          <w:rFonts w:cs="Times New Roman"/>
          <w:kern w:val="2"/>
        </w:rPr>
        <w:t xml:space="preserve">第三十二条 </w:t>
      </w:r>
      <w:r>
        <w:rPr>
          <w:rFonts w:hint="eastAsia" w:cs="Times New Roman"/>
          <w:kern w:val="2"/>
          <w:lang w:val="en-US" w:eastAsia="zh-CN"/>
        </w:rPr>
        <w:t xml:space="preserve"> </w:t>
      </w:r>
      <w:r>
        <w:rPr>
          <w:rFonts w:cs="Times New Roman"/>
          <w:kern w:val="2"/>
        </w:rPr>
        <w:t>政策法规保障</w:t>
      </w:r>
      <w:bookmarkEnd w:id="83"/>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健全和完善管理办法等相关制度规范，结合场所管理实际，适时优化完善场所的制度规范，提高应急避护场所规划建设管理水平。</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完善管理制度，明确应急避护场所管理维护和应急启用的运行机制。明确各类</w:t>
      </w:r>
      <w:bookmarkStart w:id="84" w:name="_Hlk174456996"/>
      <w:r>
        <w:rPr>
          <w:rFonts w:cs="Times New Roman"/>
          <w:kern w:val="2"/>
        </w:rPr>
        <w:t>应急避护</w:t>
      </w:r>
      <w:bookmarkEnd w:id="84"/>
      <w:r>
        <w:rPr>
          <w:rFonts w:cs="Times New Roman"/>
          <w:kern w:val="2"/>
        </w:rPr>
        <w:t>场所启用条件，建立应急避护场所分级分类、部门协同的管理制度，编制各应急避护场所启用预案和工作方案。</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完善各类应急避护场所安全性和适用性评估、日常维护管养、应急转换启用、灾时运行管理等制度，确保灾时充分发挥应急保障功能。</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85" w:name="_Toc215490509"/>
      <w:r>
        <w:rPr>
          <w:rFonts w:cs="Times New Roman"/>
          <w:kern w:val="2"/>
        </w:rPr>
        <w:t xml:space="preserve">第三十三条 </w:t>
      </w:r>
      <w:r>
        <w:rPr>
          <w:rFonts w:hint="eastAsia" w:cs="Times New Roman"/>
          <w:kern w:val="2"/>
          <w:lang w:val="en-US" w:eastAsia="zh-CN"/>
        </w:rPr>
        <w:t xml:space="preserve"> </w:t>
      </w:r>
      <w:r>
        <w:rPr>
          <w:rFonts w:cs="Times New Roman"/>
          <w:kern w:val="2"/>
        </w:rPr>
        <w:t>资金投入保障</w:t>
      </w:r>
      <w:bookmarkEnd w:id="85"/>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完善政府财政资金为主的应急避护场所资金投入机制。</w:t>
      </w:r>
      <w:r>
        <w:rPr>
          <w:rFonts w:hint="eastAsia" w:cs="Times New Roman"/>
          <w:kern w:val="2"/>
        </w:rPr>
        <w:t>中心避护场所相关设施的规划建设资金按市级管理办法的要求进行申报。长期避护场所（不含中心避护场所）、短期避护场所、紧急避护场所相关设施的规划建设和维护资金纳入区（镇）财政预算安排，由区应急管理部门拟定年度建设计划，根据年度建设计划及实施条件审核各单位资金需求，并指导各单位按程序向区（镇）财政申报预算。</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hint="eastAsia" w:cs="Times New Roman"/>
          <w:kern w:val="2"/>
        </w:rPr>
        <w:t>鼓励企事业单位和个人以捐赠、资助等形式参与应急避护场所建设。</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86" w:name="_Toc215490510"/>
      <w:r>
        <w:rPr>
          <w:rFonts w:cs="Times New Roman"/>
          <w:kern w:val="2"/>
        </w:rPr>
        <w:t>第三十四条</w:t>
      </w:r>
      <w:r>
        <w:rPr>
          <w:rFonts w:hint="eastAsia" w:cs="Times New Roman"/>
          <w:kern w:val="2"/>
          <w:lang w:val="en-US" w:eastAsia="zh-CN"/>
        </w:rPr>
        <w:t xml:space="preserve"> </w:t>
      </w:r>
      <w:r>
        <w:rPr>
          <w:rFonts w:cs="Times New Roman"/>
          <w:kern w:val="2"/>
        </w:rPr>
        <w:t xml:space="preserve"> 宣教培训保障</w:t>
      </w:r>
      <w:bookmarkEnd w:id="86"/>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cs="Times New Roman"/>
          <w:kern w:val="2"/>
        </w:rPr>
        <w:t>加强防灾避险、应急疏散宣传教育，提高全民安全意识。丰富宣传教育形式和拓宽宣传教育渠道，</w:t>
      </w:r>
      <w:r>
        <w:rPr>
          <w:rFonts w:hint="eastAsia" w:cs="Times New Roman"/>
          <w:kern w:val="2"/>
        </w:rPr>
        <w:t>充分</w:t>
      </w:r>
      <w:r>
        <w:rPr>
          <w:rFonts w:cs="Times New Roman"/>
          <w:kern w:val="2"/>
        </w:rPr>
        <w:t>利用学校、公园、广场、防灾科普教育基地等设施和各类媒体强化防灾避险、应急疏散教育和公益宣传活动，推进应急安全、防灾减灾宣传教育“进企业、进农村、进社区、进学校、进家庭”，提高市民安全意识和防灾减灾救灾知识水平，增强防灾避险和自救互救能力。</w:t>
      </w:r>
    </w:p>
    <w:p>
      <w:pPr>
        <w:pStyle w:val="5"/>
        <w:keepNext w:val="0"/>
        <w:keepLines w:val="0"/>
        <w:pageBreakBefore w:val="0"/>
        <w:widowControl w:val="0"/>
        <w:kinsoku/>
        <w:wordWrap/>
        <w:overflowPunct/>
        <w:topLinePunct w:val="0"/>
        <w:autoSpaceDE/>
        <w:autoSpaceDN/>
        <w:bidi w:val="0"/>
        <w:adjustRightInd/>
        <w:snapToGrid/>
        <w:spacing w:before="0" w:after="0" w:line="570" w:lineRule="exact"/>
        <w:ind w:firstLine="632" w:firstLineChars="200"/>
        <w:textAlignment w:val="auto"/>
        <w:rPr>
          <w:rFonts w:cs="Times New Roman"/>
          <w:kern w:val="2"/>
        </w:rPr>
      </w:pPr>
      <w:bookmarkStart w:id="87" w:name="_Toc215490511"/>
      <w:r>
        <w:rPr>
          <w:rFonts w:cs="Times New Roman"/>
          <w:kern w:val="2"/>
        </w:rPr>
        <w:t xml:space="preserve">第三十五条 </w:t>
      </w:r>
      <w:r>
        <w:rPr>
          <w:rFonts w:hint="eastAsia" w:cs="Times New Roman"/>
          <w:kern w:val="2"/>
          <w:lang w:val="en-US" w:eastAsia="zh-CN"/>
        </w:rPr>
        <w:t xml:space="preserve"> </w:t>
      </w:r>
      <w:r>
        <w:rPr>
          <w:rFonts w:cs="Times New Roman"/>
          <w:kern w:val="2"/>
        </w:rPr>
        <w:t>建立定期评估机制</w:t>
      </w:r>
      <w:bookmarkEnd w:id="87"/>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bookmarkStart w:id="88" w:name="OLE_LINK14"/>
      <w:r>
        <w:rPr>
          <w:rFonts w:hint="eastAsia" w:cs="Times New Roman"/>
          <w:kern w:val="2"/>
        </w:rPr>
        <w:t>参照国土空间规划“一年一体检，五年一评估”的方式建立区级应急避护场所专项规划定期评估制度，为规划的目标任务有效实施提供参考依据。</w:t>
      </w:r>
    </w:p>
    <w:bookmarkEnd w:id="88"/>
    <w:p>
      <w:pPr>
        <w:pStyle w:val="3"/>
        <w:keepNext w:val="0"/>
        <w:keepLines w:val="0"/>
        <w:pageBreakBefore w:val="0"/>
        <w:widowControl w:val="0"/>
        <w:kinsoku/>
        <w:wordWrap/>
        <w:overflowPunct/>
        <w:topLinePunct w:val="0"/>
        <w:autoSpaceDE/>
        <w:autoSpaceDN/>
        <w:bidi w:val="0"/>
        <w:adjustRightInd/>
        <w:snapToGrid/>
        <w:spacing w:before="0" w:after="0" w:line="570" w:lineRule="exact"/>
        <w:jc w:val="both"/>
        <w:textAlignment w:val="auto"/>
        <w:rPr>
          <w:rFonts w:hint="eastAsia" w:ascii="黑体" w:hAnsi="黑体" w:eastAsia="黑体" w:cs="黑体"/>
        </w:rPr>
      </w:pPr>
      <w:r>
        <w:rPr>
          <w:rFonts w:cs="Times New Roman"/>
        </w:rPr>
        <w:br w:type="page"/>
      </w:r>
      <w:bookmarkStart w:id="89" w:name="_Toc215490512"/>
      <w:bookmarkStart w:id="90" w:name="_Hlk215477794"/>
      <w:r>
        <w:rPr>
          <w:rFonts w:hint="eastAsia" w:ascii="黑体" w:hAnsi="黑体" w:eastAsia="黑体" w:cs="黑体"/>
        </w:rPr>
        <w:t>附表</w:t>
      </w:r>
      <w:bookmarkEnd w:id="89"/>
    </w:p>
    <w:p>
      <w:pPr>
        <w:keepNext w:val="0"/>
        <w:keepLines w:val="0"/>
        <w:pageBreakBefore w:val="0"/>
        <w:widowControl w:val="0"/>
        <w:kinsoku/>
        <w:wordWrap/>
        <w:overflowPunct/>
        <w:topLinePunct w:val="0"/>
        <w:autoSpaceDE/>
        <w:autoSpaceDN/>
        <w:bidi w:val="0"/>
        <w:adjustRightInd/>
        <w:snapToGrid/>
        <w:spacing w:line="570" w:lineRule="exact"/>
        <w:textAlignment w:val="auto"/>
      </w:pP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outlineLvl w:val="1"/>
        <w:rPr>
          <w:rFonts w:hint="eastAsia" w:ascii="方正小标宋简体" w:hAnsi="方正小标宋简体" w:eastAsia="方正小标宋简体" w:cs="方正小标宋简体"/>
          <w:b w:val="0"/>
          <w:bCs w:val="0"/>
          <w:sz w:val="44"/>
          <w:szCs w:val="44"/>
        </w:rPr>
      </w:pPr>
      <w:bookmarkStart w:id="91" w:name="_Toc215490513"/>
      <w:r>
        <w:rPr>
          <w:rFonts w:hint="eastAsia" w:ascii="方正小标宋简体" w:hAnsi="方正小标宋简体" w:eastAsia="方正小标宋简体" w:cs="方正小标宋简体"/>
          <w:b w:val="0"/>
          <w:bCs w:val="0"/>
          <w:sz w:val="44"/>
          <w:szCs w:val="44"/>
        </w:rPr>
        <w:t>荔城街应急避护场所规划一览表</w:t>
      </w:r>
      <w:bookmarkEnd w:id="91"/>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pPr>
    </w:p>
    <w:tbl>
      <w:tblPr>
        <w:tblStyle w:val="51"/>
        <w:tblW w:w="9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746"/>
        <w:gridCol w:w="801"/>
        <w:gridCol w:w="1037"/>
        <w:gridCol w:w="612"/>
        <w:gridCol w:w="800"/>
        <w:gridCol w:w="700"/>
        <w:gridCol w:w="850"/>
        <w:gridCol w:w="800"/>
        <w:gridCol w:w="850"/>
        <w:gridCol w:w="850"/>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blHeader/>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序号</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级别</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类型</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名称</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空间类别</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功能定位</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场所状态</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占地面积（公顷）</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有效避护面积（万平方米）</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其中室内有效避护面积（万平方米）</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可避护人数（万人）</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涉及的限制要素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市级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中心</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增城广场</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57</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洪涝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区级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增城儿童公园</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16</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36</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54</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45</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增城区荔城街第三中学</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17</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68</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洪涝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广州市增城区英华学校</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65</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63</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37</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大鹏小学</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16</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15</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96</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洪涝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增城区荔城街荔景中学</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44</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41</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11</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51</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7</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增城区华侨中学</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92</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74</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43</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洪涝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8</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增城区挂绿小学</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32</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79</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66</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9</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锦绣社区党建主题公园</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41</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85</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425</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10</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木潭村应急避护场所</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12</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089</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11</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莲塘村应急避护场所</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11</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13</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086</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12</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群爱村应急避护场所</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13</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086</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13</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荔城街应急避护场所</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25</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14</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廖隔塘村应急避护场所</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13</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061</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035</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15</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棠村村应急避护场所</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09</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11</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066</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16</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荔城街西园社区应急避护场所</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042</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17</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陈桥头村应急避护场所</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13</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086</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18</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庆东村应急避护场所</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13</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056</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19</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龙角村应急避护场所</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13</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056</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20</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新联村应急避护场所</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08</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069</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045</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21</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蒋村村应急避护场所</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11</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094</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22</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迳吓村应急避护场所</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13</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23</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荔城街金竹社区应急避护场所</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035</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24</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棠厦村应急避护场所</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11</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13</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116</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25</w:t>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8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挂绿广场</w:t>
            </w: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bl>
    <w:p>
      <w:pPr>
        <w:spacing w:line="240" w:lineRule="auto"/>
        <w:ind w:firstLine="0" w:firstLineChars="0"/>
        <w:rPr>
          <w:rFonts w:cs="Times New Roman"/>
          <w:sz w:val="21"/>
        </w:rPr>
      </w:pP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outlineLvl w:val="1"/>
        <w:rPr>
          <w:rFonts w:hint="eastAsia" w:ascii="方正小标宋简体" w:hAnsi="方正小标宋简体" w:eastAsia="方正小标宋简体" w:cs="方正小标宋简体"/>
          <w:b w:val="0"/>
          <w:bCs w:val="0"/>
          <w:sz w:val="44"/>
          <w:szCs w:val="44"/>
        </w:rPr>
      </w:pPr>
      <w:r>
        <w:rPr>
          <w:rFonts w:cs="Times New Roman"/>
        </w:rPr>
        <w:br w:type="page"/>
      </w:r>
      <w:bookmarkStart w:id="92" w:name="_Toc215490514"/>
      <w:r>
        <w:rPr>
          <w:rFonts w:hint="eastAsia" w:ascii="方正小标宋简体" w:hAnsi="方正小标宋简体" w:eastAsia="方正小标宋简体" w:cs="方正小标宋简体"/>
          <w:b w:val="0"/>
          <w:bCs w:val="0"/>
          <w:sz w:val="44"/>
          <w:szCs w:val="44"/>
        </w:rPr>
        <w:t>增江街应急避护场所规划一览表</w:t>
      </w:r>
      <w:bookmarkEnd w:id="92"/>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pPr>
    </w:p>
    <w:tbl>
      <w:tblPr>
        <w:tblStyle w:val="51"/>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784"/>
        <w:gridCol w:w="647"/>
        <w:gridCol w:w="992"/>
        <w:gridCol w:w="681"/>
        <w:gridCol w:w="819"/>
        <w:gridCol w:w="738"/>
        <w:gridCol w:w="773"/>
        <w:gridCol w:w="854"/>
        <w:gridCol w:w="890"/>
        <w:gridCol w:w="888"/>
        <w:gridCol w:w="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blHeader/>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序号</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级别</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类型</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名称</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空间类别</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功能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定位</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场所状态</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占地面积（公顷）</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有效避护面积（万平方米）</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其中室内有效避护面积（万平方米）</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可避护人数（万人）</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涉及的限制要素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区级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增城体育馆</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85</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18</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广州华立科技职业学院</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38</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59</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58</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增城区二中</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16</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14</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8</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39</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23</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87</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荔城中学</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39</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75</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华南师范大学附属增江学校</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95</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62</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39</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增江小学</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63</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58</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7</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增江街中心小学（西山小学）</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69</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54</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31</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洪涝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8</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增城区救助管理站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9</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东湖社区</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10</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增江街第二小学</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15</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71</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15</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56</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11</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大埔围村村委</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33</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12</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光辉村委</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42</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025</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13</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四丰小学</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19</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13</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19</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94</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14</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白湖小学</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69</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11</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58</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15</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陆村村委</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15</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16</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初溪小学</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09</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36</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09</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27</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17</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联益村委</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42</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12</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18</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光耀村委</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17</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15</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19</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五星村委</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12</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20</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增江街天恩双语学校</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74</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76</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74</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bl>
    <w:p>
      <w:pPr>
        <w:ind w:firstLine="560"/>
        <w:rPr>
          <w:rFonts w:cs="Times New Roman"/>
        </w:rPr>
      </w:pPr>
      <w:r>
        <w:rPr>
          <w:rFonts w:cs="Times New Roman"/>
        </w:rPr>
        <w:br w:type="page"/>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outlineLvl w:val="1"/>
        <w:rPr>
          <w:rFonts w:hint="eastAsia" w:ascii="方正小标宋简体" w:hAnsi="方正小标宋简体" w:eastAsia="方正小标宋简体" w:cs="方正小标宋简体"/>
          <w:b w:val="0"/>
          <w:bCs w:val="0"/>
          <w:sz w:val="44"/>
          <w:szCs w:val="44"/>
        </w:rPr>
      </w:pPr>
      <w:bookmarkStart w:id="93" w:name="_Toc215490515"/>
      <w:r>
        <w:rPr>
          <w:rFonts w:hint="eastAsia" w:ascii="方正小标宋简体" w:hAnsi="方正小标宋简体" w:eastAsia="方正小标宋简体" w:cs="方正小标宋简体"/>
          <w:b w:val="0"/>
          <w:bCs w:val="0"/>
          <w:sz w:val="44"/>
          <w:szCs w:val="44"/>
        </w:rPr>
        <w:t>朱村街应急避护场所规划一览表</w:t>
      </w:r>
      <w:bookmarkEnd w:id="93"/>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pPr>
    </w:p>
    <w:tbl>
      <w:tblPr>
        <w:tblStyle w:val="51"/>
        <w:tblW w:w="9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846"/>
        <w:gridCol w:w="724"/>
        <w:gridCol w:w="948"/>
        <w:gridCol w:w="642"/>
        <w:gridCol w:w="642"/>
        <w:gridCol w:w="642"/>
        <w:gridCol w:w="768"/>
        <w:gridCol w:w="768"/>
        <w:gridCol w:w="894"/>
        <w:gridCol w:w="870"/>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tblHeader/>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序号</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级别</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类型</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名称</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空间类别</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功能定位</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场所状态</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占地面积（公顷）</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有效避护面积（万平方米）</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其中室内有效避护面积（万平方米）</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可避护人数（万人）</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涉及的限制要素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区级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朱村中学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5</w:t>
            </w:r>
            <w:r>
              <w:rPr>
                <w:rFonts w:hint="eastAsia" w:ascii="宋体" w:hAnsi="宋体" w:eastAsia="宋体" w:cs="宋体"/>
                <w:sz w:val="18"/>
                <w:szCs w:val="18"/>
              </w:rPr>
              <w:t>.</w:t>
            </w:r>
            <w:r>
              <w:rPr>
                <w:rFonts w:hint="eastAsia" w:ascii="Times New Roman" w:hAnsi="Times New Roman" w:eastAsia="宋体" w:cs="宋体"/>
                <w:sz w:val="18"/>
                <w:szCs w:val="18"/>
              </w:rPr>
              <w:t>68</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95</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14</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66</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朱村街中心小学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w:t>
            </w:r>
            <w:r>
              <w:rPr>
                <w:rFonts w:hint="eastAsia" w:ascii="宋体" w:hAnsi="宋体" w:eastAsia="宋体" w:cs="宋体"/>
                <w:sz w:val="18"/>
                <w:szCs w:val="18"/>
              </w:rPr>
              <w:t>.</w:t>
            </w:r>
            <w:r>
              <w:rPr>
                <w:rFonts w:hint="eastAsia" w:ascii="Times New Roman" w:hAnsi="Times New Roman" w:eastAsia="宋体" w:cs="宋体"/>
                <w:sz w:val="18"/>
                <w:szCs w:val="18"/>
              </w:rPr>
              <w:t>08</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6</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62</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36</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朱村街西福小学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w:t>
            </w:r>
            <w:r>
              <w:rPr>
                <w:rFonts w:hint="eastAsia" w:ascii="宋体" w:hAnsi="宋体" w:eastAsia="宋体" w:cs="宋体"/>
                <w:sz w:val="18"/>
                <w:szCs w:val="18"/>
              </w:rPr>
              <w:t>.</w:t>
            </w:r>
            <w:r>
              <w:rPr>
                <w:rFonts w:hint="eastAsia" w:ascii="Times New Roman" w:hAnsi="Times New Roman" w:eastAsia="宋体" w:cs="宋体"/>
                <w:sz w:val="18"/>
                <w:szCs w:val="18"/>
              </w:rPr>
              <w:t>3</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98</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12</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99</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增城区朱村街第二小学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38</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24</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48</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27</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5</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龙岗村（向西）篮球场</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室外</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11</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08</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6</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广州市增城区科教城小学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66</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99</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59</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495</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7</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朱村街凤秀小学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97</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78</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07</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89</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8</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朱村街联兴村委会避护场所</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48</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15</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075</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9</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朱村街龙新村委会避护场所</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07</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07</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10</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朱村街龙岗小学避护场所</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3</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08</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56</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11</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朱村街丹邱卫生站避护场所</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035</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053</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12</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朱村街山角小广场避护场所</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室外</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13</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朱村街山田小学避护场所</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41</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84</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221</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4705</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14</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朱村街南岗小学避护场所</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12</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15</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朱村街神岗村委会避护场所</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036</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044</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16</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朱村街横塱小学避护场所</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3</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69</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14</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24</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17</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朱村社区居委会避护场所</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09</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11</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013</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113</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18</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暨南大学附属崇德小学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w:t>
            </w:r>
            <w:r>
              <w:rPr>
                <w:rFonts w:hint="eastAsia" w:ascii="宋体" w:hAnsi="宋体" w:eastAsia="宋体" w:cs="宋体"/>
                <w:sz w:val="18"/>
                <w:szCs w:val="18"/>
              </w:rPr>
              <w:t>.</w:t>
            </w:r>
            <w:r>
              <w:rPr>
                <w:rFonts w:hint="eastAsia" w:ascii="Times New Roman" w:hAnsi="Times New Roman" w:eastAsia="宋体" w:cs="宋体"/>
                <w:sz w:val="18"/>
                <w:szCs w:val="18"/>
              </w:rPr>
              <w:t>56</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13</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06</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06</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5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19</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72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华南师范大学附属朱村实验小学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w:t>
            </w:r>
            <w:r>
              <w:rPr>
                <w:rFonts w:hint="eastAsia" w:ascii="宋体" w:hAnsi="宋体" w:eastAsia="宋体" w:cs="宋体"/>
                <w:sz w:val="18"/>
                <w:szCs w:val="18"/>
              </w:rPr>
              <w:t>.</w:t>
            </w:r>
            <w:r>
              <w:rPr>
                <w:rFonts w:hint="eastAsia" w:ascii="Times New Roman" w:hAnsi="Times New Roman" w:eastAsia="宋体" w:cs="宋体"/>
                <w:sz w:val="18"/>
                <w:szCs w:val="18"/>
              </w:rPr>
              <w:t>08</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08</w:t>
            </w:r>
          </w:p>
        </w:tc>
        <w:tc>
          <w:tcPr>
            <w:tcW w:w="8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36</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54</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bl>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楷体_GB2312" w:hAnsi="楷体_GB2312" w:eastAsia="楷体_GB2312" w:cs="楷体_GB2312"/>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560"/>
        <w:textAlignment w:val="auto"/>
        <w:rPr>
          <w:rFonts w:cs="Times New Roman"/>
        </w:rPr>
      </w:pPr>
      <w:r>
        <w:rPr>
          <w:rFonts w:hint="eastAsia" w:ascii="楷体_GB2312" w:hAnsi="楷体_GB2312" w:eastAsia="楷体_GB2312" w:cs="楷体_GB2312"/>
          <w:sz w:val="24"/>
          <w:szCs w:val="24"/>
        </w:rPr>
        <w:t>备注：</w:t>
      </w:r>
      <w:bookmarkStart w:id="94" w:name="_Hlk209200010"/>
      <w:bookmarkStart w:id="95" w:name="_Hlk209200046"/>
      <w:r>
        <w:rPr>
          <w:rFonts w:hint="eastAsia" w:ascii="楷体_GB2312" w:hAnsi="楷体_GB2312" w:eastAsia="楷体_GB2312" w:cs="楷体_GB2312"/>
          <w:sz w:val="24"/>
          <w:szCs w:val="24"/>
        </w:rPr>
        <w:t>针对科教城各高校自主性强，</w:t>
      </w:r>
      <w:bookmarkEnd w:id="94"/>
      <w:r>
        <w:rPr>
          <w:rFonts w:hint="eastAsia" w:ascii="楷体_GB2312" w:hAnsi="楷体_GB2312" w:eastAsia="楷体_GB2312" w:cs="楷体_GB2312"/>
          <w:sz w:val="24"/>
          <w:szCs w:val="24"/>
        </w:rPr>
        <w:t>规划广州幼儿师范高等专科学校、广州铁路职业技术学院、广州城市职业学院、广州市技师学院、广州市工贸技师学院、广州市交通技师学院、广州市轻工职业学校、广州市信息技术职业学校、广州市医药职业学校、广州市交通运输职业学校、广州市城市建设职业学校、广州市公用事业技师学院等</w:t>
      </w:r>
      <w:r>
        <w:rPr>
          <w:rFonts w:hint="eastAsia" w:ascii="Times New Roman" w:hAnsi="Times New Roman" w:eastAsia="楷体_GB2312" w:cs="楷体_GB2312"/>
          <w:sz w:val="24"/>
          <w:szCs w:val="24"/>
        </w:rPr>
        <w:t>12</w:t>
      </w:r>
      <w:r>
        <w:rPr>
          <w:rFonts w:hint="eastAsia" w:ascii="楷体_GB2312" w:hAnsi="楷体_GB2312" w:eastAsia="楷体_GB2312" w:cs="楷体_GB2312"/>
          <w:sz w:val="24"/>
          <w:szCs w:val="24"/>
        </w:rPr>
        <w:t>所高校</w:t>
      </w:r>
      <w:bookmarkStart w:id="96" w:name="_Hlk209200022"/>
      <w:r>
        <w:rPr>
          <w:rFonts w:hint="eastAsia" w:ascii="楷体_GB2312" w:hAnsi="楷体_GB2312" w:eastAsia="楷体_GB2312" w:cs="楷体_GB2312"/>
          <w:sz w:val="24"/>
          <w:szCs w:val="24"/>
        </w:rPr>
        <w:t>自行利用学校体育场馆、广场、操场等设施设置临时应急避护场所，通过“自主管理”保障区域范围内受灾人员避护需求，以备学校应对突发事件时供师生自用</w:t>
      </w:r>
      <w:bookmarkEnd w:id="95"/>
      <w:bookmarkEnd w:id="96"/>
      <w:r>
        <w:rPr>
          <w:rFonts w:hint="eastAsia" w:ascii="楷体_GB2312" w:hAnsi="楷体_GB2312" w:eastAsia="楷体_GB2312" w:cs="楷体_GB2312"/>
          <w:sz w:val="24"/>
          <w:szCs w:val="24"/>
        </w:rPr>
        <w:t>。</w:t>
      </w:r>
      <w:r>
        <w:rPr>
          <w:rFonts w:cs="Times New Roman"/>
        </w:rPr>
        <w:br w:type="page"/>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outlineLvl w:val="1"/>
        <w:rPr>
          <w:rFonts w:hint="eastAsia" w:ascii="方正小标宋简体" w:hAnsi="方正小标宋简体" w:eastAsia="方正小标宋简体" w:cs="方正小标宋简体"/>
          <w:b w:val="0"/>
          <w:bCs w:val="0"/>
          <w:sz w:val="44"/>
          <w:szCs w:val="44"/>
        </w:rPr>
      </w:pPr>
      <w:bookmarkStart w:id="97" w:name="_Toc215490516"/>
      <w:r>
        <w:rPr>
          <w:rFonts w:hint="eastAsia" w:ascii="方正小标宋简体" w:hAnsi="方正小标宋简体" w:eastAsia="方正小标宋简体" w:cs="方正小标宋简体"/>
          <w:b w:val="0"/>
          <w:bCs w:val="0"/>
          <w:sz w:val="44"/>
          <w:szCs w:val="44"/>
        </w:rPr>
        <w:t>永宁街应急避护场所规划一览表</w:t>
      </w:r>
      <w:bookmarkEnd w:id="97"/>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pPr>
    </w:p>
    <w:tbl>
      <w:tblPr>
        <w:tblStyle w:val="51"/>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846"/>
        <w:gridCol w:w="707"/>
        <w:gridCol w:w="933"/>
        <w:gridCol w:w="668"/>
        <w:gridCol w:w="668"/>
        <w:gridCol w:w="668"/>
        <w:gridCol w:w="812"/>
        <w:gridCol w:w="784"/>
        <w:gridCol w:w="928"/>
        <w:gridCol w:w="810"/>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blHeader/>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序号</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级别</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类型</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名称</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空间类别</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功能定位</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场所状态</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占地面积（公顷）</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有效避护面积（万平方米）</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其中室内有效避护面积（万平方米）</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可避护人数（万人）</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涉及的限制要素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永宁中学</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35</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22</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47</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27</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广外增城外国语学校</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67</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39</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53</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31</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广州市增城区南香山小学</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93</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53</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59</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34</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永和中学</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8</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86</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61</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77</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凤凰城中英文学校</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8</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67</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51</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73</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洪涝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无忧花园</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33</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12</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91</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历史极值降雨大于</w:t>
            </w:r>
            <w:r>
              <w:rPr>
                <w:rFonts w:hint="eastAsia" w:ascii="Times New Roman" w:hAnsi="Times New Roman" w:eastAsia="宋体" w:cs="宋体"/>
                <w:b w:val="0"/>
                <w:bCs w:val="0"/>
                <w:sz w:val="18"/>
                <w:szCs w:val="18"/>
              </w:rPr>
              <w:t>100</w:t>
            </w:r>
            <w:r>
              <w:rPr>
                <w:rFonts w:hint="eastAsia" w:ascii="宋体" w:hAnsi="宋体" w:eastAsia="宋体" w:cs="宋体"/>
                <w:b w:val="0"/>
                <w:bCs w:val="0"/>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7</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永宁第二小学</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53</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56</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8</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五羊本田厂区</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51</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历史极值降雨大于</w:t>
            </w:r>
            <w:r>
              <w:rPr>
                <w:rFonts w:hint="eastAsia" w:ascii="Times New Roman" w:hAnsi="Times New Roman" w:eastAsia="宋体" w:cs="宋体"/>
                <w:b w:val="0"/>
                <w:bCs w:val="0"/>
                <w:sz w:val="18"/>
                <w:szCs w:val="18"/>
              </w:rPr>
              <w:t>100</w:t>
            </w:r>
            <w:r>
              <w:rPr>
                <w:rFonts w:hint="eastAsia" w:ascii="宋体" w:hAnsi="宋体" w:eastAsia="宋体" w:cs="宋体"/>
                <w:b w:val="0"/>
                <w:bCs w:val="0"/>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9</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永宁第一小学</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36</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历史极值降雨大于</w:t>
            </w:r>
            <w:r>
              <w:rPr>
                <w:rFonts w:hint="eastAsia" w:ascii="Times New Roman" w:hAnsi="Times New Roman" w:eastAsia="宋体" w:cs="宋体"/>
                <w:b w:val="0"/>
                <w:bCs w:val="0"/>
                <w:sz w:val="18"/>
                <w:szCs w:val="18"/>
              </w:rPr>
              <w:t>100</w:t>
            </w:r>
            <w:r>
              <w:rPr>
                <w:rFonts w:hint="eastAsia" w:ascii="宋体" w:hAnsi="宋体" w:eastAsia="宋体" w:cs="宋体"/>
                <w:b w:val="0"/>
                <w:bCs w:val="0"/>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10</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增城区凤凰实验第一小学</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16</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69</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41</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345</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11</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广州市增城区万博实验学校</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69</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62</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97</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81</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12</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永宁街凤妍社区应急避护场所</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95</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95</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12</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475</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13</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塔岗村篮球场应急避护场所</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历史极值降雨大于</w:t>
            </w:r>
            <w:r>
              <w:rPr>
                <w:rFonts w:hint="eastAsia" w:ascii="Times New Roman" w:hAnsi="Times New Roman" w:eastAsia="宋体" w:cs="宋体"/>
                <w:b w:val="0"/>
                <w:bCs w:val="0"/>
                <w:sz w:val="18"/>
                <w:szCs w:val="18"/>
              </w:rPr>
              <w:t>100</w:t>
            </w:r>
            <w:r>
              <w:rPr>
                <w:rFonts w:hint="eastAsia" w:ascii="宋体" w:hAnsi="宋体" w:eastAsia="宋体" w:cs="宋体"/>
                <w:b w:val="0"/>
                <w:bCs w:val="0"/>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14</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翟洞村新屋花园应急避护场所</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15</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公安村委广场应急避护场所</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24</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24</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24</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16</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叶岭村委篮球场应急避护场所</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17</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陂头村村委广场应急避护场所</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24</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24</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24</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18</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永宁街蒌元村新城公园广场公园</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25</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25</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25</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历史极值降雨大于</w:t>
            </w:r>
            <w:r>
              <w:rPr>
                <w:rFonts w:hint="eastAsia" w:ascii="Times New Roman" w:hAnsi="Times New Roman" w:eastAsia="宋体" w:cs="宋体"/>
                <w:b w:val="0"/>
                <w:bCs w:val="0"/>
                <w:sz w:val="18"/>
                <w:szCs w:val="18"/>
              </w:rPr>
              <w:t>100</w:t>
            </w:r>
            <w:r>
              <w:rPr>
                <w:rFonts w:hint="eastAsia" w:ascii="宋体" w:hAnsi="宋体" w:eastAsia="宋体" w:cs="宋体"/>
                <w:b w:val="0"/>
                <w:bCs w:val="0"/>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5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19</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0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3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长岗村委应急避护场所</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8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16</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16</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16</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bl>
    <w:p>
      <w:pPr>
        <w:spacing w:line="240" w:lineRule="auto"/>
        <w:ind w:firstLine="0" w:firstLineChars="0"/>
        <w:rPr>
          <w:rFonts w:cs="Times New Roman"/>
          <w:sz w:val="21"/>
        </w:rPr>
      </w:pPr>
    </w:p>
    <w:p>
      <w:pPr>
        <w:spacing w:line="240" w:lineRule="auto"/>
        <w:ind w:firstLine="0" w:firstLineChars="0"/>
        <w:rPr>
          <w:rFonts w:cs="Times New Roman"/>
        </w:rPr>
      </w:pPr>
      <w:r>
        <w:rPr>
          <w:rFonts w:cs="Times New Roman"/>
        </w:rPr>
        <w:br w:type="page"/>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outlineLvl w:val="1"/>
        <w:rPr>
          <w:rFonts w:hint="eastAsia" w:ascii="方正小标宋简体" w:hAnsi="方正小标宋简体" w:eastAsia="方正小标宋简体" w:cs="方正小标宋简体"/>
          <w:b w:val="0"/>
          <w:bCs w:val="0"/>
          <w:sz w:val="44"/>
          <w:szCs w:val="44"/>
        </w:rPr>
      </w:pPr>
      <w:bookmarkStart w:id="98" w:name="_Toc215490517"/>
      <w:r>
        <w:rPr>
          <w:rFonts w:hint="eastAsia" w:ascii="方正小标宋简体" w:hAnsi="方正小标宋简体" w:eastAsia="方正小标宋简体" w:cs="方正小标宋简体"/>
          <w:b w:val="0"/>
          <w:bCs w:val="0"/>
          <w:sz w:val="44"/>
          <w:szCs w:val="44"/>
        </w:rPr>
        <w:t>荔湖街应急避护场所规划一览表</w:t>
      </w:r>
      <w:bookmarkEnd w:id="98"/>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pPr>
    </w:p>
    <w:tbl>
      <w:tblPr>
        <w:tblStyle w:val="51"/>
        <w:tblW w:w="90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846"/>
        <w:gridCol w:w="620"/>
        <w:gridCol w:w="1093"/>
        <w:gridCol w:w="656"/>
        <w:gridCol w:w="656"/>
        <w:gridCol w:w="656"/>
        <w:gridCol w:w="806"/>
        <w:gridCol w:w="806"/>
        <w:gridCol w:w="952"/>
        <w:gridCol w:w="750"/>
        <w:gridCol w:w="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blHead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序号</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级别</w:t>
            </w:r>
          </w:p>
        </w:tc>
        <w:tc>
          <w:tcPr>
            <w:tcW w:w="62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类型</w:t>
            </w:r>
          </w:p>
        </w:tc>
        <w:tc>
          <w:tcPr>
            <w:tcW w:w="109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名称</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空间类别</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功能定位</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场所状态</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占地面积（公顷）</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有效避护面积（万平方米）</w:t>
            </w:r>
          </w:p>
        </w:tc>
        <w:tc>
          <w:tcPr>
            <w:tcW w:w="95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其中室内有效避护面积（万平方米）</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可避护人数（万人）</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涉及的限制要素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区级</w:t>
            </w:r>
          </w:p>
        </w:tc>
        <w:tc>
          <w:tcPr>
            <w:tcW w:w="62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109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增城中学</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16</w:t>
            </w:r>
            <w:r>
              <w:rPr>
                <w:rFonts w:hint="eastAsia" w:ascii="宋体" w:hAnsi="宋体" w:eastAsia="宋体" w:cs="宋体"/>
                <w:sz w:val="18"/>
                <w:szCs w:val="18"/>
              </w:rPr>
              <w:t>.</w:t>
            </w:r>
            <w:r>
              <w:rPr>
                <w:rFonts w:hint="eastAsia" w:ascii="Times New Roman" w:hAnsi="Times New Roman" w:eastAsia="宋体" w:cs="宋体"/>
                <w:sz w:val="18"/>
                <w:szCs w:val="18"/>
              </w:rPr>
              <w:t>09</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8</w:t>
            </w:r>
            <w:r>
              <w:rPr>
                <w:rFonts w:hint="eastAsia" w:ascii="宋体" w:hAnsi="宋体" w:eastAsia="宋体" w:cs="宋体"/>
                <w:sz w:val="18"/>
                <w:szCs w:val="18"/>
              </w:rPr>
              <w:t>.</w:t>
            </w:r>
            <w:r>
              <w:rPr>
                <w:rFonts w:hint="eastAsia" w:ascii="Times New Roman" w:hAnsi="Times New Roman" w:eastAsia="宋体" w:cs="宋体"/>
                <w:sz w:val="18"/>
                <w:szCs w:val="18"/>
              </w:rPr>
              <w:t>37</w:t>
            </w:r>
          </w:p>
        </w:tc>
        <w:tc>
          <w:tcPr>
            <w:tcW w:w="95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w:t>
            </w:r>
            <w:r>
              <w:rPr>
                <w:rFonts w:hint="eastAsia" w:ascii="宋体" w:hAnsi="宋体" w:eastAsia="宋体" w:cs="宋体"/>
                <w:sz w:val="18"/>
                <w:szCs w:val="18"/>
              </w:rPr>
              <w:t>.</w:t>
            </w:r>
            <w:r>
              <w:rPr>
                <w:rFonts w:hint="eastAsia" w:ascii="Times New Roman" w:hAnsi="Times New Roman" w:eastAsia="宋体" w:cs="宋体"/>
                <w:sz w:val="18"/>
                <w:szCs w:val="18"/>
              </w:rPr>
              <w:t>22</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86</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62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109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广州市增城区第一中学</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13</w:t>
            </w:r>
            <w:r>
              <w:rPr>
                <w:rFonts w:hint="eastAsia" w:ascii="宋体" w:hAnsi="宋体" w:eastAsia="宋体" w:cs="宋体"/>
                <w:sz w:val="18"/>
                <w:szCs w:val="18"/>
              </w:rPr>
              <w:t>.</w:t>
            </w:r>
            <w:r>
              <w:rPr>
                <w:rFonts w:hint="eastAsia" w:ascii="Times New Roman" w:hAnsi="Times New Roman" w:eastAsia="宋体" w:cs="宋体"/>
                <w:sz w:val="18"/>
                <w:szCs w:val="18"/>
              </w:rPr>
              <w:t>82</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7</w:t>
            </w:r>
            <w:r>
              <w:rPr>
                <w:rFonts w:hint="eastAsia" w:ascii="宋体" w:hAnsi="宋体" w:eastAsia="宋体" w:cs="宋体"/>
                <w:sz w:val="18"/>
                <w:szCs w:val="18"/>
              </w:rPr>
              <w:t>.</w:t>
            </w:r>
            <w:r>
              <w:rPr>
                <w:rFonts w:hint="eastAsia" w:ascii="Times New Roman" w:hAnsi="Times New Roman" w:eastAsia="宋体" w:cs="宋体"/>
                <w:sz w:val="18"/>
                <w:szCs w:val="18"/>
              </w:rPr>
              <w:t>19</w:t>
            </w:r>
          </w:p>
        </w:tc>
        <w:tc>
          <w:tcPr>
            <w:tcW w:w="95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76</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6</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洪涝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62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109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广州华商职业学院（广东财经大学华商学院）</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室外</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57</w:t>
            </w:r>
            <w:r>
              <w:rPr>
                <w:rFonts w:hint="eastAsia" w:ascii="宋体" w:hAnsi="宋体" w:eastAsia="宋体" w:cs="宋体"/>
                <w:sz w:val="18"/>
                <w:szCs w:val="18"/>
              </w:rPr>
              <w:t>.</w:t>
            </w:r>
            <w:r>
              <w:rPr>
                <w:rFonts w:hint="eastAsia" w:ascii="Times New Roman" w:hAnsi="Times New Roman" w:eastAsia="宋体" w:cs="宋体"/>
                <w:sz w:val="18"/>
                <w:szCs w:val="18"/>
              </w:rPr>
              <w:t>43</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10</w:t>
            </w:r>
            <w:r>
              <w:rPr>
                <w:rFonts w:hint="eastAsia" w:ascii="宋体" w:hAnsi="宋体" w:eastAsia="宋体" w:cs="宋体"/>
                <w:sz w:val="18"/>
                <w:szCs w:val="18"/>
              </w:rPr>
              <w:t>.</w:t>
            </w:r>
            <w:r>
              <w:rPr>
                <w:rFonts w:hint="eastAsia" w:ascii="Times New Roman" w:hAnsi="Times New Roman" w:eastAsia="宋体" w:cs="宋体"/>
                <w:sz w:val="18"/>
                <w:szCs w:val="18"/>
              </w:rPr>
              <w:t>34</w:t>
            </w:r>
          </w:p>
        </w:tc>
        <w:tc>
          <w:tcPr>
            <w:tcW w:w="95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3</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62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109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增城少年宫</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71</w:t>
            </w:r>
          </w:p>
        </w:tc>
        <w:tc>
          <w:tcPr>
            <w:tcW w:w="95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71</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6</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5</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62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109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广州市增城区荔湖小学</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5</w:t>
            </w:r>
            <w:r>
              <w:rPr>
                <w:rFonts w:hint="eastAsia" w:ascii="宋体" w:hAnsi="宋体" w:eastAsia="宋体" w:cs="宋体"/>
                <w:sz w:val="18"/>
                <w:szCs w:val="18"/>
              </w:rPr>
              <w:t>.</w:t>
            </w:r>
            <w:r>
              <w:rPr>
                <w:rFonts w:hint="eastAsia" w:ascii="Times New Roman" w:hAnsi="Times New Roman" w:eastAsia="宋体" w:cs="宋体"/>
                <w:sz w:val="18"/>
                <w:szCs w:val="18"/>
              </w:rPr>
              <w:t>24</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73</w:t>
            </w:r>
          </w:p>
        </w:tc>
        <w:tc>
          <w:tcPr>
            <w:tcW w:w="95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61</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洪涝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6</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62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109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广州市执信中学增城实验学校(初中校区)</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w:t>
            </w:r>
            <w:r>
              <w:rPr>
                <w:rFonts w:hint="eastAsia" w:ascii="宋体" w:hAnsi="宋体" w:eastAsia="宋体" w:cs="宋体"/>
                <w:sz w:val="18"/>
                <w:szCs w:val="18"/>
              </w:rPr>
              <w:t>.</w:t>
            </w:r>
            <w:r>
              <w:rPr>
                <w:rFonts w:hint="eastAsia" w:ascii="Times New Roman" w:hAnsi="Times New Roman" w:eastAsia="宋体" w:cs="宋体"/>
                <w:sz w:val="18"/>
                <w:szCs w:val="18"/>
              </w:rPr>
              <w:t>37</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75</w:t>
            </w:r>
          </w:p>
        </w:tc>
        <w:tc>
          <w:tcPr>
            <w:tcW w:w="95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67</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39</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7</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2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9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五一村村民委员会</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38</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19</w:t>
            </w:r>
          </w:p>
        </w:tc>
        <w:tc>
          <w:tcPr>
            <w:tcW w:w="95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095</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8</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2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109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西瓜岭村应急避护场所</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19</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38</w:t>
            </w:r>
          </w:p>
        </w:tc>
        <w:tc>
          <w:tcPr>
            <w:tcW w:w="95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38</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13</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9</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2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9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太平村应急避护场所</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13</w:t>
            </w:r>
          </w:p>
        </w:tc>
        <w:tc>
          <w:tcPr>
            <w:tcW w:w="8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53</w:t>
            </w:r>
          </w:p>
        </w:tc>
        <w:tc>
          <w:tcPr>
            <w:tcW w:w="95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526</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13</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bl>
    <w:p>
      <w:pPr>
        <w:ind w:firstLine="560"/>
        <w:rPr>
          <w:rFonts w:cs="Times New Roman"/>
        </w:rPr>
      </w:pPr>
      <w:r>
        <w:rPr>
          <w:rFonts w:cs="Times New Roman"/>
        </w:rPr>
        <w:br w:type="page"/>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outlineLvl w:val="1"/>
        <w:rPr>
          <w:rFonts w:hint="eastAsia" w:ascii="方正小标宋简体" w:hAnsi="方正小标宋简体" w:eastAsia="方正小标宋简体" w:cs="方正小标宋简体"/>
          <w:b w:val="0"/>
          <w:bCs w:val="0"/>
          <w:sz w:val="44"/>
          <w:szCs w:val="44"/>
        </w:rPr>
      </w:pPr>
      <w:bookmarkStart w:id="99" w:name="_Toc215490518"/>
      <w:r>
        <w:rPr>
          <w:rFonts w:hint="eastAsia" w:ascii="方正小标宋简体" w:hAnsi="方正小标宋简体" w:eastAsia="方正小标宋简体" w:cs="方正小标宋简体"/>
          <w:b w:val="0"/>
          <w:bCs w:val="0"/>
          <w:sz w:val="44"/>
          <w:szCs w:val="44"/>
        </w:rPr>
        <w:t>宁西街应急避护场所规划一览表</w:t>
      </w:r>
      <w:bookmarkEnd w:id="99"/>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lang w:val="en-US" w:eastAsia="zh-CN"/>
        </w:rPr>
      </w:pPr>
    </w:p>
    <w:tbl>
      <w:tblPr>
        <w:tblStyle w:val="51"/>
        <w:tblW w:w="90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846"/>
        <w:gridCol w:w="581"/>
        <w:gridCol w:w="999"/>
        <w:gridCol w:w="652"/>
        <w:gridCol w:w="652"/>
        <w:gridCol w:w="652"/>
        <w:gridCol w:w="804"/>
        <w:gridCol w:w="774"/>
        <w:gridCol w:w="1023"/>
        <w:gridCol w:w="695"/>
        <w:gridCol w:w="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tblHeader/>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序号</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级别</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类型</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名称</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空间类别</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功能定位</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场所状态</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占地面积（公顷）</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有效避护面积（万平方米）</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其中室内有效避护面积（万平方米）</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可避护人数（万人）</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涉及的限制要素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3"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区级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增城区宁西镇（街）泰学校与宁西广场</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9</w:t>
            </w:r>
            <w:r>
              <w:rPr>
                <w:rFonts w:hint="eastAsia" w:ascii="宋体" w:hAnsi="宋体" w:eastAsia="宋体" w:cs="宋体"/>
                <w:sz w:val="18"/>
                <w:szCs w:val="18"/>
              </w:rPr>
              <w:t>.</w:t>
            </w:r>
            <w:r>
              <w:rPr>
                <w:rFonts w:hint="eastAsia" w:ascii="Times New Roman" w:hAnsi="Times New Roman" w:eastAsia="宋体" w:cs="宋体"/>
                <w:sz w:val="18"/>
                <w:szCs w:val="18"/>
              </w:rPr>
              <w:t>31</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w:t>
            </w:r>
            <w:r>
              <w:rPr>
                <w:rFonts w:hint="eastAsia" w:ascii="宋体" w:hAnsi="宋体" w:eastAsia="宋体" w:cs="宋体"/>
                <w:sz w:val="18"/>
                <w:szCs w:val="18"/>
              </w:rPr>
              <w:t>.</w:t>
            </w:r>
            <w:r>
              <w:rPr>
                <w:rFonts w:hint="eastAsia" w:ascii="Times New Roman" w:hAnsi="Times New Roman" w:eastAsia="宋体" w:cs="宋体"/>
                <w:sz w:val="18"/>
                <w:szCs w:val="18"/>
              </w:rPr>
              <w:t>21</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85</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94</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历史极值降雨大于</w:t>
            </w:r>
            <w:r>
              <w:rPr>
                <w:rFonts w:hint="eastAsia" w:ascii="Times New Roman" w:hAnsi="Times New Roman" w:eastAsia="宋体" w:cs="宋体"/>
                <w:sz w:val="18"/>
                <w:szCs w:val="18"/>
              </w:rPr>
              <w:t>100</w:t>
            </w:r>
            <w:r>
              <w:rPr>
                <w:rFonts w:hint="eastAsia" w:ascii="宋体" w:hAnsi="宋体" w:eastAsia="宋体" w:cs="宋体"/>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华商外语实验学校</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12</w:t>
            </w:r>
            <w:r>
              <w:rPr>
                <w:rFonts w:hint="eastAsia" w:ascii="宋体" w:hAnsi="宋体" w:eastAsia="宋体" w:cs="宋体"/>
                <w:sz w:val="18"/>
                <w:szCs w:val="18"/>
              </w:rPr>
              <w:t>.</w:t>
            </w:r>
            <w:r>
              <w:rPr>
                <w:rFonts w:hint="eastAsia" w:ascii="Times New Roman" w:hAnsi="Times New Roman" w:eastAsia="宋体" w:cs="宋体"/>
                <w:sz w:val="18"/>
                <w:szCs w:val="18"/>
              </w:rPr>
              <w:t>47</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6</w:t>
            </w:r>
            <w:r>
              <w:rPr>
                <w:rFonts w:hint="eastAsia" w:ascii="宋体" w:hAnsi="宋体" w:eastAsia="宋体" w:cs="宋体"/>
                <w:sz w:val="18"/>
                <w:szCs w:val="18"/>
              </w:rPr>
              <w:t>.</w:t>
            </w:r>
            <w:r>
              <w:rPr>
                <w:rFonts w:hint="eastAsia" w:ascii="Times New Roman" w:hAnsi="Times New Roman" w:eastAsia="宋体" w:cs="宋体"/>
                <w:sz w:val="18"/>
                <w:szCs w:val="18"/>
              </w:rPr>
              <w:t>48</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49</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44</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增城开发区政务服务中心广场</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室外</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31</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93</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21</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华中师范大学附属广州增城实验学校</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5</w:t>
            </w:r>
            <w:r>
              <w:rPr>
                <w:rFonts w:hint="eastAsia" w:ascii="宋体" w:hAnsi="宋体" w:eastAsia="宋体" w:cs="宋体"/>
                <w:sz w:val="18"/>
                <w:szCs w:val="18"/>
              </w:rPr>
              <w:t>.</w:t>
            </w:r>
            <w:r>
              <w:rPr>
                <w:rFonts w:hint="eastAsia" w:ascii="Times New Roman" w:hAnsi="Times New Roman" w:eastAsia="宋体" w:cs="宋体"/>
                <w:sz w:val="18"/>
                <w:szCs w:val="18"/>
              </w:rPr>
              <w:t>17</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69</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6</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5</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增城开发区第一小学</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8</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46</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41</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33</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历史极值降雨大于</w:t>
            </w:r>
            <w:r>
              <w:rPr>
                <w:rFonts w:hint="eastAsia" w:ascii="Times New Roman" w:hAnsi="Times New Roman" w:eastAsia="宋体" w:cs="宋体"/>
                <w:sz w:val="18"/>
                <w:szCs w:val="18"/>
              </w:rPr>
              <w:t>100</w:t>
            </w:r>
            <w:r>
              <w:rPr>
                <w:rFonts w:hint="eastAsia" w:ascii="宋体" w:hAnsi="宋体" w:eastAsia="宋体" w:cs="宋体"/>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6</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宁西街九如小学</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12</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67</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335</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7</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增城区南部政务服务中心</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89</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53</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16</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265</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历史极值降雨大于</w:t>
            </w:r>
            <w:r>
              <w:rPr>
                <w:rFonts w:hint="eastAsia" w:ascii="Times New Roman" w:hAnsi="Times New Roman" w:eastAsia="宋体" w:cs="宋体"/>
                <w:sz w:val="18"/>
                <w:szCs w:val="18"/>
              </w:rPr>
              <w:t>100</w:t>
            </w:r>
            <w:r>
              <w:rPr>
                <w:rFonts w:hint="eastAsia" w:ascii="宋体" w:hAnsi="宋体" w:eastAsia="宋体" w:cs="宋体"/>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8</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宁西街石迳村避护场所</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22</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07</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9</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宁西街白水村避护场所</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27</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35</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271</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13</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历史极值降雨大于</w:t>
            </w:r>
            <w:r>
              <w:rPr>
                <w:rFonts w:hint="eastAsia" w:ascii="Times New Roman" w:hAnsi="Times New Roman" w:eastAsia="宋体" w:cs="宋体"/>
                <w:sz w:val="18"/>
                <w:szCs w:val="18"/>
              </w:rPr>
              <w:t>100</w:t>
            </w:r>
            <w:r>
              <w:rPr>
                <w:rFonts w:hint="eastAsia" w:ascii="宋体" w:hAnsi="宋体" w:eastAsia="宋体" w:cs="宋体"/>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10</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宁西街湖东村避护场所</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13</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07</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075</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11</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宁西街下元村避护场所</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39</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31</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12</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宁西街百湖村湾谷活动中心避护场所</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22</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09</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13</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宁西街路边村避护场所</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24</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24</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16</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14</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14</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宁西街斯庄村避护场所</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13</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07</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11</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15</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宁西街郭村村避护场所</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52</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37</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历史极值降雨大于</w:t>
            </w:r>
            <w:r>
              <w:rPr>
                <w:rFonts w:hint="eastAsia" w:ascii="Times New Roman" w:hAnsi="Times New Roman" w:eastAsia="宋体" w:cs="宋体"/>
                <w:sz w:val="18"/>
                <w:szCs w:val="18"/>
              </w:rPr>
              <w:t>100</w:t>
            </w:r>
            <w:r>
              <w:rPr>
                <w:rFonts w:hint="eastAsia" w:ascii="宋体" w:hAnsi="宋体" w:eastAsia="宋体" w:cs="宋体"/>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16</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宁西街冯村村避护场所</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17</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宁西街中元村避护场所</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13</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07</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075</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18</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宁西街章陂村章陂小学避护场所</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52</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37</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19</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宁西街南樵社区居委会</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39</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29</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35</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55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20</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58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宁西街莲花社区避护场所</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80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16</w:t>
            </w:r>
          </w:p>
        </w:tc>
        <w:tc>
          <w:tcPr>
            <w:tcW w:w="6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8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bl>
    <w:p>
      <w:pPr>
        <w:spacing w:line="240" w:lineRule="auto"/>
        <w:ind w:firstLine="0" w:firstLineChars="0"/>
        <w:rPr>
          <w:rFonts w:cs="Times New Roman"/>
          <w:sz w:val="21"/>
        </w:rPr>
      </w:pPr>
      <w:r>
        <w:rPr>
          <w:rFonts w:cs="Times New Roman"/>
          <w:sz w:val="21"/>
        </w:rPr>
        <w:br w:type="page"/>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outlineLvl w:val="1"/>
        <w:rPr>
          <w:rFonts w:hint="eastAsia" w:ascii="方正小标宋简体" w:hAnsi="方正小标宋简体" w:eastAsia="方正小标宋简体" w:cs="方正小标宋简体"/>
          <w:b w:val="0"/>
          <w:bCs w:val="0"/>
          <w:sz w:val="44"/>
          <w:szCs w:val="44"/>
        </w:rPr>
      </w:pPr>
      <w:bookmarkStart w:id="100" w:name="_Toc215490519"/>
      <w:r>
        <w:rPr>
          <w:rFonts w:hint="eastAsia" w:ascii="方正小标宋简体" w:hAnsi="方正小标宋简体" w:eastAsia="方正小标宋简体" w:cs="方正小标宋简体"/>
          <w:b w:val="0"/>
          <w:bCs w:val="0"/>
          <w:sz w:val="44"/>
          <w:szCs w:val="44"/>
        </w:rPr>
        <w:t>新塘镇应急避护场所规划一览表</w:t>
      </w:r>
      <w:bookmarkEnd w:id="100"/>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pPr>
    </w:p>
    <w:tbl>
      <w:tblPr>
        <w:tblStyle w:val="51"/>
        <w:tblW w:w="9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847"/>
        <w:gridCol w:w="579"/>
        <w:gridCol w:w="1090"/>
        <w:gridCol w:w="642"/>
        <w:gridCol w:w="642"/>
        <w:gridCol w:w="642"/>
        <w:gridCol w:w="799"/>
        <w:gridCol w:w="768"/>
        <w:gridCol w:w="889"/>
        <w:gridCol w:w="696"/>
        <w:gridCol w:w="1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tblHeader/>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序号</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级别</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类型</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名称</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空间类别</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功能定位</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场所状态</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占地面积（公顷）</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有效避护面积（万平方米）</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其中室内有效避护面积（万平方米）</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可避护人数（万人）</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涉及的限制要素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市级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中心</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广大附中增城实验中学与新泉小学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9</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9</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区级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大墩中学、大墩小学与大墩公园</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52</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洪涝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区级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新塘中学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8</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45</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39</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69</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新塘第二中学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46</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69</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广州市增城区新星学校</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69</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92</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74</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96</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沙埔中心小学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87</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49</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57</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745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历史极值降雨大于</w:t>
            </w:r>
            <w:r>
              <w:rPr>
                <w:rFonts w:hint="eastAsia" w:ascii="Times New Roman" w:hAnsi="Times New Roman" w:eastAsia="宋体" w:cs="宋体"/>
                <w:b w:val="0"/>
                <w:bCs w:val="0"/>
                <w:sz w:val="18"/>
                <w:szCs w:val="18"/>
              </w:rPr>
              <w:t>100</w:t>
            </w:r>
            <w:r>
              <w:rPr>
                <w:rFonts w:hint="eastAsia" w:ascii="宋体" w:hAnsi="宋体" w:eastAsia="宋体" w:cs="宋体"/>
                <w:b w:val="0"/>
                <w:bCs w:val="0"/>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7</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合生育才学校</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33</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28</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665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8</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香江中学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37</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79</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395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历史极值降雨大于</w:t>
            </w:r>
            <w:r>
              <w:rPr>
                <w:rFonts w:hint="eastAsia" w:ascii="Times New Roman" w:hAnsi="Times New Roman" w:eastAsia="宋体" w:cs="宋体"/>
                <w:b w:val="0"/>
                <w:bCs w:val="0"/>
                <w:sz w:val="18"/>
                <w:szCs w:val="18"/>
              </w:rPr>
              <w:t>100</w:t>
            </w:r>
            <w:r>
              <w:rPr>
                <w:rFonts w:hint="eastAsia" w:ascii="宋体" w:hAnsi="宋体" w:eastAsia="宋体" w:cs="宋体"/>
                <w:b w:val="0"/>
                <w:bCs w:val="0"/>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9</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增城区鹤泉小学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65</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42</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93</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21</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10</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四望岗公园</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36</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16</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8</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11</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甘泉小学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31</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76</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38</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12</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万田公园</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13</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新塘公园</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7</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95</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14</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三安村民委员会与前广场</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历史极值降雨大于</w:t>
            </w:r>
            <w:r>
              <w:rPr>
                <w:rFonts w:hint="eastAsia" w:ascii="Times New Roman" w:hAnsi="Times New Roman" w:eastAsia="宋体" w:cs="宋体"/>
                <w:b w:val="0"/>
                <w:bCs w:val="0"/>
                <w:sz w:val="18"/>
                <w:szCs w:val="18"/>
              </w:rPr>
              <w:t>100</w:t>
            </w:r>
            <w:r>
              <w:rPr>
                <w:rFonts w:hint="eastAsia" w:ascii="宋体" w:hAnsi="宋体" w:eastAsia="宋体" w:cs="宋体"/>
                <w:b w:val="0"/>
                <w:bCs w:val="0"/>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15</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白石小学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54</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33</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19</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165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16</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华南师范大学附属新塘实验小学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74</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64</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98</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82</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17</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广州东江外语实验学校</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14</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68</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571</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18</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官道公园</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16</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11</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19</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广州市增城区官湖学校</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78</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64</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535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历史极值降雨大于</w:t>
            </w:r>
            <w:r>
              <w:rPr>
                <w:rFonts w:hint="eastAsia" w:ascii="Times New Roman" w:hAnsi="Times New Roman" w:eastAsia="宋体" w:cs="宋体"/>
                <w:b w:val="0"/>
                <w:bCs w:val="0"/>
                <w:sz w:val="18"/>
                <w:szCs w:val="18"/>
              </w:rPr>
              <w:t>100</w:t>
            </w:r>
            <w:r>
              <w:rPr>
                <w:rFonts w:hint="eastAsia" w:ascii="宋体" w:hAnsi="宋体" w:eastAsia="宋体" w:cs="宋体"/>
                <w:b w:val="0"/>
                <w:bCs w:val="0"/>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20</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久裕小学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65</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66</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21</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南安村幼儿园</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64</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38</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23</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19</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历史极值降雨大于</w:t>
            </w:r>
            <w:r>
              <w:rPr>
                <w:rFonts w:hint="eastAsia" w:ascii="Times New Roman" w:hAnsi="Times New Roman" w:eastAsia="宋体" w:cs="宋体"/>
                <w:b w:val="0"/>
                <w:bCs w:val="0"/>
                <w:sz w:val="18"/>
                <w:szCs w:val="18"/>
              </w:rPr>
              <w:t>100</w:t>
            </w:r>
            <w:r>
              <w:rPr>
                <w:rFonts w:hint="eastAsia" w:ascii="宋体" w:hAnsi="宋体" w:eastAsia="宋体" w:cs="宋体"/>
                <w:b w:val="0"/>
                <w:bCs w:val="0"/>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22</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新塘镇塘美小学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62</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37</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22</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185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23</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田心小学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12</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历史极值降雨大于</w:t>
            </w:r>
            <w:r>
              <w:rPr>
                <w:rFonts w:hint="eastAsia" w:ascii="Times New Roman" w:hAnsi="Times New Roman" w:eastAsia="宋体" w:cs="宋体"/>
                <w:b w:val="0"/>
                <w:bCs w:val="0"/>
                <w:sz w:val="18"/>
                <w:szCs w:val="18"/>
              </w:rPr>
              <w:t>100</w:t>
            </w:r>
            <w:r>
              <w:rPr>
                <w:rFonts w:hint="eastAsia" w:ascii="宋体" w:hAnsi="宋体" w:eastAsia="宋体" w:cs="宋体"/>
                <w:b w:val="0"/>
                <w:bCs w:val="0"/>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24</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增城区海伦堡学校</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49</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54</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25</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新墩村东新文体中心</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27</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14</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14</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历史极值降雨大于</w:t>
            </w:r>
            <w:r>
              <w:rPr>
                <w:rFonts w:hint="eastAsia" w:ascii="Times New Roman" w:hAnsi="Times New Roman" w:eastAsia="宋体" w:cs="宋体"/>
                <w:b w:val="0"/>
                <w:bCs w:val="0"/>
                <w:sz w:val="18"/>
                <w:szCs w:val="18"/>
              </w:rPr>
              <w:t>100</w:t>
            </w:r>
            <w:r>
              <w:rPr>
                <w:rFonts w:hint="eastAsia" w:ascii="宋体" w:hAnsi="宋体" w:eastAsia="宋体" w:cs="宋体"/>
                <w:b w:val="0"/>
                <w:bCs w:val="0"/>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26</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瑶田小学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86</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12</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67</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56</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27</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新塘第三小学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78</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47</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39</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28</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华南师范大学附属新塘学校</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12</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87</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56</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29</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黄沙头小学</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12</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历史极值降雨大于</w:t>
            </w:r>
            <w:r>
              <w:rPr>
                <w:rFonts w:hint="eastAsia" w:ascii="Times New Roman" w:hAnsi="Times New Roman" w:eastAsia="宋体" w:cs="宋体"/>
                <w:b w:val="0"/>
                <w:bCs w:val="0"/>
                <w:sz w:val="18"/>
                <w:szCs w:val="18"/>
              </w:rPr>
              <w:t>100</w:t>
            </w:r>
            <w:r>
              <w:rPr>
                <w:rFonts w:hint="eastAsia" w:ascii="宋体" w:hAnsi="宋体" w:eastAsia="宋体" w:cs="宋体"/>
                <w:b w:val="0"/>
                <w:bCs w:val="0"/>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5"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30</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瓜岭村村委与群防志愿中队</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历史极值降雨大于</w:t>
            </w:r>
            <w:r>
              <w:rPr>
                <w:rFonts w:hint="eastAsia" w:ascii="Times New Roman" w:hAnsi="Times New Roman" w:eastAsia="宋体" w:cs="宋体"/>
                <w:b w:val="0"/>
                <w:bCs w:val="0"/>
                <w:sz w:val="18"/>
                <w:szCs w:val="18"/>
              </w:rPr>
              <w:t>100</w:t>
            </w:r>
            <w:r>
              <w:rPr>
                <w:rFonts w:hint="eastAsia" w:ascii="宋体" w:hAnsi="宋体" w:eastAsia="宋体" w:cs="宋体"/>
                <w:b w:val="0"/>
                <w:bCs w:val="0"/>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31</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巷口村党群服务中心</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12</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历史极值降雨大于</w:t>
            </w:r>
            <w:r>
              <w:rPr>
                <w:rFonts w:hint="eastAsia" w:ascii="Times New Roman" w:hAnsi="Times New Roman" w:eastAsia="宋体" w:cs="宋体"/>
                <w:b w:val="0"/>
                <w:bCs w:val="0"/>
                <w:sz w:val="18"/>
                <w:szCs w:val="18"/>
              </w:rPr>
              <w:t>100</w:t>
            </w:r>
            <w:r>
              <w:rPr>
                <w:rFonts w:hint="eastAsia" w:ascii="宋体" w:hAnsi="宋体" w:eastAsia="宋体" w:cs="宋体"/>
                <w:b w:val="0"/>
                <w:bCs w:val="0"/>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32</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上岭村村民委员会</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21</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13</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33</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塘边村村民委员会</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历史极值降雨大于</w:t>
            </w:r>
            <w:r>
              <w:rPr>
                <w:rFonts w:hint="eastAsia" w:ascii="Times New Roman" w:hAnsi="Times New Roman" w:eastAsia="宋体" w:cs="宋体"/>
                <w:b w:val="0"/>
                <w:bCs w:val="0"/>
                <w:sz w:val="18"/>
                <w:szCs w:val="18"/>
              </w:rPr>
              <w:t>100</w:t>
            </w:r>
            <w:r>
              <w:rPr>
                <w:rFonts w:hint="eastAsia" w:ascii="宋体" w:hAnsi="宋体" w:eastAsia="宋体" w:cs="宋体"/>
                <w:b w:val="0"/>
                <w:bCs w:val="0"/>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34</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上基村民委员会及周边广场</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69</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35</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新街村村委</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28</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历史极值降雨大于</w:t>
            </w:r>
            <w:r>
              <w:rPr>
                <w:rFonts w:hint="eastAsia" w:ascii="Times New Roman" w:hAnsi="Times New Roman" w:eastAsia="宋体" w:cs="宋体"/>
                <w:b w:val="0"/>
                <w:bCs w:val="0"/>
                <w:sz w:val="18"/>
                <w:szCs w:val="18"/>
              </w:rPr>
              <w:t>100</w:t>
            </w:r>
            <w:r>
              <w:rPr>
                <w:rFonts w:hint="eastAsia" w:ascii="宋体" w:hAnsi="宋体" w:eastAsia="宋体" w:cs="宋体"/>
                <w:b w:val="0"/>
                <w:bCs w:val="0"/>
                <w:sz w:val="18"/>
                <w:szCs w:val="18"/>
              </w:rPr>
              <w:t>年一遇设计暴雨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36</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乌石村村委</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17</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37</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菊泉中学应急避护场所</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38</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汇美社区应急避护场所</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92</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92</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31</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46</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39</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新康社区应急避护场所</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5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40</w:t>
            </w:r>
          </w:p>
        </w:tc>
        <w:tc>
          <w:tcPr>
            <w:tcW w:w="8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5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翡翠绿洲社区应急避护场所</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4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79</w:t>
            </w:r>
          </w:p>
        </w:tc>
        <w:tc>
          <w:tcPr>
            <w:tcW w:w="7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79</w:t>
            </w:r>
          </w:p>
        </w:tc>
        <w:tc>
          <w:tcPr>
            <w:tcW w:w="88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39</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395</w:t>
            </w:r>
          </w:p>
        </w:tc>
        <w:tc>
          <w:tcPr>
            <w:tcW w:w="102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bl>
    <w:p>
      <w:pPr>
        <w:ind w:firstLine="560"/>
        <w:rPr>
          <w:rFonts w:cs="Times New Roman"/>
        </w:rPr>
      </w:pPr>
      <w:r>
        <w:rPr>
          <w:rFonts w:cs="Times New Roman"/>
        </w:rPr>
        <w:br w:type="page"/>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outlineLvl w:val="1"/>
        <w:rPr>
          <w:rFonts w:hint="eastAsia" w:ascii="方正小标宋简体" w:hAnsi="方正小标宋简体" w:eastAsia="方正小标宋简体" w:cs="方正小标宋简体"/>
          <w:b w:val="0"/>
          <w:bCs w:val="0"/>
          <w:sz w:val="44"/>
          <w:szCs w:val="44"/>
        </w:rPr>
      </w:pPr>
      <w:bookmarkStart w:id="101" w:name="_Toc215490520"/>
      <w:r>
        <w:rPr>
          <w:rFonts w:hint="eastAsia" w:ascii="方正小标宋简体" w:hAnsi="方正小标宋简体" w:eastAsia="方正小标宋简体" w:cs="方正小标宋简体"/>
          <w:b w:val="0"/>
          <w:bCs w:val="0"/>
          <w:sz w:val="44"/>
          <w:szCs w:val="44"/>
        </w:rPr>
        <w:t>石滩镇应急避护场所规划一览表</w:t>
      </w:r>
      <w:bookmarkEnd w:id="101"/>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pPr>
    </w:p>
    <w:tbl>
      <w:tblPr>
        <w:tblStyle w:val="51"/>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697"/>
        <w:gridCol w:w="483"/>
        <w:gridCol w:w="994"/>
        <w:gridCol w:w="631"/>
        <w:gridCol w:w="423"/>
        <w:gridCol w:w="670"/>
        <w:gridCol w:w="681"/>
        <w:gridCol w:w="759"/>
        <w:gridCol w:w="875"/>
        <w:gridCol w:w="789"/>
        <w:gridCol w:w="1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blHeader/>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序号</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级别</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类型</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名称</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空间类别</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功能定位</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场所状态</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占地面积（公顷）</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有效避护面积（万平方米）</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其中室内有效避护面积（万平方米）</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可避护人数（万人）</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涉及的限制要素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广州增城外国语实验中学</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41</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45</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48</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43</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洪涝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黄冈中学(广州增城学校)</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15</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79</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8</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21</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16</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82</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洪涝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江龙学校</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88</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54</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98</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56</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增城碧桂园学校</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15</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23</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71</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天恩双语学校(第二校区)</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41</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33</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28</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74</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高压线荔电线荔电线郑田乙支线、荔富线荔富线郑田甲支线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石滩镇群众文化体育中心避护场所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46</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92</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92</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09</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洪涝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7</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三江中学</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92</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52</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58</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34</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8</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刘昌和学校</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12</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67</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34</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9</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石滩广场应急避护场所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10</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石滩镇中心小学应急避护场所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24</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24</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243</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6216</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11</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石滩镇港桥中学应急避护场所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96</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12</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规划公园绿地</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规划新增</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55</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36</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18</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13</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红花地村庄广场</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14</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石滩镇元美村应急避护场所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15</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石滩镇高门村应急避护场所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21</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21</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105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16</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石滩镇旧山吓村应急避护场所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08</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104</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17</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石滩镇南坣村应急避护场所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056</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18</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石滩镇碧江村应急避护场所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14</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14</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14</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19</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三江中学北校区应急避护场所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99</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99</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987</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495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20</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石滩镇葵湖村应急避护场所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035</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21</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石滩镇凰埔村应急避护场所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22</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石滩镇新山吓村应急避护场所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23</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石滩镇水龙村应急避护场所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24</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石滩镇沙尾村应急避护场所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011</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005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25</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石滩镇塘头村应急避护场所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015</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005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26</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石滩镇塘口村应急避护场所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08</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12</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12</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27</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石滩镇豪园社区应急避护场所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62</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28</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石滩镇元岗村应急避护场所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08</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08</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08</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29</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石滩镇金兰寺村应急避护场所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30</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石滩镇龙地村应急避护场所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09</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15</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15</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31</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石滩镇麻车村应急避护场所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34</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34</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338</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17</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32</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石滩镇桥头村应急避护场所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33</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沙陇村避护场所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08</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08</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34</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石滩镇沙头村应急避护场所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16</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35</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石滩镇上塘村应急避护场所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36</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石滩镇石湖村应急避护场所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37</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石滩镇白江村应急避护场所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38</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石滩镇灯坣村应急避护场所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056</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39</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石滩镇岗尾村应急避护场所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15</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195</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40</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石滩镇田桥村应急避护场所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08</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104</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41</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石滩镇田心村应急避护场所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18</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18</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09</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42</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石滩镇土江村应急避护场所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43</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石滩镇溪头村应急避护场所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18</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18</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09</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44</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石滩镇下围村应急避护场所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24</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24</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12</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45</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石滩镇吓岗村应急避护场所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46</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石滩镇仙塘村应急避护场</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022</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47</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石滩镇元洲村应急避护场所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35</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35</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35</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175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48</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石滩镇岳埔村应急避护场所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056</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49</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石滩镇郑田村应急避护场所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47</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47</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467</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235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50</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石滩镇石厦村应急避护场所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035</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51</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石滩镇石头村应急避护场所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25</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25</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25</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125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52</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街心村避护场所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015</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005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53</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石滩镇岗贝村应急避护场所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54</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石滩镇谢屋村应急避护场所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55</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石滩镇增塘村应急避护场所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56</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石滩镇顾屋村应急避护场所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57</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石滩镇横岭村应急避护场所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58</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石滩镇红荔社区应急避护场所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59</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石滩镇前进社区应急避护场所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026</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60</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石滩镇三江社区应急避护场所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61</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沙庄社区避护场所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052</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62</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石滩镇豪园第二社区应急避护场所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15</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15</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145</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075</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63</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石滩镇马修村应急避护场所（马修村</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64</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石滩镇田边村应急避护场所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042</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65</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48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石滩镇绿湖社区应急避护场所</w:t>
            </w:r>
          </w:p>
        </w:tc>
        <w:tc>
          <w:tcPr>
            <w:tcW w:w="63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4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6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w:t>
            </w:r>
          </w:p>
        </w:tc>
        <w:tc>
          <w:tcPr>
            <w:tcW w:w="7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w:t>
            </w:r>
          </w:p>
        </w:tc>
        <w:tc>
          <w:tcPr>
            <w:tcW w:w="8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w:t>
            </w:r>
          </w:p>
        </w:tc>
        <w:tc>
          <w:tcPr>
            <w:tcW w:w="78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bl>
    <w:p>
      <w:pPr>
        <w:spacing w:line="240" w:lineRule="auto"/>
        <w:ind w:firstLine="0" w:firstLineChars="0"/>
        <w:rPr>
          <w:rFonts w:cs="Times New Roman"/>
          <w:sz w:val="21"/>
        </w:rPr>
      </w:pPr>
    </w:p>
    <w:p>
      <w:pPr>
        <w:keepNext w:val="0"/>
        <w:keepLines w:val="0"/>
        <w:pageBreakBefore w:val="0"/>
        <w:widowControl w:val="0"/>
        <w:kinsoku/>
        <w:wordWrap/>
        <w:overflowPunct/>
        <w:topLinePunct w:val="0"/>
        <w:autoSpaceDE/>
        <w:autoSpaceDN/>
        <w:bidi w:val="0"/>
        <w:adjustRightInd/>
        <w:snapToGrid/>
        <w:spacing w:line="500" w:lineRule="exact"/>
        <w:ind w:firstLine="560"/>
        <w:textAlignment w:val="auto"/>
        <w:rPr>
          <w:rFonts w:cs="Times New Roman"/>
        </w:rPr>
      </w:pPr>
      <w:r>
        <w:rPr>
          <w:rFonts w:hint="eastAsia" w:ascii="楷体_GB2312" w:hAnsi="楷体_GB2312" w:eastAsia="楷体_GB2312" w:cs="楷体_GB2312"/>
          <w:sz w:val="24"/>
          <w:szCs w:val="24"/>
        </w:rPr>
        <w:t>备注：</w:t>
      </w:r>
      <w:bookmarkStart w:id="102" w:name="_Hlk209200543"/>
      <w:r>
        <w:rPr>
          <w:rFonts w:hint="eastAsia" w:ascii="楷体_GB2312" w:hAnsi="楷体_GB2312" w:eastAsia="楷体_GB2312" w:cs="楷体_GB2312"/>
          <w:sz w:val="24"/>
          <w:szCs w:val="24"/>
        </w:rPr>
        <w:t>针对远郊村存在建设用地分散，区域基础设施薄弱等问题，优先选取村级闲置校舍、文化活动室、闲置集体厂房等现有空间，将其纳入 “临时应急避护场所”。此类场所平时保持原有功能，灾时若避护资源无法协调，可快速转换为避护空间。</w:t>
      </w:r>
      <w:bookmarkStart w:id="103" w:name="_Hlk209200570"/>
      <w:r>
        <w:rPr>
          <w:rFonts w:hint="eastAsia" w:ascii="楷体_GB2312" w:hAnsi="楷体_GB2312" w:eastAsia="楷体_GB2312" w:cs="楷体_GB2312"/>
          <w:sz w:val="24"/>
          <w:szCs w:val="24"/>
        </w:rPr>
        <w:t>石滩镇选取沙尾村河堤大路前广场、沙井大球场、石湖村沈元组小广场三处场所可作为临时应急避护场所。</w:t>
      </w:r>
      <w:bookmarkEnd w:id="102"/>
      <w:bookmarkEnd w:id="103"/>
      <w:r>
        <w:rPr>
          <w:rFonts w:cs="Times New Roman"/>
        </w:rPr>
        <w:br w:type="page"/>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outlineLvl w:val="1"/>
        <w:rPr>
          <w:rFonts w:hint="eastAsia" w:ascii="方正小标宋简体" w:hAnsi="方正小标宋简体" w:eastAsia="方正小标宋简体" w:cs="方正小标宋简体"/>
          <w:b w:val="0"/>
          <w:bCs w:val="0"/>
          <w:sz w:val="44"/>
          <w:szCs w:val="44"/>
        </w:rPr>
      </w:pPr>
      <w:bookmarkStart w:id="104" w:name="_Toc215490521"/>
      <w:r>
        <w:rPr>
          <w:rFonts w:hint="eastAsia" w:ascii="方正小标宋简体" w:hAnsi="方正小标宋简体" w:eastAsia="方正小标宋简体" w:cs="方正小标宋简体"/>
          <w:b w:val="0"/>
          <w:bCs w:val="0"/>
          <w:sz w:val="44"/>
          <w:szCs w:val="44"/>
        </w:rPr>
        <w:t>中新镇应急避护场所规划一览表</w:t>
      </w:r>
      <w:bookmarkEnd w:id="104"/>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pPr>
    </w:p>
    <w:tbl>
      <w:tblPr>
        <w:tblStyle w:val="51"/>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755"/>
        <w:gridCol w:w="669"/>
        <w:gridCol w:w="1084"/>
        <w:gridCol w:w="647"/>
        <w:gridCol w:w="911"/>
        <w:gridCol w:w="764"/>
        <w:gridCol w:w="921"/>
        <w:gridCol w:w="854"/>
        <w:gridCol w:w="888"/>
        <w:gridCol w:w="737"/>
        <w:gridCol w:w="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tblHeader/>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序号</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级别</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类型</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名称</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空间类别</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功能</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定位</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场所</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状态</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占地面积（公顷）</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有效避护面积（万平方米）</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其中室内有效避护面积（万平方米）</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可避护人数（万人）</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涉及的限制要素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福和第一小学</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44</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27</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49</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28</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中新镇第三小学</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w:t>
            </w:r>
            <w:r>
              <w:rPr>
                <w:rFonts w:hint="eastAsia" w:ascii="宋体" w:hAnsi="宋体" w:eastAsia="宋体" w:cs="宋体"/>
                <w:sz w:val="18"/>
                <w:szCs w:val="18"/>
              </w:rPr>
              <w:t>.</w:t>
            </w:r>
            <w:r>
              <w:rPr>
                <w:rFonts w:hint="eastAsia" w:ascii="Times New Roman" w:hAnsi="Times New Roman" w:eastAsia="宋体" w:cs="宋体"/>
                <w:sz w:val="18"/>
                <w:szCs w:val="18"/>
              </w:rPr>
              <w:t>63</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89</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73</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42</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广州市增城区中新镇第一小学</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11</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81</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47</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洪涝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广州理工实验学校</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室外</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13</w:t>
            </w:r>
            <w:r>
              <w:rPr>
                <w:rFonts w:hint="eastAsia" w:ascii="宋体" w:hAnsi="宋体" w:eastAsia="宋体" w:cs="宋体"/>
                <w:sz w:val="18"/>
                <w:szCs w:val="18"/>
              </w:rPr>
              <w:t>.</w:t>
            </w:r>
            <w:r>
              <w:rPr>
                <w:rFonts w:hint="eastAsia" w:ascii="Times New Roman" w:hAnsi="Times New Roman" w:eastAsia="宋体" w:cs="宋体"/>
                <w:sz w:val="18"/>
                <w:szCs w:val="18"/>
              </w:rPr>
              <w:t>27</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39</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53</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5</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福和中学</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5</w:t>
            </w:r>
            <w:r>
              <w:rPr>
                <w:rFonts w:hint="eastAsia" w:ascii="宋体" w:hAnsi="宋体" w:eastAsia="宋体" w:cs="宋体"/>
                <w:sz w:val="18"/>
                <w:szCs w:val="18"/>
              </w:rPr>
              <w:t>.</w:t>
            </w:r>
            <w:r>
              <w:rPr>
                <w:rFonts w:hint="eastAsia" w:ascii="Times New Roman" w:hAnsi="Times New Roman" w:eastAsia="宋体" w:cs="宋体"/>
                <w:sz w:val="18"/>
                <w:szCs w:val="18"/>
              </w:rPr>
              <w:t>5</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86</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1</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64</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6</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中新中学</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59</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35</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52</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7</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规划中学</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规划新增</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7</w:t>
            </w:r>
            <w:r>
              <w:rPr>
                <w:rFonts w:hint="eastAsia" w:ascii="宋体" w:hAnsi="宋体" w:eastAsia="宋体" w:cs="宋体"/>
                <w:sz w:val="18"/>
                <w:szCs w:val="18"/>
              </w:rPr>
              <w:t>.</w:t>
            </w:r>
            <w:r>
              <w:rPr>
                <w:rFonts w:hint="eastAsia" w:ascii="Times New Roman" w:hAnsi="Times New Roman" w:eastAsia="宋体" w:cs="宋体"/>
                <w:sz w:val="18"/>
                <w:szCs w:val="18"/>
              </w:rPr>
              <w:t>71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14</w:t>
            </w:r>
            <w:r>
              <w:rPr>
                <w:rFonts w:hint="eastAsia" w:ascii="宋体" w:hAnsi="宋体" w:eastAsia="宋体" w:cs="宋体"/>
                <w:sz w:val="18"/>
                <w:szCs w:val="18"/>
              </w:rPr>
              <w:t>.</w:t>
            </w:r>
            <w:r>
              <w:rPr>
                <w:rFonts w:hint="eastAsia" w:ascii="Times New Roman" w:hAnsi="Times New Roman" w:eastAsia="宋体" w:cs="宋体"/>
                <w:sz w:val="18"/>
                <w:szCs w:val="18"/>
              </w:rPr>
              <w:t>36</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8</w:t>
            </w:r>
            <w:r>
              <w:rPr>
                <w:rFonts w:hint="eastAsia" w:ascii="宋体" w:hAnsi="宋体" w:eastAsia="宋体" w:cs="宋体"/>
                <w:sz w:val="18"/>
                <w:szCs w:val="18"/>
              </w:rPr>
              <w:t>.</w:t>
            </w:r>
            <w:r>
              <w:rPr>
                <w:rFonts w:hint="eastAsia" w:ascii="Times New Roman" w:hAnsi="Times New Roman" w:eastAsia="宋体" w:cs="宋体"/>
                <w:sz w:val="18"/>
                <w:szCs w:val="18"/>
              </w:rPr>
              <w:t>6</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7</w:t>
            </w:r>
            <w:r>
              <w:rPr>
                <w:rFonts w:hint="eastAsia" w:ascii="宋体" w:hAnsi="宋体" w:eastAsia="宋体" w:cs="宋体"/>
                <w:sz w:val="18"/>
                <w:szCs w:val="18"/>
              </w:rPr>
              <w:t>.</w:t>
            </w:r>
            <w:r>
              <w:rPr>
                <w:rFonts w:hint="eastAsia" w:ascii="Times New Roman" w:hAnsi="Times New Roman" w:eastAsia="宋体" w:cs="宋体"/>
                <w:sz w:val="18"/>
                <w:szCs w:val="18"/>
              </w:rPr>
              <w:t>18</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8</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华南师范大学附属中新实验小学与中</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18</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18</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9</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中新镇中心小学大田分教点</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99</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61</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29</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125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10</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中新镇中新中心小学应急避护场所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85</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85</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85</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405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11</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规划交通枢纽（选取广场）</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室外</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规划新增</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10</w:t>
            </w:r>
            <w:r>
              <w:rPr>
                <w:rFonts w:hint="eastAsia" w:ascii="宋体" w:hAnsi="宋体" w:eastAsia="宋体" w:cs="宋体"/>
                <w:sz w:val="18"/>
                <w:szCs w:val="18"/>
              </w:rPr>
              <w:t>.</w:t>
            </w:r>
            <w:r>
              <w:rPr>
                <w:rFonts w:hint="eastAsia" w:ascii="Times New Roman" w:hAnsi="Times New Roman" w:eastAsia="宋体" w:cs="宋体"/>
                <w:sz w:val="18"/>
                <w:szCs w:val="18"/>
              </w:rPr>
              <w:t>39</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12</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濠迳村村委会</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15</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09</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13</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中新镇中新广场应急避护场所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室外</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14</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中新镇福和广场应急避护场所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室外</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15</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中新镇安良村委应急避护场所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059</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16</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中新镇坳头村委应急避护场所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052</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17</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中新镇池岭村委应急避护场所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038</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18</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中新镇慈岭村委应急避护场所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034</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19</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中新镇大安村委应急避护场所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07</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068</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20</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中新镇大田村委应急避护场所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096</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21</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中新镇官塘村委应急避护场所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22</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中新镇濠迳村委应急避护场所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046</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23</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中新镇合益村委应急避护场所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028</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24</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中新镇集丰村委应急避护场所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08</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084</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25</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中新镇简塘村委应急避护场所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048</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26</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中新镇九和村委应急避护场所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055</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27</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中新镇坑贝村委应急避护场所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07</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074</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28</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中新镇里汾村委应急避护场所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037</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29</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中新镇莲塘村委应急避护场所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024</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30</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中新镇联安村委应急避护场所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034</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31</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中新镇联丰村委应急避护场所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32</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中新镇茅田村委应急避护场所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051</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33</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中新镇南池村委应急避护场所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033</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34</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中新镇泮霞村委应急避护场所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35</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中新镇三迳村委应急避护场所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059</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36</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中新镇三星村委应急避护场所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031</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37</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中新镇山美村委应急避护场所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08</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079</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38</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中新镇双塘村委应急避护场所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047</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39</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中新镇田美村委应急避护场所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048</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40</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中新镇乌石村委应急避护场所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41</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中新镇五联村委应急避护场所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07</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069</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42</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中新镇霞迳村委应急避护场所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057</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43</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中新镇心岭村委应急避护场所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07</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13</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13</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44</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中新镇新安村委应急避护场所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024</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45</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中新镇新围村委应急避护场所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049</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46</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中新镇永兴村委应急避护场所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042</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47</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中新镇中新村委应急避护场所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48</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中新镇钟岭村委应急避护场所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026</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49</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中新镇福和社区应急避护场所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50</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中新镇中新社区应急避护场所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51</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6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中新镇团结村委应急避护场所</w:t>
            </w:r>
          </w:p>
        </w:tc>
        <w:tc>
          <w:tcPr>
            <w:tcW w:w="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91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8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029</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bl>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pPr>
    </w:p>
    <w:p>
      <w:pPr>
        <w:keepNext w:val="0"/>
        <w:keepLines w:val="0"/>
        <w:pageBreakBefore w:val="0"/>
        <w:widowControl w:val="0"/>
        <w:kinsoku/>
        <w:wordWrap/>
        <w:overflowPunct/>
        <w:topLinePunct w:val="0"/>
        <w:autoSpaceDE/>
        <w:autoSpaceDN/>
        <w:bidi w:val="0"/>
        <w:adjustRightInd/>
        <w:snapToGrid/>
        <w:spacing w:line="500" w:lineRule="exact"/>
        <w:ind w:firstLine="560"/>
        <w:textAlignment w:val="auto"/>
        <w:rPr>
          <w:rFonts w:cs="Times New Roman"/>
        </w:rPr>
      </w:pPr>
      <w:r>
        <w:rPr>
          <w:rFonts w:hint="eastAsia" w:ascii="楷体_GB2312" w:hAnsi="楷体_GB2312" w:eastAsia="楷体_GB2312" w:cs="楷体_GB2312"/>
          <w:sz w:val="24"/>
          <w:szCs w:val="24"/>
        </w:rPr>
        <w:t>备注：针对远郊村存在建设用地分散，区域基础设施薄弱等问题，优先选取村级闲置校舍、文化活动室、闲置集体厂房等现有空间，将其纳入 “临时应急避护场所”。此类场所平时保持原有功能，灾时若避护资源无法协调，可快速转换为避护空间。</w:t>
      </w:r>
      <w:bookmarkStart w:id="105" w:name="_Hlk209200587"/>
      <w:r>
        <w:rPr>
          <w:rFonts w:hint="eastAsia" w:ascii="楷体_GB2312" w:hAnsi="楷体_GB2312" w:eastAsia="楷体_GB2312" w:cs="楷体_GB2312"/>
          <w:sz w:val="24"/>
          <w:szCs w:val="24"/>
        </w:rPr>
        <w:t>中新镇选取联安村新屋仔祠堂、新围村篮球场两处场所可作为临时应急避护场所</w:t>
      </w:r>
      <w:r>
        <w:rPr>
          <w:rFonts w:cs="Times New Roman"/>
        </w:rPr>
        <w:t>。</w:t>
      </w:r>
      <w:bookmarkEnd w:id="105"/>
      <w:r>
        <w:rPr>
          <w:rFonts w:cs="Times New Roman"/>
        </w:rPr>
        <w:br w:type="page"/>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outlineLvl w:val="1"/>
        <w:rPr>
          <w:rFonts w:hint="eastAsia" w:ascii="方正小标宋简体" w:hAnsi="方正小标宋简体" w:eastAsia="方正小标宋简体" w:cs="方正小标宋简体"/>
          <w:b w:val="0"/>
          <w:bCs w:val="0"/>
          <w:sz w:val="44"/>
          <w:szCs w:val="44"/>
        </w:rPr>
      </w:pPr>
      <w:bookmarkStart w:id="106" w:name="_Toc215490522"/>
      <w:r>
        <w:rPr>
          <w:rFonts w:hint="eastAsia" w:ascii="方正小标宋简体" w:hAnsi="方正小标宋简体" w:eastAsia="方正小标宋简体" w:cs="方正小标宋简体"/>
          <w:b w:val="0"/>
          <w:bCs w:val="0"/>
          <w:sz w:val="44"/>
          <w:szCs w:val="44"/>
        </w:rPr>
        <w:t>派潭镇应急避护场所规划一览表</w:t>
      </w:r>
      <w:bookmarkEnd w:id="106"/>
      <w:bookmarkStart w:id="107" w:name="_Hlk209111272"/>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pPr>
    </w:p>
    <w:tbl>
      <w:tblPr>
        <w:tblStyle w:val="51"/>
        <w:tblW w:w="9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800"/>
        <w:gridCol w:w="675"/>
        <w:gridCol w:w="1010"/>
        <w:gridCol w:w="590"/>
        <w:gridCol w:w="785"/>
        <w:gridCol w:w="688"/>
        <w:gridCol w:w="723"/>
        <w:gridCol w:w="873"/>
        <w:gridCol w:w="968"/>
        <w:gridCol w:w="832"/>
        <w:gridCol w:w="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blHeader/>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序号</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级别</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类型</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名称</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空间类别</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功能定位</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场所状态</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占地面积（公顷）</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有效避护面积（万平方米）</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其中室内有效避护面积（万平方米）</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可避护人数（万人）</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涉及的限制要素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区级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派潭镇实验学校（东校区）小学部</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85</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52</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97</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56</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白水寨风景名胜区</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77</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11</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高滩小学</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66</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38</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53</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31</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墩头坳小学（增城区派潭镇第二小学</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53</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32</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51</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29</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派潭镇中心小学</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53</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36</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91</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52</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派潭镇应急救援队伍营房固定应急避</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09</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7</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派潭镇七境小学避护场所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82</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82</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8</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派潭镇派潭广场避护场所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8</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9</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派潭镇黄洞村避护场所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10</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派潭镇黄洞小学避护场所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39</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39</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195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11</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派潭镇东洞村避护场所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12</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派潭镇黄沙氹村避护场所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08</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08</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13</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派潭镇黄沙氹村老人活动中心避护场</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14</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派潭镇高滩村避护场所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039</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15</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派潭镇邓路吓村文化活动中心避护场</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039</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16</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派潭镇邓路吓村避护场所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039</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17</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派潭镇樟洞坑村避护场所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18</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派潭镇樟洞坑交易市场避护场所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19</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派潭镇高埔小学避护场所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65</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65</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325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20</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派潭镇高埔村避护场所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045</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21</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派潭镇旧高埔村避护场所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39</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39</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195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22</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派潭镇双头村避护场所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048</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23</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派潭镇围园村避护场所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008</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005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24</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派潭镇鹅兜村避护场所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25</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派潭镇派潭村避护场所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26</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派潭镇大埔村避护场所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27</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派潭镇汉湖村避护场所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035</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28</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派潭镇万能村避护场所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035</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29</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派潭镇水口冚村避护场所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072</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30</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派潭镇湾吓村避护场所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31</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派潭镇湴汾村避护场所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038</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32</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派潭镇小迳村避护场所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045</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33</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派潭镇邓村村避护场所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34</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派潭镇利迳村避护场所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051</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35</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派潭镇大田围村避护场所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36</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派潭镇车洞村避护场所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045</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37</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派潭镇拖罗村避护场所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045</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38</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派潭镇玉枕村避护场所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39</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派潭镇刘家村避护场所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40</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派潭镇密石村避护场所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41</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派潭镇上九陂村避护场所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42</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派潭镇榕树吓村避护场所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01</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43</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派潭镇背阴村避护场所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042</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44</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派潭镇亚如冚村避护场所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12</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12</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45</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派潭镇亚口冚村避护场所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025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46</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派潭镇双合寮村避护场所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06</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47</w:t>
            </w:r>
          </w:p>
        </w:tc>
        <w:tc>
          <w:tcPr>
            <w:tcW w:w="8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101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派潭镇敬老院避护场所</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w:t>
            </w:r>
          </w:p>
        </w:tc>
        <w:tc>
          <w:tcPr>
            <w:tcW w:w="8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25</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bookmarkEnd w:id="107"/>
    </w:tbl>
    <w:p>
      <w:pPr>
        <w:spacing w:line="240" w:lineRule="auto"/>
        <w:ind w:firstLine="0" w:firstLineChars="0"/>
        <w:rPr>
          <w:rFonts w:cs="Times New Roman"/>
          <w:sz w:val="21"/>
        </w:rPr>
      </w:pPr>
      <w:r>
        <w:rPr>
          <w:rFonts w:cs="Times New Roman"/>
          <w:sz w:val="21"/>
        </w:rPr>
        <w:br w:type="page"/>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outlineLvl w:val="1"/>
        <w:rPr>
          <w:rFonts w:hint="eastAsia" w:ascii="方正小标宋简体" w:hAnsi="方正小标宋简体" w:eastAsia="方正小标宋简体" w:cs="方正小标宋简体"/>
          <w:b w:val="0"/>
          <w:bCs w:val="0"/>
          <w:sz w:val="44"/>
          <w:szCs w:val="44"/>
        </w:rPr>
      </w:pPr>
      <w:bookmarkStart w:id="108" w:name="_Toc215490523"/>
      <w:r>
        <w:rPr>
          <w:rFonts w:hint="eastAsia" w:ascii="方正小标宋简体" w:hAnsi="方正小标宋简体" w:eastAsia="方正小标宋简体" w:cs="方正小标宋简体"/>
          <w:b w:val="0"/>
          <w:bCs w:val="0"/>
          <w:sz w:val="44"/>
          <w:szCs w:val="44"/>
        </w:rPr>
        <w:t>正果镇应急避护场所规划一览表</w:t>
      </w:r>
      <w:bookmarkEnd w:id="108"/>
    </w:p>
    <w:tbl>
      <w:tblPr>
        <w:tblStyle w:val="51"/>
        <w:tblpPr w:leftFromText="180" w:rightFromText="180" w:vertAnchor="text" w:horzAnchor="page" w:tblpXSpec="center" w:tblpY="552"/>
        <w:tblOverlap w:val="never"/>
        <w:tblW w:w="91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755"/>
        <w:gridCol w:w="766"/>
        <w:gridCol w:w="968"/>
        <w:gridCol w:w="709"/>
        <w:gridCol w:w="818"/>
        <w:gridCol w:w="709"/>
        <w:gridCol w:w="912"/>
        <w:gridCol w:w="791"/>
        <w:gridCol w:w="872"/>
        <w:gridCol w:w="696"/>
        <w:gridCol w:w="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blHeader/>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序号</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级别</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类型</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名称</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空间类别</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功能</w:t>
            </w:r>
          </w:p>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定位</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场所状态</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占地面积（公顷）</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有效避护面积（万平方米）</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其中室内有效避护面积（万平方米）</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可避护人数（万人）</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涉及的限制要素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区级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正果中学</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79</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49</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96</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镇（街）级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长期</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正果镇文体活动中心</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6</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4</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13</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正果镇正果广场-正果寺应急避护场所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2</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4</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正果镇锦绣星河物业小区应急避护场</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5</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短期</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水围村应急避护场所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6</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和平村井头组广场</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室外</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已建用地新增</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07</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035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7</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白面石村应急避护场所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8</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池田村应急避护场所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9</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大冚村应急避护场所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10</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到蔚村应急避护场所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11</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东汾村应急避护场所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序号</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级别</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类型</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名称</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空间类别</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功能</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定位</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场所状态</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占地面积（公顷）</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有效避护面积（万平方米）</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其中室内有效避护面积（万平方米）</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可避护人数（万人）</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涉及的限制要素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12</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番丰村应急避护场所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13</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圭湖村应急避护场所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14</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合水店村应急避护场所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15</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何屋村应急避护场所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16</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和平村应急避护场所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17</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花园村应急避护场所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18</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黄塘村应急避护场所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19</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黄屋村应急避护场所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20</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兰溪村应急避护场所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21</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浪拔村应急避护场所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22</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亮星村应急避护场所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23</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麻冚村应急避护场所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24</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麦村村应急避护场所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序号</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级别</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类型</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名称</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空间类别</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功能</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定位</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场所状态</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占地面积（公顷）</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有效避护面积（万平方米）</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其中室内有效避护面积（万平方米）</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可避护人数（万人）</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val="0"/>
                <w:bCs w:val="0"/>
                <w:sz w:val="18"/>
                <w:szCs w:val="18"/>
              </w:rPr>
            </w:pPr>
            <w:r>
              <w:rPr>
                <w:rFonts w:hint="eastAsia" w:ascii="黑体" w:hAnsi="黑体" w:eastAsia="黑体" w:cs="黑体"/>
                <w:b w:val="0"/>
                <w:bCs w:val="0"/>
                <w:sz w:val="18"/>
                <w:szCs w:val="18"/>
              </w:rPr>
              <w:t>涉及的限制要素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25</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蒙花布村应急避护场所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26</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庙尾村应急避护场所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27</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畲族村应急避护场所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28</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石溪村应急避护场所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29</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水口村应急避护场所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30</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汀塘村应急避护场所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31</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乌头石村应急避护场所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32</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西湖滩村应急避护场所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33</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银场村应急避护场所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34</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岳村村应急避护场所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35</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正果洋村应急避护场所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36</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社区（村）级</w:t>
            </w:r>
          </w:p>
        </w:tc>
        <w:tc>
          <w:tcPr>
            <w:tcW w:w="76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紧急</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中西村应急避护场所</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室内</w:t>
            </w:r>
          </w:p>
        </w:tc>
        <w:tc>
          <w:tcPr>
            <w:tcW w:w="8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综合型</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现状保留</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79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1</w:t>
            </w:r>
          </w:p>
        </w:tc>
        <w:tc>
          <w:tcPr>
            <w:tcW w:w="87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Times New Roman" w:hAnsi="Times New Roman" w:eastAsia="宋体" w:cs="宋体"/>
                <w:b w:val="0"/>
                <w:bCs w:val="0"/>
                <w:sz w:val="18"/>
                <w:szCs w:val="18"/>
              </w:rPr>
              <w:t>0</w:t>
            </w:r>
            <w:r>
              <w:rPr>
                <w:rFonts w:hint="eastAsia" w:ascii="宋体" w:hAnsi="宋体" w:eastAsia="宋体" w:cs="宋体"/>
                <w:b w:val="0"/>
                <w:bCs w:val="0"/>
                <w:sz w:val="18"/>
                <w:szCs w:val="18"/>
              </w:rPr>
              <w:t>.</w:t>
            </w:r>
            <w:r>
              <w:rPr>
                <w:rFonts w:hint="eastAsia" w:ascii="Times New Roman" w:hAnsi="Times New Roman" w:eastAsia="宋体" w:cs="宋体"/>
                <w:b w:val="0"/>
                <w:bCs w:val="0"/>
                <w:sz w:val="18"/>
                <w:szCs w:val="18"/>
              </w:rPr>
              <w:t>05</w:t>
            </w:r>
          </w:p>
        </w:tc>
        <w:tc>
          <w:tcPr>
            <w:tcW w:w="65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w:t>
            </w:r>
          </w:p>
        </w:tc>
      </w:tr>
    </w:tbl>
    <w:p>
      <w:pPr>
        <w:keepNext w:val="0"/>
        <w:keepLines w:val="0"/>
        <w:pageBreakBefore w:val="0"/>
        <w:widowControl w:val="0"/>
        <w:kinsoku/>
        <w:wordWrap/>
        <w:overflowPunct/>
        <w:topLinePunct w:val="0"/>
        <w:autoSpaceDE/>
        <w:autoSpaceDN/>
        <w:bidi w:val="0"/>
        <w:adjustRightInd/>
        <w:snapToGrid/>
        <w:spacing w:line="500" w:lineRule="exact"/>
        <w:ind w:firstLine="560"/>
        <w:textAlignment w:val="auto"/>
        <w:rPr>
          <w:rFonts w:hint="eastAsia" w:ascii="楷体_GB2312" w:hAnsi="楷体_GB2312" w:eastAsia="楷体_GB2312" w:cs="楷体_GB2312"/>
          <w:sz w:val="24"/>
          <w:szCs w:val="24"/>
        </w:rPr>
      </w:pPr>
    </w:p>
    <w:p>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00" w:lineRule="exact"/>
        <w:ind w:firstLine="560"/>
        <w:textAlignment w:val="auto"/>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备注：针对远郊村存在建设用地分散，区域基础设施薄弱等问题，优先选取村级闲置校舍、文化活动室、闲置集体厂房等现有空间，将其纳入 “临时应急避护场所”。此类场所平时保持原有功能，灾时若避护资源无法协调，可快速转换为避护空间。</w:t>
      </w:r>
      <w:bookmarkStart w:id="109" w:name="_Hlk209200608"/>
      <w:r>
        <w:rPr>
          <w:rFonts w:hint="eastAsia" w:ascii="楷体_GB2312" w:hAnsi="楷体_GB2312" w:eastAsia="楷体_GB2312" w:cs="楷体_GB2312"/>
          <w:sz w:val="24"/>
          <w:szCs w:val="24"/>
        </w:rPr>
        <w:t>正果镇选取兰溪村水美组篮球场、东汾村新梅坳小广场、浪拔村田寮篮球场、麻冚村河背、长排社祠堂前广场五处场所可作为临时应急避护场所。</w:t>
      </w:r>
    </w:p>
    <w:bookmarkEnd w:id="109"/>
    <w:p>
      <w:pPr>
        <w:keepNext/>
        <w:keepLines/>
        <w:spacing w:before="120" w:after="240"/>
        <w:ind w:firstLine="0" w:firstLineChars="0"/>
        <w:jc w:val="center"/>
        <w:outlineLvl w:val="1"/>
        <w:rPr>
          <w:rFonts w:cs="Times New Roman"/>
          <w:b/>
          <w:bCs/>
          <w:szCs w:val="32"/>
        </w:rPr>
      </w:pPr>
      <w:r>
        <w:rPr>
          <w:rFonts w:cs="Times New Roman"/>
          <w:b/>
          <w:bCs/>
          <w:szCs w:val="32"/>
        </w:rPr>
        <w:br w:type="page"/>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outlineLvl w:val="1"/>
        <w:rPr>
          <w:rFonts w:hint="eastAsia" w:ascii="方正小标宋简体" w:hAnsi="方正小标宋简体" w:eastAsia="方正小标宋简体" w:cs="方正小标宋简体"/>
          <w:b w:val="0"/>
          <w:bCs w:val="0"/>
          <w:sz w:val="44"/>
          <w:szCs w:val="44"/>
        </w:rPr>
      </w:pPr>
      <w:bookmarkStart w:id="110" w:name="_Toc215490524"/>
      <w:r>
        <w:rPr>
          <w:rFonts w:hint="eastAsia" w:ascii="方正小标宋简体" w:hAnsi="方正小标宋简体" w:eastAsia="方正小标宋简体" w:cs="方正小标宋简体"/>
          <w:b w:val="0"/>
          <w:bCs w:val="0"/>
          <w:sz w:val="44"/>
          <w:szCs w:val="44"/>
        </w:rPr>
        <w:t>小楼镇应急避护场所规划一览表</w:t>
      </w:r>
      <w:bookmarkEnd w:id="110"/>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pPr>
    </w:p>
    <w:tbl>
      <w:tblPr>
        <w:tblStyle w:val="51"/>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846"/>
        <w:gridCol w:w="849"/>
        <w:gridCol w:w="1106"/>
        <w:gridCol w:w="655"/>
        <w:gridCol w:w="655"/>
        <w:gridCol w:w="655"/>
        <w:gridCol w:w="776"/>
        <w:gridCol w:w="776"/>
        <w:gridCol w:w="912"/>
        <w:gridCol w:w="859"/>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2" w:hRule="atLeast"/>
          <w:tblHeader/>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序号</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级别</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类型</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名称</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空间类别</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功能定位</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场所状态</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占地面积（公顷）</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有效避护面积（万平方米）</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其中室内有效避护面积（万平方米）</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可避护人数（万人）</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涉及的限制要素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区级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小楼中学</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w:t>
            </w:r>
            <w:r>
              <w:rPr>
                <w:rFonts w:hint="eastAsia" w:ascii="宋体" w:hAnsi="宋体" w:eastAsia="宋体" w:cs="宋体"/>
                <w:sz w:val="18"/>
                <w:szCs w:val="18"/>
              </w:rPr>
              <w:t>.</w:t>
            </w:r>
            <w:r>
              <w:rPr>
                <w:rFonts w:hint="eastAsia" w:ascii="Times New Roman" w:hAnsi="Times New Roman" w:eastAsia="宋体" w:cs="宋体"/>
                <w:sz w:val="18"/>
                <w:szCs w:val="18"/>
              </w:rPr>
              <w:t>84</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52</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97</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56</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小楼镇中心小学</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w:t>
            </w:r>
            <w:r>
              <w:rPr>
                <w:rFonts w:hint="eastAsia" w:ascii="宋体" w:hAnsi="宋体" w:eastAsia="宋体" w:cs="宋体"/>
                <w:sz w:val="18"/>
                <w:szCs w:val="18"/>
              </w:rPr>
              <w:t>.</w:t>
            </w:r>
            <w:r>
              <w:rPr>
                <w:rFonts w:hint="eastAsia" w:ascii="Times New Roman" w:hAnsi="Times New Roman" w:eastAsia="宋体" w:cs="宋体"/>
                <w:sz w:val="18"/>
                <w:szCs w:val="18"/>
              </w:rPr>
              <w:t>25</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69</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65</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38</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洪涝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小楼镇小楼村何仙姑广场</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室外</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4</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4</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小楼镇腊圃村腊圃广场</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室外</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22</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22</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5</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小楼社区防寒避暑应急避护场所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07</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065</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6</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小楼镇黄村村避护场所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7</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小楼镇小楼村避护场所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13</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13</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8</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小楼镇邓山村避护场所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13</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13</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9</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小楼镇沙岗村避护场所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10</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小楼镇二龙村避护场所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11</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小楼镇腊圃村避护场所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12</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小楼镇正隆村避护场所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13</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小楼镇罗坑村避护场所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14</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小楼镇竹坑村避护场所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15</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小楼镇青迳村避护场所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16</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小楼镇长岭村避护场所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15</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195</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0375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17</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小楼镇秀水村避护场所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15</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195</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0375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18</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小楼镇约场村避护场所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15</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195</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0375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19</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小楼镇河洞村避护场所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13</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13</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20</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小楼镇西境村避护场所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15</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195</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0375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21</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小楼镇东境村避护场所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15</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195</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0375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22</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小楼镇庙潭村避护场所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15</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195</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0375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23</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小楼镇西园村避护场所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15</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195</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0375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24</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小楼镇江坳村避护场所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15</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195</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0375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25</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84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小楼镇九益村避护场所</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91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26</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84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bl>
    <w:p>
      <w:pPr>
        <w:keepNext w:val="0"/>
        <w:keepLines w:val="0"/>
        <w:pageBreakBefore w:val="0"/>
        <w:widowControl w:val="0"/>
        <w:kinsoku/>
        <w:wordWrap/>
        <w:overflowPunct/>
        <w:topLinePunct w:val="0"/>
        <w:autoSpaceDE/>
        <w:autoSpaceDN/>
        <w:bidi w:val="0"/>
        <w:adjustRightInd/>
        <w:snapToGrid/>
        <w:spacing w:line="500" w:lineRule="exact"/>
        <w:ind w:firstLine="560"/>
        <w:textAlignment w:val="auto"/>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备注：针对远郊村存在建设用地分散，区域基础设施薄弱等问题，优先选取村级闲置校舍、文化活动室、闲置集体厂房等现有空间，将其纳入 “临时应急避护场所”。此类场所平时保持原有功能，灾时若避护资源无法协调，可快速转换为避护空间。</w:t>
      </w:r>
      <w:bookmarkStart w:id="111" w:name="_Hlk209200642"/>
      <w:r>
        <w:rPr>
          <w:rFonts w:hint="eastAsia" w:ascii="楷体_GB2312" w:hAnsi="楷体_GB2312" w:eastAsia="楷体_GB2312" w:cs="楷体_GB2312"/>
          <w:sz w:val="24"/>
          <w:szCs w:val="24"/>
        </w:rPr>
        <w:t>小楼镇选取二龙村陈村组小广场、黄村村长埔村村民活动中心、竹坑村黄屋组广场三处场所可作为临时应急避护场所。</w:t>
      </w:r>
    </w:p>
    <w:bookmarkEnd w:id="111"/>
    <w:p>
      <w:pPr>
        <w:spacing w:line="240" w:lineRule="auto"/>
        <w:ind w:firstLine="0" w:firstLineChars="0"/>
        <w:rPr>
          <w:rFonts w:cs="Times New Roman"/>
          <w:sz w:val="21"/>
        </w:rPr>
      </w:pPr>
      <w:r>
        <w:rPr>
          <w:rFonts w:cs="Times New Roman"/>
          <w:sz w:val="21"/>
        </w:rPr>
        <w:br w:type="page"/>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outlineLvl w:val="1"/>
        <w:rPr>
          <w:rFonts w:hint="eastAsia" w:ascii="方正小标宋简体" w:hAnsi="方正小标宋简体" w:eastAsia="方正小标宋简体" w:cs="方正小标宋简体"/>
          <w:b w:val="0"/>
          <w:bCs w:val="0"/>
          <w:sz w:val="44"/>
          <w:szCs w:val="44"/>
        </w:rPr>
      </w:pPr>
      <w:bookmarkStart w:id="112" w:name="_Toc215490525"/>
      <w:r>
        <w:rPr>
          <w:rFonts w:hint="eastAsia" w:ascii="方正小标宋简体" w:hAnsi="方正小标宋简体" w:eastAsia="方正小标宋简体" w:cs="方正小标宋简体"/>
          <w:b w:val="0"/>
          <w:bCs w:val="0"/>
          <w:sz w:val="44"/>
          <w:szCs w:val="44"/>
        </w:rPr>
        <w:t>仙村镇应急避护场所规划一览表</w:t>
      </w:r>
      <w:bookmarkEnd w:id="112"/>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pPr>
    </w:p>
    <w:tbl>
      <w:tblPr>
        <w:tblStyle w:val="51"/>
        <w:tblW w:w="9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846"/>
        <w:gridCol w:w="680"/>
        <w:gridCol w:w="1227"/>
        <w:gridCol w:w="608"/>
        <w:gridCol w:w="667"/>
        <w:gridCol w:w="675"/>
        <w:gridCol w:w="785"/>
        <w:gridCol w:w="771"/>
        <w:gridCol w:w="902"/>
        <w:gridCol w:w="727"/>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blHeader/>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序号</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级别</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类型</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名称</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空间类别</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功能定位</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场所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状态</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占地面积（公顷）</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有效避护面积（万平方米）</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其中室内有效避护面积（万平方米）</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可避护人数（万人）</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黑体" w:hAnsi="黑体" w:eastAsia="黑体" w:cs="黑体"/>
                <w:b w:val="0"/>
                <w:bCs w:val="0"/>
                <w:sz w:val="18"/>
                <w:szCs w:val="18"/>
              </w:rPr>
            </w:pPr>
            <w:r>
              <w:rPr>
                <w:rFonts w:hint="eastAsia" w:ascii="黑体" w:hAnsi="黑体" w:eastAsia="黑体" w:cs="黑体"/>
                <w:b w:val="0"/>
                <w:bCs w:val="0"/>
                <w:sz w:val="18"/>
                <w:szCs w:val="18"/>
              </w:rPr>
              <w:t>涉及的限制要素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仙村镇中心小学</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6</w:t>
            </w:r>
            <w:r>
              <w:rPr>
                <w:rFonts w:hint="eastAsia" w:ascii="宋体" w:hAnsi="宋体" w:eastAsia="宋体" w:cs="宋体"/>
                <w:sz w:val="18"/>
                <w:szCs w:val="18"/>
              </w:rPr>
              <w:t>.</w:t>
            </w:r>
            <w:r>
              <w:rPr>
                <w:rFonts w:hint="eastAsia" w:ascii="Times New Roman" w:hAnsi="Times New Roman" w:eastAsia="宋体" w:cs="宋体"/>
                <w:sz w:val="18"/>
                <w:szCs w:val="18"/>
              </w:rPr>
              <w:t>1</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5</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93</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镇（街）级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仙村中学</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5</w:t>
            </w:r>
            <w:r>
              <w:rPr>
                <w:rFonts w:hint="eastAsia" w:ascii="宋体" w:hAnsi="宋体" w:eastAsia="宋体" w:cs="宋体"/>
                <w:sz w:val="18"/>
                <w:szCs w:val="18"/>
              </w:rPr>
              <w:t>.</w:t>
            </w:r>
            <w:r>
              <w:rPr>
                <w:rFonts w:hint="eastAsia" w:ascii="Times New Roman" w:hAnsi="Times New Roman" w:eastAsia="宋体" w:cs="宋体"/>
                <w:sz w:val="18"/>
                <w:szCs w:val="18"/>
              </w:rPr>
              <w:t>65</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w:t>
            </w:r>
            <w:r>
              <w:rPr>
                <w:rFonts w:hint="eastAsia" w:ascii="宋体" w:hAnsi="宋体" w:eastAsia="宋体" w:cs="宋体"/>
                <w:sz w:val="18"/>
                <w:szCs w:val="18"/>
              </w:rPr>
              <w:t>.</w:t>
            </w:r>
            <w:r>
              <w:rPr>
                <w:rFonts w:hint="eastAsia" w:ascii="Times New Roman" w:hAnsi="Times New Roman" w:eastAsia="宋体" w:cs="宋体"/>
                <w:sz w:val="18"/>
                <w:szCs w:val="18"/>
              </w:rPr>
              <w:t>8</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2</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84</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3</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仙村镇第二幼儿园</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73</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62</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52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4</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短期</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广州环投增城环保能源有限公司</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室外</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24</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5</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基岗小学</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41</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25</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15</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125</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6</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仙村第二小学</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w:t>
            </w:r>
            <w:r>
              <w:rPr>
                <w:rFonts w:hint="eastAsia" w:ascii="宋体" w:hAnsi="宋体" w:eastAsia="宋体" w:cs="宋体"/>
                <w:sz w:val="18"/>
                <w:szCs w:val="18"/>
              </w:rPr>
              <w:t>.</w:t>
            </w:r>
            <w:r>
              <w:rPr>
                <w:rFonts w:hint="eastAsia" w:ascii="Times New Roman" w:hAnsi="Times New Roman" w:eastAsia="宋体" w:cs="宋体"/>
                <w:sz w:val="18"/>
                <w:szCs w:val="18"/>
              </w:rPr>
              <w:t>21</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73</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605</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7</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沙头村小学避护场所</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42</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55</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371</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275</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8</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蓝山村避护场所</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42</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55</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376</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275</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9</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沙滘村避护场所</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42</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3</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13</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15</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10</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沙角村避护场所</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08</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025</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11</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潮山村避护场所</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12</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十字滘村避护场所</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007</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13</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岳湖村避护场所</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65</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45</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15</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225</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14</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巷头村避护场所</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15</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竹园村避护场所</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16</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深涌村避护场所</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005</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17</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下境村避护场所</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18</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第二社区避护场所</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03</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015</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19</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下基村避护场所</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04</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20</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第一社区避护场所</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16</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12</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06</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21</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西南村避护场所</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室内</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现状保留</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02</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016</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22</w:t>
            </w:r>
          </w:p>
        </w:tc>
        <w:tc>
          <w:tcPr>
            <w:tcW w:w="8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社区（村）级</w:t>
            </w:r>
          </w:p>
        </w:tc>
        <w:tc>
          <w:tcPr>
            <w:tcW w:w="6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紧急</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招步旧屋街小广场</w:t>
            </w:r>
          </w:p>
        </w:tc>
        <w:tc>
          <w:tcPr>
            <w:tcW w:w="608"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室外</w:t>
            </w:r>
          </w:p>
        </w:tc>
        <w:tc>
          <w:tcPr>
            <w:tcW w:w="66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综合型</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已建用地新增</w:t>
            </w:r>
          </w:p>
        </w:tc>
        <w:tc>
          <w:tcPr>
            <w:tcW w:w="7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1</w:t>
            </w:r>
          </w:p>
        </w:tc>
        <w:tc>
          <w:tcPr>
            <w:tcW w:w="77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05</w:t>
            </w:r>
          </w:p>
        </w:tc>
        <w:tc>
          <w:tcPr>
            <w:tcW w:w="9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Times New Roman" w:hAnsi="Times New Roman" w:eastAsia="宋体" w:cs="宋体"/>
                <w:sz w:val="18"/>
                <w:szCs w:val="18"/>
              </w:rPr>
              <w:t>0</w:t>
            </w:r>
            <w:r>
              <w:rPr>
                <w:rFonts w:hint="eastAsia" w:ascii="宋体" w:hAnsi="宋体" w:eastAsia="宋体" w:cs="宋体"/>
                <w:sz w:val="18"/>
                <w:szCs w:val="18"/>
              </w:rPr>
              <w:t>.</w:t>
            </w:r>
            <w:r>
              <w:rPr>
                <w:rFonts w:hint="eastAsia" w:ascii="Times New Roman" w:hAnsi="Times New Roman" w:eastAsia="宋体" w:cs="宋体"/>
                <w:sz w:val="18"/>
                <w:szCs w:val="18"/>
              </w:rPr>
              <w:t>01</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r>
    </w:tbl>
    <w:p>
      <w:pPr>
        <w:ind w:firstLine="420"/>
        <w:rPr>
          <w:sz w:val="21"/>
        </w:rPr>
      </w:pPr>
    </w:p>
    <w:p>
      <w:pPr>
        <w:spacing w:line="240" w:lineRule="auto"/>
        <w:ind w:firstLine="0" w:firstLineChars="0"/>
        <w:rPr>
          <w:rFonts w:cs="Times New Roman"/>
          <w:sz w:val="21"/>
        </w:rPr>
      </w:pPr>
    </w:p>
    <w:p>
      <w:pPr>
        <w:ind w:firstLine="560"/>
        <w:rPr>
          <w:rFonts w:cs="Times New Roman"/>
        </w:rPr>
      </w:pPr>
      <w:r>
        <w:rPr>
          <w:rFonts w:cs="Times New Roman"/>
        </w:rPr>
        <w:br w:type="page"/>
      </w:r>
    </w:p>
    <w:bookmarkEnd w:id="90"/>
    <w:p>
      <w:pPr>
        <w:pStyle w:val="3"/>
        <w:keepNext w:val="0"/>
        <w:keepLines w:val="0"/>
        <w:pageBreakBefore w:val="0"/>
        <w:widowControl w:val="0"/>
        <w:kinsoku/>
        <w:wordWrap/>
        <w:overflowPunct/>
        <w:topLinePunct w:val="0"/>
        <w:autoSpaceDE/>
        <w:autoSpaceDN/>
        <w:bidi w:val="0"/>
        <w:adjustRightInd/>
        <w:snapToGrid/>
        <w:spacing w:before="0" w:after="0" w:line="570" w:lineRule="exact"/>
        <w:jc w:val="both"/>
        <w:textAlignment w:val="auto"/>
        <w:rPr>
          <w:rFonts w:hint="eastAsia" w:ascii="黑体" w:hAnsi="黑体" w:eastAsia="黑体" w:cs="黑体"/>
          <w:kern w:val="2"/>
        </w:rPr>
      </w:pPr>
      <w:bookmarkStart w:id="113" w:name="_Toc215490526"/>
      <w:r>
        <w:rPr>
          <w:rFonts w:hint="eastAsia" w:ascii="黑体" w:hAnsi="黑体" w:eastAsia="黑体" w:cs="黑体"/>
          <w:kern w:val="2"/>
        </w:rPr>
        <w:t>附图</w:t>
      </w:r>
      <w:bookmarkEnd w:id="113"/>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70" w:lineRule="exact"/>
        <w:ind w:firstLine="562"/>
        <w:jc w:val="center"/>
        <w:textAlignment w:val="auto"/>
        <w:rPr>
          <w:rFonts w:hint="eastAsia" w:ascii="方正小标宋简体" w:hAnsi="方正小标宋简体" w:eastAsia="方正小标宋简体" w:cs="方正小标宋简体"/>
          <w:b w:val="0"/>
          <w:bCs/>
          <w:kern w:val="2"/>
          <w:sz w:val="44"/>
          <w:szCs w:val="44"/>
        </w:rPr>
      </w:pPr>
      <w:r>
        <w:rPr>
          <w:rFonts w:hint="eastAsia" w:ascii="方正小标宋简体" w:hAnsi="方正小标宋简体" w:eastAsia="方正小标宋简体" w:cs="方正小标宋简体"/>
          <w:b w:val="0"/>
          <w:bCs/>
          <w:kern w:val="2"/>
          <w:sz w:val="44"/>
          <w:szCs w:val="44"/>
        </w:rPr>
        <w:t>目录</w:t>
      </w:r>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仿宋_GB2312" w:hAnsi="仿宋_GB2312" w:eastAsia="仿宋_GB2312" w:cs="仿宋_GB2312"/>
          <w:kern w:val="2"/>
          <w:lang w:val="en-US" w:eastAsia="zh-CN"/>
        </w:rPr>
        <w:t>1</w:t>
      </w:r>
      <w:r>
        <w:rPr>
          <w:rFonts w:hint="eastAsia" w:ascii="仿宋_GB2312" w:hAnsi="仿宋_GB2312" w:cs="仿宋_GB2312"/>
          <w:kern w:val="2"/>
          <w:lang w:eastAsia="zh-CN"/>
        </w:rPr>
        <w:t>.</w:t>
      </w:r>
      <w:r>
        <w:rPr>
          <w:rFonts w:hint="eastAsia" w:ascii="仿宋_GB2312" w:hAnsi="仿宋_GB2312" w:eastAsia="仿宋_GB2312" w:cs="仿宋_GB2312"/>
          <w:kern w:val="2"/>
        </w:rPr>
        <w:t>应急避护场所现状图</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2</w:t>
      </w:r>
      <w:r>
        <w:rPr>
          <w:rFonts w:hint="eastAsia" w:ascii="仿宋_GB2312" w:hAnsi="仿宋_GB2312" w:cs="仿宋_GB2312"/>
          <w:kern w:val="2"/>
          <w:lang w:eastAsia="zh-CN"/>
        </w:rPr>
        <w:t>.</w:t>
      </w:r>
      <w:r>
        <w:rPr>
          <w:rFonts w:hint="eastAsia" w:ascii="仿宋_GB2312" w:hAnsi="仿宋_GB2312" w:eastAsia="仿宋_GB2312" w:cs="仿宋_GB2312"/>
          <w:kern w:val="2"/>
        </w:rPr>
        <w:t>长期避护场所规划布局图</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3</w:t>
      </w:r>
      <w:r>
        <w:rPr>
          <w:rFonts w:hint="eastAsia" w:ascii="仿宋_GB2312" w:hAnsi="仿宋_GB2312" w:cs="仿宋_GB2312"/>
          <w:kern w:val="2"/>
          <w:lang w:eastAsia="zh-CN"/>
        </w:rPr>
        <w:t>.</w:t>
      </w:r>
      <w:r>
        <w:rPr>
          <w:rFonts w:hint="eastAsia" w:ascii="仿宋_GB2312" w:hAnsi="仿宋_GB2312" w:eastAsia="仿宋_GB2312" w:cs="仿宋_GB2312"/>
          <w:kern w:val="2"/>
        </w:rPr>
        <w:t>短期避护场所规划布局图</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仿宋_GB2312" w:hAnsi="仿宋_GB2312" w:eastAsia="仿宋_GB2312" w:cs="仿宋_GB2312"/>
          <w:kern w:val="2"/>
        </w:rPr>
      </w:pPr>
      <w:r>
        <w:rPr>
          <w:rFonts w:hint="eastAsia" w:ascii="Times New Roman" w:hAnsi="Times New Roman" w:eastAsia="仿宋_GB2312" w:cs="仿宋_GB2312"/>
          <w:kern w:val="2"/>
        </w:rPr>
        <w:t>4</w:t>
      </w:r>
      <w:r>
        <w:rPr>
          <w:rFonts w:hint="eastAsia" w:ascii="仿宋_GB2312" w:hAnsi="仿宋_GB2312" w:cs="仿宋_GB2312"/>
          <w:kern w:val="2"/>
          <w:lang w:eastAsia="zh-CN"/>
        </w:rPr>
        <w:t>.</w:t>
      </w:r>
      <w:r>
        <w:rPr>
          <w:rFonts w:hint="eastAsia" w:ascii="仿宋_GB2312" w:hAnsi="仿宋_GB2312" w:eastAsia="仿宋_GB2312" w:cs="仿宋_GB2312"/>
          <w:kern w:val="2"/>
        </w:rPr>
        <w:t>紧急避护场所规划布局图</w:t>
      </w:r>
    </w:p>
    <w:p>
      <w:pPr>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cs="Times New Roman"/>
          <w:kern w:val="2"/>
        </w:rPr>
      </w:pPr>
      <w:r>
        <w:rPr>
          <w:rFonts w:hint="eastAsia" w:ascii="Times New Roman" w:hAnsi="Times New Roman" w:eastAsia="仿宋_GB2312" w:cs="仿宋_GB2312"/>
          <w:kern w:val="2"/>
        </w:rPr>
        <w:t>5</w:t>
      </w:r>
      <w:bookmarkStart w:id="114" w:name="OLE_LINK16"/>
      <w:r>
        <w:rPr>
          <w:rFonts w:hint="eastAsia" w:ascii="仿宋_GB2312" w:hAnsi="仿宋_GB2312" w:cs="仿宋_GB2312"/>
          <w:kern w:val="2"/>
          <w:lang w:eastAsia="zh-CN"/>
        </w:rPr>
        <w:t>.</w:t>
      </w:r>
      <w:bookmarkEnd w:id="114"/>
      <w:r>
        <w:rPr>
          <w:rFonts w:hint="eastAsia" w:ascii="仿宋_GB2312" w:hAnsi="仿宋_GB2312" w:eastAsia="仿宋_GB2312" w:cs="仿宋_GB2312"/>
          <w:kern w:val="2"/>
        </w:rPr>
        <w:t>应急交通系统规划图</w:t>
      </w:r>
    </w:p>
    <w:bookmarkEnd w:id="5"/>
    <w:p>
      <w:pPr>
        <w:ind w:firstLine="560"/>
        <w:rPr>
          <w:rFonts w:cs="Times New Roman"/>
        </w:rPr>
      </w:pPr>
    </w:p>
    <w:p>
      <w:pPr>
        <w:pStyle w:val="2"/>
        <w:rPr>
          <w:rFonts w:cs="Times New Roman"/>
        </w:rPr>
      </w:pPr>
    </w:p>
    <w:p>
      <w:pPr>
        <w:rPr>
          <w:rFonts w:cs="Times New Roman"/>
        </w:rPr>
      </w:pPr>
    </w:p>
    <w:p>
      <w:pPr>
        <w:pStyle w:val="2"/>
        <w:rPr>
          <w:rFonts w:cs="Times New Roman"/>
        </w:rPr>
      </w:pPr>
    </w:p>
    <w:p>
      <w:pPr>
        <w:rPr>
          <w:rFonts w:cs="Times New Roman"/>
        </w:rPr>
      </w:pPr>
    </w:p>
    <w:p>
      <w:pPr>
        <w:pStyle w:val="2"/>
        <w:rPr>
          <w:rFonts w:cs="Times New Roman"/>
        </w:rPr>
      </w:pPr>
    </w:p>
    <w:p>
      <w:pPr>
        <w:rPr>
          <w:rFonts w:cs="Times New Roman"/>
        </w:rPr>
      </w:pPr>
    </w:p>
    <w:p>
      <w:pPr>
        <w:pStyle w:val="2"/>
        <w:rPr>
          <w:rFonts w:cs="Times New Roman"/>
        </w:rPr>
      </w:pPr>
    </w:p>
    <w:p>
      <w:pPr>
        <w:rPr>
          <w:rFonts w:cs="Times New Roman"/>
        </w:rPr>
      </w:pPr>
    </w:p>
    <w:p>
      <w:pPr>
        <w:pStyle w:val="2"/>
      </w:pPr>
      <w:r>
        <w:rPr>
          <w:rFonts w:cs="Times New Roman"/>
        </w:rPr>
        <w:drawing>
          <wp:anchor distT="0" distB="0" distL="0" distR="0" simplePos="0" relativeHeight="251659264" behindDoc="0" locked="0" layoutInCell="1" allowOverlap="1">
            <wp:simplePos x="0" y="0"/>
            <wp:positionH relativeFrom="column">
              <wp:posOffset>-22225</wp:posOffset>
            </wp:positionH>
            <wp:positionV relativeFrom="paragraph">
              <wp:posOffset>107315</wp:posOffset>
            </wp:positionV>
            <wp:extent cx="5770245" cy="7882890"/>
            <wp:effectExtent l="0" t="0" r="1905" b="3810"/>
            <wp:wrapNone/>
            <wp:docPr id="213895306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53065" name="图片 8"/>
                    <pic:cNvPicPr>
                      <a:picLocks noChangeAspect="1" noChangeArrowheads="1"/>
                    </pic:cNvPicPr>
                  </pic:nvPicPr>
                  <pic:blipFill>
                    <a:blip r:embed="rId14" cstate="print">
                      <a:extLst>
                        <a:ext uri="{28A0092B-C50C-407E-A947-70E740481C1C}">
                          <a14:useLocalDpi xmlns:a14="http://schemas.microsoft.com/office/drawing/2010/main" val="0"/>
                        </a:ext>
                      </a:extLst>
                    </a:blip>
                    <a:srcRect t="2635" b="796"/>
                    <a:stretch>
                      <a:fillRect/>
                    </a:stretch>
                  </pic:blipFill>
                  <pic:spPr>
                    <a:xfrm>
                      <a:off x="0" y="0"/>
                      <a:ext cx="5770245" cy="7882890"/>
                    </a:xfrm>
                    <a:prstGeom prst="rect">
                      <a:avLst/>
                    </a:prstGeom>
                    <a:noFill/>
                    <a:ln>
                      <a:noFill/>
                    </a:ln>
                  </pic:spPr>
                </pic:pic>
              </a:graphicData>
            </a:graphic>
          </wp:anchor>
        </w:drawing>
      </w:r>
    </w:p>
    <w:p>
      <w:pPr>
        <w:rPr>
          <w:rFonts w:cs="Times New Roman"/>
        </w:rPr>
      </w:pPr>
    </w:p>
    <w:p>
      <w:pPr>
        <w:pStyle w:val="2"/>
      </w:pPr>
    </w:p>
    <w:p>
      <w:pPr>
        <w:rPr>
          <w:rFonts w:cs="Times New Roman"/>
        </w:rPr>
      </w:pPr>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eastAsia="仿宋_GB2312" w:cs="Times New Roman"/>
          <w:lang w:eastAsia="zh-CN"/>
        </w:rPr>
      </w:pP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cs="Times New Roman"/>
        </w:rPr>
      </w:pPr>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cs="Times New Roman"/>
        </w:rPr>
      </w:pP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cs="Times New Roman"/>
        </w:rPr>
      </w:pPr>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cs="Times New Roman"/>
        </w:rPr>
      </w:pP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cs="Times New Roman"/>
        </w:rPr>
      </w:pPr>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cs="Times New Roman"/>
        </w:rPr>
      </w:pP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cs="Times New Roman"/>
        </w:rPr>
      </w:pPr>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cs="Times New Roman"/>
        </w:rPr>
      </w:pP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cs="Times New Roman"/>
        </w:rPr>
      </w:pPr>
    </w:p>
    <w:p>
      <w:pPr>
        <w:pStyle w:val="2"/>
        <w:rPr>
          <w:rFonts w:cs="Times New Roman"/>
        </w:rPr>
      </w:pPr>
    </w:p>
    <w:p>
      <w:pPr>
        <w:rPr>
          <w:rFonts w:cs="Times New Roman"/>
        </w:rPr>
      </w:pPr>
    </w:p>
    <w:p>
      <w:pPr>
        <w:pStyle w:val="2"/>
        <w:rPr>
          <w:rFonts w:cs="Times New Roman"/>
        </w:rPr>
      </w:pPr>
    </w:p>
    <w:p/>
    <w:p>
      <w:pPr>
        <w:pStyle w:val="2"/>
      </w:pPr>
      <w:r>
        <w:rPr>
          <w:rFonts w:cs="Times New Roman"/>
        </w:rPr>
        <w:drawing>
          <wp:anchor distT="0" distB="0" distL="0" distR="0" simplePos="0" relativeHeight="251660288" behindDoc="0" locked="0" layoutInCell="1" allowOverlap="1">
            <wp:simplePos x="0" y="0"/>
            <wp:positionH relativeFrom="column">
              <wp:posOffset>10160</wp:posOffset>
            </wp:positionH>
            <wp:positionV relativeFrom="paragraph">
              <wp:posOffset>104140</wp:posOffset>
            </wp:positionV>
            <wp:extent cx="5626735" cy="7696835"/>
            <wp:effectExtent l="0" t="0" r="12065" b="18415"/>
            <wp:wrapNone/>
            <wp:docPr id="175328673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286736" name="图片 10"/>
                    <pic:cNvPicPr>
                      <a:picLocks noChangeAspect="1" noChangeArrowheads="1"/>
                    </pic:cNvPicPr>
                  </pic:nvPicPr>
                  <pic:blipFill>
                    <a:blip r:embed="rId15" cstate="print">
                      <a:extLst>
                        <a:ext uri="{28A0092B-C50C-407E-A947-70E740481C1C}">
                          <a14:useLocalDpi xmlns:a14="http://schemas.microsoft.com/office/drawing/2010/main" val="0"/>
                        </a:ext>
                      </a:extLst>
                    </a:blip>
                    <a:srcRect t="2534" b="740"/>
                    <a:stretch>
                      <a:fillRect/>
                    </a:stretch>
                  </pic:blipFill>
                  <pic:spPr>
                    <a:xfrm>
                      <a:off x="0" y="0"/>
                      <a:ext cx="5626735" cy="7696835"/>
                    </a:xfrm>
                    <a:prstGeom prst="rect">
                      <a:avLst/>
                    </a:prstGeom>
                    <a:noFill/>
                    <a:ln>
                      <a:noFill/>
                    </a:ln>
                  </pic:spPr>
                </pic:pic>
              </a:graphicData>
            </a:graphic>
          </wp:anchor>
        </w:drawing>
      </w:r>
    </w:p>
    <w:p/>
    <w:p>
      <w:pPr>
        <w:pStyle w:val="2"/>
      </w:pPr>
    </w:p>
    <w:p/>
    <w:p>
      <w:pPr>
        <w:pStyle w:val="2"/>
      </w:pPr>
    </w:p>
    <w:p/>
    <w:p>
      <w:pPr>
        <w:pStyle w:val="2"/>
      </w:pPr>
    </w:p>
    <w:p/>
    <w:p>
      <w:pPr>
        <w:pStyle w:val="2"/>
      </w:pPr>
    </w:p>
    <w:p/>
    <w:p>
      <w:pPr>
        <w:pStyle w:val="2"/>
      </w:pPr>
    </w:p>
    <w:p/>
    <w:p>
      <w:pPr>
        <w:pStyle w:val="2"/>
      </w:pPr>
    </w:p>
    <w:p/>
    <w:p>
      <w:pPr>
        <w:pStyle w:val="2"/>
      </w:pPr>
      <w:r>
        <w:rPr>
          <w:rFonts w:cs="Times New Roman"/>
        </w:rPr>
        <w:drawing>
          <wp:anchor distT="0" distB="0" distL="0" distR="0" simplePos="0" relativeHeight="251661312" behindDoc="0" locked="0" layoutInCell="1" allowOverlap="1">
            <wp:simplePos x="0" y="0"/>
            <wp:positionH relativeFrom="column">
              <wp:posOffset>100965</wp:posOffset>
            </wp:positionH>
            <wp:positionV relativeFrom="paragraph">
              <wp:posOffset>366395</wp:posOffset>
            </wp:positionV>
            <wp:extent cx="5469890" cy="7478395"/>
            <wp:effectExtent l="0" t="0" r="16510" b="8255"/>
            <wp:wrapNone/>
            <wp:docPr id="198559550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595501" name="图片 12"/>
                    <pic:cNvPicPr>
                      <a:picLocks noChangeAspect="1" noChangeArrowheads="1"/>
                    </pic:cNvPicPr>
                  </pic:nvPicPr>
                  <pic:blipFill>
                    <a:blip r:embed="rId16" cstate="print">
                      <a:extLst>
                        <a:ext uri="{28A0092B-C50C-407E-A947-70E740481C1C}">
                          <a14:useLocalDpi xmlns:a14="http://schemas.microsoft.com/office/drawing/2010/main" val="0"/>
                        </a:ext>
                      </a:extLst>
                    </a:blip>
                    <a:srcRect t="2534" b="798"/>
                    <a:stretch>
                      <a:fillRect/>
                    </a:stretch>
                  </pic:blipFill>
                  <pic:spPr>
                    <a:xfrm>
                      <a:off x="0" y="0"/>
                      <a:ext cx="5469890" cy="7478395"/>
                    </a:xfrm>
                    <a:prstGeom prst="rect">
                      <a:avLst/>
                    </a:prstGeom>
                    <a:noFill/>
                    <a:ln>
                      <a:noFill/>
                    </a:ln>
                  </pic:spPr>
                </pic:pic>
              </a:graphicData>
            </a:graphic>
          </wp:anchor>
        </w:drawing>
      </w:r>
    </w:p>
    <w:p/>
    <w:p>
      <w:pPr>
        <w:pStyle w:val="2"/>
      </w:pPr>
    </w:p>
    <w:p/>
    <w:p>
      <w:pPr>
        <w:pStyle w:val="2"/>
      </w:pPr>
    </w:p>
    <w:p/>
    <w:p>
      <w:pPr>
        <w:pStyle w:val="2"/>
      </w:pPr>
    </w:p>
    <w:p/>
    <w:p>
      <w:pPr>
        <w:pStyle w:val="2"/>
      </w:pPr>
    </w:p>
    <w:p/>
    <w:p>
      <w:pPr>
        <w:pStyle w:val="2"/>
      </w:pPr>
    </w:p>
    <w:p/>
    <w:p>
      <w:pPr>
        <w:pStyle w:val="2"/>
      </w:pPr>
    </w:p>
    <w:p/>
    <w:p>
      <w:pPr>
        <w:pStyle w:val="2"/>
      </w:pPr>
      <w:r>
        <w:rPr>
          <w:rFonts w:cs="Times New Roman"/>
        </w:rPr>
        <w:drawing>
          <wp:anchor distT="0" distB="0" distL="0" distR="0" simplePos="0" relativeHeight="251662336" behindDoc="0" locked="0" layoutInCell="1" allowOverlap="1">
            <wp:simplePos x="0" y="0"/>
            <wp:positionH relativeFrom="column">
              <wp:posOffset>48895</wp:posOffset>
            </wp:positionH>
            <wp:positionV relativeFrom="paragraph">
              <wp:posOffset>173990</wp:posOffset>
            </wp:positionV>
            <wp:extent cx="5557520" cy="7621270"/>
            <wp:effectExtent l="0" t="0" r="5080" b="17780"/>
            <wp:wrapNone/>
            <wp:docPr id="114315967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159671" name="图片 14"/>
                    <pic:cNvPicPr>
                      <a:picLocks noChangeAspect="1" noChangeArrowheads="1"/>
                    </pic:cNvPicPr>
                  </pic:nvPicPr>
                  <pic:blipFill>
                    <a:blip r:embed="rId17" cstate="print">
                      <a:extLst>
                        <a:ext uri="{28A0092B-C50C-407E-A947-70E740481C1C}">
                          <a14:useLocalDpi xmlns:a14="http://schemas.microsoft.com/office/drawing/2010/main" val="0"/>
                        </a:ext>
                      </a:extLst>
                    </a:blip>
                    <a:srcRect t="2230" b="808"/>
                    <a:stretch>
                      <a:fillRect/>
                    </a:stretch>
                  </pic:blipFill>
                  <pic:spPr>
                    <a:xfrm>
                      <a:off x="0" y="0"/>
                      <a:ext cx="5557520" cy="7621270"/>
                    </a:xfrm>
                    <a:prstGeom prst="rect">
                      <a:avLst/>
                    </a:prstGeom>
                    <a:noFill/>
                    <a:ln>
                      <a:noFill/>
                    </a:ln>
                  </pic:spPr>
                </pic:pic>
              </a:graphicData>
            </a:graphic>
          </wp:anchor>
        </w:drawing>
      </w:r>
    </w:p>
    <w:p/>
    <w:p>
      <w:pPr>
        <w:pStyle w:val="2"/>
      </w:pPr>
    </w:p>
    <w:p/>
    <w:p>
      <w:pPr>
        <w:pStyle w:val="2"/>
      </w:pPr>
    </w:p>
    <w:p/>
    <w:p>
      <w:pPr>
        <w:pStyle w:val="2"/>
      </w:pPr>
    </w:p>
    <w:p/>
    <w:p>
      <w:pPr>
        <w:pStyle w:val="2"/>
      </w:pPr>
    </w:p>
    <w:p/>
    <w:p>
      <w:pPr>
        <w:pStyle w:val="2"/>
      </w:pPr>
    </w:p>
    <w:p/>
    <w:p>
      <w:pPr>
        <w:pStyle w:val="2"/>
      </w:pPr>
    </w:p>
    <w:p/>
    <w:p>
      <w:pPr>
        <w:pStyle w:val="2"/>
      </w:pPr>
      <w:r>
        <w:rPr>
          <w:rFonts w:cs="Times New Roman"/>
        </w:rPr>
        <w:drawing>
          <wp:anchor distT="0" distB="0" distL="0" distR="0" simplePos="0" relativeHeight="251663360" behindDoc="0" locked="0" layoutInCell="1" allowOverlap="1">
            <wp:simplePos x="0" y="0"/>
            <wp:positionH relativeFrom="column">
              <wp:posOffset>55880</wp:posOffset>
            </wp:positionH>
            <wp:positionV relativeFrom="paragraph">
              <wp:posOffset>124460</wp:posOffset>
            </wp:positionV>
            <wp:extent cx="5624195" cy="7693660"/>
            <wp:effectExtent l="0" t="0" r="14605" b="2540"/>
            <wp:wrapNone/>
            <wp:docPr id="3462663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26630" name="图片 16"/>
                    <pic:cNvPicPr>
                      <a:picLocks noChangeAspect="1" noChangeArrowheads="1"/>
                    </pic:cNvPicPr>
                  </pic:nvPicPr>
                  <pic:blipFill>
                    <a:blip r:embed="rId18" cstate="print">
                      <a:extLst>
                        <a:ext uri="{28A0092B-C50C-407E-A947-70E740481C1C}">
                          <a14:useLocalDpi xmlns:a14="http://schemas.microsoft.com/office/drawing/2010/main" val="0"/>
                        </a:ext>
                      </a:extLst>
                    </a:blip>
                    <a:srcRect t="2434" b="840"/>
                    <a:stretch>
                      <a:fillRect/>
                    </a:stretch>
                  </pic:blipFill>
                  <pic:spPr>
                    <a:xfrm>
                      <a:off x="0" y="0"/>
                      <a:ext cx="5624195" cy="7693660"/>
                    </a:xfrm>
                    <a:prstGeom prst="rect">
                      <a:avLst/>
                    </a:prstGeom>
                    <a:noFill/>
                    <a:ln>
                      <a:noFill/>
                    </a:ln>
                  </pic:spPr>
                </pic:pic>
              </a:graphicData>
            </a:graphic>
          </wp:anchor>
        </w:drawing>
      </w:r>
    </w:p>
    <w:p/>
    <w:p>
      <w:pPr>
        <w:pStyle w:val="2"/>
      </w:pPr>
    </w:p>
    <w:p/>
    <w:p>
      <w:pPr>
        <w:pStyle w:val="2"/>
      </w:pPr>
    </w:p>
    <w:p/>
    <w:p>
      <w:pPr>
        <w:pStyle w:val="2"/>
      </w:pPr>
    </w:p>
    <w:p/>
    <w:p>
      <w:pPr>
        <w:pStyle w:val="2"/>
      </w:pPr>
    </w:p>
    <w:p/>
    <w:p>
      <w:pPr>
        <w:pStyle w:val="2"/>
      </w:pPr>
    </w:p>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pStyle w:val="2"/>
        <w:ind w:left="0" w:leftChars="0" w:firstLine="0" w:firstLineChars="0"/>
      </w:pPr>
    </w:p>
    <w:p/>
    <w:p>
      <w:pPr>
        <w:keepNext w:val="0"/>
        <w:keepLines w:val="0"/>
        <w:pageBreakBefore w:val="0"/>
        <w:widowControl w:val="0"/>
        <w:kinsoku/>
        <w:wordWrap/>
        <w:overflowPunct/>
        <w:topLinePunct w:val="0"/>
        <w:autoSpaceDE/>
        <w:autoSpaceDN/>
        <w:bidi w:val="0"/>
        <w:adjustRightInd/>
        <w:snapToGrid/>
        <w:spacing w:line="570" w:lineRule="exact"/>
        <w:ind w:left="0" w:leftChars="0" w:firstLine="0"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公开方式：</w:t>
      </w:r>
      <w:r>
        <w:rPr>
          <w:rFonts w:hint="eastAsia" w:ascii="Times New Roman" w:hAnsi="Times New Roman" w:eastAsia="仿宋_GB2312" w:cs="Times New Roman"/>
          <w:sz w:val="32"/>
          <w:szCs w:val="32"/>
          <w:lang w:eastAsia="zh-CN"/>
        </w:rPr>
        <w:t>主动</w:t>
      </w:r>
      <w:r>
        <w:rPr>
          <w:rFonts w:hint="default" w:ascii="Times New Roman" w:hAnsi="Times New Roman" w:eastAsia="仿宋_GB2312" w:cs="Times New Roman"/>
          <w:sz w:val="32"/>
          <w:szCs w:val="32"/>
          <w:lang w:eastAsia="zh-CN"/>
        </w:rPr>
        <w:t>公开</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仿宋_GB2312" w:cs="Times New Roman"/>
          <w:sz w:val="32"/>
          <w:szCs w:val="32"/>
          <w:lang w:eastAsia="zh-CN"/>
        </w:rPr>
      </w:pPr>
    </w:p>
    <w:p>
      <w:pPr>
        <w:pStyle w:val="20"/>
        <w:keepNext w:val="0"/>
        <w:keepLines w:val="0"/>
        <w:pageBreakBefore w:val="0"/>
        <w:widowControl w:val="0"/>
        <w:kinsoku/>
        <w:wordWrap/>
        <w:overflowPunct/>
        <w:topLinePunct w:val="0"/>
        <w:autoSpaceDE/>
        <w:autoSpaceDN/>
        <w:bidi w:val="0"/>
        <w:adjustRightInd w:val="0"/>
        <w:snapToGrid/>
        <w:spacing w:before="0" w:beforeAutospacing="0" w:line="240" w:lineRule="auto"/>
        <w:ind w:left="1133" w:leftChars="119" w:right="303" w:rightChars="96" w:hanging="757" w:hangingChars="274"/>
        <w:textAlignment w:val="baseline"/>
        <w:rPr>
          <w:rFonts w:hint="default"/>
          <w:lang w:val="en-US" w:eastAsia="zh-CN"/>
        </w:rPr>
      </w:pPr>
      <w:r>
        <w:rPr>
          <w:rFonts w:hint="eastAsia" w:ascii="仿宋_GB2312" w:hAnsi="仿宋_GB2312" w:eastAsia="仿宋_GB2312" w:cs="仿宋_GB2312"/>
          <w:color w:val="auto"/>
          <w:sz w:val="28"/>
          <w:szCs w:val="28"/>
          <w:lang w:eastAsia="zh-CN"/>
        </w:rPr>
        <w:t>抄送：区委、</w:t>
      </w:r>
      <w:r>
        <w:rPr>
          <w:rFonts w:hint="eastAsia" w:ascii="仿宋_GB2312" w:hAnsi="仿宋_GB2312" w:eastAsia="仿宋_GB2312" w:cs="仿宋_GB2312"/>
          <w:color w:val="auto"/>
          <w:sz w:val="28"/>
          <w:szCs w:val="28"/>
          <w:lang w:val="en-US" w:eastAsia="zh-CN"/>
        </w:rPr>
        <w:t>开发区党工委、区人大、区政府、开发区管委会、区政协领导同志及开发区管委会、区纪委监委负责同志，区委</w:t>
      </w:r>
      <w:r>
        <w:rPr>
          <w:rFonts w:hint="eastAsia" w:ascii="仿宋_GB2312" w:hAnsi="仿宋_GB2312" w:eastAsia="仿宋_GB2312" w:cs="仿宋_GB2312"/>
          <w:color w:val="auto"/>
          <w:sz w:val="28"/>
          <w:szCs w:val="28"/>
          <w:lang w:eastAsia="zh-CN"/>
        </w:rPr>
        <w:t>各</w:t>
      </w:r>
      <w:r>
        <w:rPr>
          <w:rFonts w:hint="eastAsia" w:ascii="仿宋_GB2312" w:hAnsi="仿宋_GB2312" w:eastAsia="仿宋_GB2312" w:cs="仿宋_GB2312"/>
          <w:color w:val="auto"/>
          <w:sz w:val="28"/>
          <w:szCs w:val="28"/>
          <w:lang w:val="en-US" w:eastAsia="zh-CN"/>
        </w:rPr>
        <w:t>部</w:t>
      </w:r>
      <w:r>
        <w:rPr>
          <w:rFonts w:hint="eastAsia" w:ascii="仿宋_GB2312" w:hAnsi="仿宋_GB2312" w:eastAsia="仿宋_GB2312" w:cs="仿宋_GB2312"/>
          <w:color w:val="auto"/>
          <w:sz w:val="28"/>
          <w:szCs w:val="28"/>
          <w:lang w:eastAsia="zh-CN"/>
        </w:rPr>
        <w:t>委办，区人大办，</w:t>
      </w:r>
      <w:r>
        <w:rPr>
          <w:rFonts w:hint="eastAsia" w:ascii="仿宋_GB2312" w:hAnsi="仿宋_GB2312" w:eastAsia="仿宋_GB2312" w:cs="仿宋_GB2312"/>
          <w:color w:val="auto"/>
          <w:sz w:val="28"/>
          <w:szCs w:val="28"/>
          <w:lang w:val="en-US" w:eastAsia="zh-CN"/>
        </w:rPr>
        <w:t>区</w:t>
      </w:r>
      <w:r>
        <w:rPr>
          <w:rFonts w:hint="eastAsia" w:ascii="仿宋_GB2312" w:hAnsi="仿宋_GB2312" w:eastAsia="仿宋_GB2312" w:cs="仿宋_GB2312"/>
          <w:color w:val="auto"/>
          <w:sz w:val="28"/>
          <w:szCs w:val="28"/>
          <w:lang w:eastAsia="zh-CN"/>
        </w:rPr>
        <w:t>政协办，</w:t>
      </w:r>
      <w:r>
        <w:rPr>
          <w:rFonts w:hint="eastAsia" w:ascii="仿宋_GB2312" w:hAnsi="仿宋_GB2312" w:eastAsia="仿宋_GB2312" w:cs="仿宋_GB2312"/>
          <w:color w:val="auto"/>
          <w:sz w:val="28"/>
          <w:szCs w:val="28"/>
          <w:lang w:val="en-US" w:eastAsia="zh-CN"/>
        </w:rPr>
        <w:t>区人武部，区法院，区检察院，</w:t>
      </w:r>
      <w:r>
        <w:rPr>
          <w:rFonts w:hint="eastAsia" w:ascii="仿宋_GB2312" w:hAnsi="仿宋_GB2312" w:eastAsia="仿宋_GB2312" w:cs="仿宋_GB2312"/>
          <w:color w:val="auto"/>
          <w:sz w:val="28"/>
          <w:szCs w:val="28"/>
          <w:lang w:eastAsia="zh-CN"/>
        </w:rPr>
        <w:t>各人民团体。</w:t>
      </w:r>
    </w:p>
    <w:sectPr>
      <w:footerReference r:id="rId12" w:type="first"/>
      <w:footerReference r:id="rId10" w:type="default"/>
      <w:footerReference r:id="rId11" w:type="even"/>
      <w:pgSz w:w="11906" w:h="16838"/>
      <w:pgMar w:top="2098" w:right="1474" w:bottom="1984" w:left="1588" w:header="851" w:footer="1757" w:gutter="0"/>
      <w:pgNumType w:fmt="decimal" w:start="6"/>
      <w:cols w:space="0" w:num="1"/>
      <w:titlePg/>
      <w:rtlGutter w:val="0"/>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 GB2312">
    <w:altName w:val="仿宋"/>
    <w:panose1 w:val="00000000000000000000"/>
    <w:charset w:val="86"/>
    <w:family w:val="roman"/>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jc w:val="center"/>
    </w:pPr>
    <w:r>
      <w:rPr>
        <w:sz w:val="18"/>
      </w:rPr>
      <mc:AlternateContent>
        <mc:Choice Requires="wps">
          <w:drawing>
            <wp:anchor distT="0" distB="0" distL="114300" distR="114300" simplePos="0" relativeHeight="251662336" behindDoc="0" locked="0" layoutInCell="1" allowOverlap="1">
              <wp:simplePos x="0" y="0"/>
              <wp:positionH relativeFrom="margin">
                <wp:posOffset>4817745</wp:posOffset>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ind w:left="0" w:leftChars="0" w:firstLine="0" w:firstLineChars="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III</w:t>
                          </w:r>
                          <w:r>
                            <w:rPr>
                              <w:rFonts w:hint="default" w:ascii="Times New Roman" w:hAnsi="Times New Roman" w:eastAsia="宋体" w:cs="Times New Roman"/>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9.35pt;margin-top:0pt;height:144pt;width:144pt;mso-position-horizontal-relative:margin;mso-wrap-style:none;z-index:251662336;mso-width-relative:page;mso-height-relative:page;" filled="f" stroked="f" coordsize="21600,21600" o:gfxdata="UEsDBAoAAAAAAIdO4kAAAAAAAAAAAAAAAAAEAAAAZHJzL1BLAwQUAAAACACHTuJAeUGp79UAAAAJ&#10;AQAADwAAAGRycy9kb3ducmV2LnhtbE2PwU7DMBBE70j8g7VI3KjdUtooZFOJinBEouHA0Y2XJBCv&#10;I9tNw9/jnuA4mtHMm2I320FM5EPvGGG5UCCIG2d6bhHe6+ouAxGiZqMHx4TwQwF25fVVoXPjzvxG&#10;0yG2IpVwyDVCF+OYSxmajqwOCzcSJ+/Teatjkr6VxutzKreDXCm1kVb3nBY6PdK+o+b7cLII+6qu&#10;/UTBDx/0Ut1/vT6t6XlGvL1ZqkcQkeb4F4YLfkKHMjEd3YlNEAPC9iHbpihCenSx1XqT9BFhlWUK&#10;ZFnI/w/KX1BLAwQUAAAACACHTuJAqaivlTECAABjBAAADgAAAGRycy9lMm9Eb2MueG1srVRLjhMx&#10;EN0jcQfLe9JJEKMoSmcUJgpCipiRAmLtuN1pS/7JdtIdDgA3YMWGPefKOXjuTwYNLGbBxl12lV/5&#10;varqxW2jFTkJH6Q1OZ2MxpQIw20hzSGnnz5uXs0oCZGZgilrRE7PItDb5csXi9rNxdRWVhXCE4CY&#10;MK9dTqsY3TzLAq+EZmFknTBwltZrFrH1h6zwrAa6Vtl0PL7JausL5y0XIeB03Tlpj+ifA2jLUnKx&#10;tvyohYkdqheKRVAKlXSBLtvXlqXg8b4sg4hE5RRMY7siCex9WrPlgs0PnrlK8v4J7DlPeMJJM2mQ&#10;9Aq1ZpGRo5d/QWnJvQ22jCNuddYRaRUBi8n4iTa7ijnRcoHUwV1FD/8Pln84PXgiC3QCJDFMo+KX&#10;798uP35dfn4lOINAtQtzxO0cImPz1jYIHs4DDhPvpvQ6fcGIwA+s81Ve0UTC06XZdDYbw8XhGzbA&#10;zx6vOx/iO2E1SUZOPerXyspO2xC70CEkZTN2I5Vqa6gMqXN68/rNuL1w9QBcGeRIJLrHJis2+6Zn&#10;trfFGcS87XojOL6RSL5lIT4wj2bAgzEu8R5LqSyS2N6ipLL+y7/OUzxqBC8lNZorpwazRIl6b1A7&#10;AMbB8IOxHwxz1HcW3TrBGDremrjgoxrM0lv9GTO0SjngYoYjU07jYN7FrsExg1ysVm3Q0Xl5qLoL&#10;6DzH4tbsHE9pkpDBrY4RYrYaJ4E6VXrd0Httlfo5Sc39576Nevw3L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eUGp79UAAAAJAQAADwAAAAAAAAABACAAAAAiAAAAZHJzL2Rvd25yZXYueG1sUEsB&#10;AhQAFAAAAAgAh07iQKmor5UxAgAAYwQAAA4AAAAAAAAAAQAgAAAAJAEAAGRycy9lMm9Eb2MueG1s&#10;UEsFBgAAAAAGAAYAWQEAAMcFAAAAAA==&#10;">
              <v:fill on="f" focussize="0,0"/>
              <v:stroke on="f" weight="0.5pt"/>
              <v:imagedata o:title=""/>
              <o:lock v:ext="edit" aspectratio="f"/>
              <v:textbox inset="0mm,0mm,0mm,0mm" style="mso-fit-shape-to-text:t;">
                <w:txbxContent>
                  <w:p>
                    <w:pPr>
                      <w:pStyle w:val="32"/>
                      <w:ind w:left="0" w:leftChars="0" w:firstLine="0" w:firstLineChars="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III</w:t>
                    </w:r>
                    <w:r>
                      <w:rPr>
                        <w:rFonts w:hint="default" w:ascii="Times New Roman" w:hAnsi="Times New Roman" w:eastAsia="宋体" w:cs="Times New Roman"/>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pPr>
    <w:r>
      <w:rPr>
        <w:sz w:val="18"/>
      </w:rPr>
      <mc:AlternateContent>
        <mc:Choice Requires="wps">
          <w:drawing>
            <wp:anchor distT="0" distB="0" distL="114300" distR="114300" simplePos="0" relativeHeight="251663360" behindDoc="0" locked="0" layoutInCell="1" allowOverlap="1">
              <wp:simplePos x="0" y="0"/>
              <wp:positionH relativeFrom="margin">
                <wp:posOffset>169545</wp:posOffset>
              </wp:positionH>
              <wp:positionV relativeFrom="paragraph">
                <wp:posOffset>-9525</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ind w:left="0" w:leftChars="0" w:firstLine="0" w:firstLineChars="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II</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3.35pt;margin-top:-0.75pt;height:144pt;width:144pt;mso-position-horizontal-relative:margin;mso-wrap-style:none;z-index:251663360;mso-width-relative:page;mso-height-relative:page;" filled="f" stroked="f" coordsize="21600,21600" o:gfxdata="UEsDBAoAAAAAAIdO4kAAAAAAAAAAAAAAAAAEAAAAZHJzL1BLAwQUAAAACACHTuJAaau0atYAAAAJ&#10;AQAADwAAAGRycy9kb3ducmV2LnhtbE2PTU/DMAyG70j8h8hI3La0+yhTaTqJiXJEYuXAMWtMW2ic&#10;Ksm68u8xJ3a0n1evHxf72Q5iQh96RwrSZQICqXGmp1bBe10tdiBC1GT04AgV/GCAfXl7U+jcuAu9&#10;4XSMreASCrlW0MU45lKGpkOrw9KNSMw+nbc68uhbaby+cLkd5CpJMml1T3yh0yMeOmy+j2er4FDV&#10;tZ8w+OEDX6r11+vTBp9npe7v0uQRRMQ5/ofhT5/VoWSnkzuTCWJQsMoeOKlgkW5BMF+nG16cGOyy&#10;LciykNcflL9QSwMEFAAAAAgAh07iQOsAOHoxAgAAYwQAAA4AAABkcnMvZTJvRG9jLnhtbK1US44T&#10;MRDdI3EHy3vSSRCjKEpnFCYKQoqYkQJi7bjdaUv+yXbSHQ4AN2DFhj3nyjl47k8GDSxmwcZddpVf&#10;1XtV7sVtoxU5CR+kNTmdjMaUCMNtIc0hp58+bl7NKAmRmYIpa0ROzyLQ2+XLF4vazcXUVlYVwhOA&#10;mDCvXU6rGN08ywKvhGZhZJ0wcJbWaxax9Yes8KwGulbZdDy+yWrrC+ctFyHgdN05aY/onwNoy1Jy&#10;sbb8qIWJHaoXikVQCpV0gS7bastS8HhflkFEonIKprFdkQT2Pq3ZcsHmB89cJXlfAntOCU84aSYN&#10;kl6h1iwycvTyLygtubfBlnHErc46Iq0iYDEZP9FmVzEnWi6QOrir6OH/wfIPpwdPZIFJmFBimEbH&#10;L9+/XX78uvz8SnAGgWoX5ojbOUTG5q1tEDycBxwm3k3pdfqCEYEf8p6v8oomEp4uzaaz2RguDt+w&#10;AX72eN35EN8Jq0kycurRv1ZWdtqG2IUOISmbsRupVNtDZUid05vXb8bthasH4MogRyLRFZus2Oyb&#10;ntneFmcQ87abjeD4RiL5loX4wDyGAQXjucR7LKWySGJ7i5LK+i//Ok/x6BG8lNQYrpwavCVK1HuD&#10;3gEwDoYfjP1gmKO+s5hWtAO1tCYu+KgGs/RWf8YbWqUccDHDkSmncTDvYjfgeINcrFZt0NF5eai6&#10;C5g8x+LW7BxPaZKQwa2OEWK2GieBOlV63TB7bZf6d5KG+899G/X4b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mrtGrWAAAACQEAAA8AAAAAAAAAAQAgAAAAIgAAAGRycy9kb3ducmV2LnhtbFBL&#10;AQIUABQAAAAIAIdO4kDrADh6MQIAAGMEAAAOAAAAAAAAAAEAIAAAACUBAABkcnMvZTJvRG9jLnht&#10;bFBLBQYAAAAABgAGAFkBAADIBQAAAAA=&#10;">
              <v:fill on="f" focussize="0,0"/>
              <v:stroke on="f" weight="0.5pt"/>
              <v:imagedata o:title=""/>
              <o:lock v:ext="edit" aspectratio="f"/>
              <v:textbox inset="0mm,0mm,0mm,0mm" style="mso-fit-shape-to-text:t;">
                <w:txbxContent>
                  <w:p>
                    <w:pPr>
                      <w:pStyle w:val="32"/>
                      <w:ind w:left="0" w:leftChars="0" w:firstLine="0" w:firstLineChars="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II</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ascii="Times New Roman" w:hAnsi="Times New Roman"/>
                              <w:lang w:eastAsia="zh-CN"/>
                            </w:rPr>
                            <w:t>I</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32"/>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ascii="Times New Roman" w:hAnsi="Times New Roman"/>
                        <w:lang w:eastAsia="zh-CN"/>
                      </w:rPr>
                      <w:t>I</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jc w:val="center"/>
    </w:pPr>
    <w:r>
      <w:rPr>
        <w:sz w:val="18"/>
      </w:rPr>
      <mc:AlternateContent>
        <mc:Choice Requires="wps">
          <w:drawing>
            <wp:anchor distT="0" distB="0" distL="114300" distR="114300" simplePos="0" relativeHeight="251665408" behindDoc="0" locked="0" layoutInCell="1" allowOverlap="1">
              <wp:simplePos x="0" y="0"/>
              <wp:positionH relativeFrom="margin">
                <wp:posOffset>4817745</wp:posOffset>
              </wp:positionH>
              <wp:positionV relativeFrom="paragraph">
                <wp:posOffset>-9525</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ind w:left="0" w:leftChars="0" w:firstLine="0" w:firstLineChars="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III</w:t>
                          </w:r>
                          <w:r>
                            <w:rPr>
                              <w:rFonts w:hint="default" w:ascii="Times New Roman" w:hAnsi="Times New Roman" w:eastAsia="宋体" w:cs="Times New Roman"/>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9.35pt;margin-top:-0.75pt;height:144pt;width:144pt;mso-position-horizontal-relative:margin;mso-wrap-style:none;z-index:251665408;mso-width-relative:page;mso-height-relative:page;" filled="f" stroked="f" coordsize="21600,21600" o:gfxdata="UEsDBAoAAAAAAIdO4kAAAAAAAAAAAAAAAAAEAAAAZHJzL1BLAwQUAAAACACHTuJAZNVX6dgAAAAL&#10;AQAADwAAAGRycy9kb3ducmV2LnhtbE2PwU7DMAyG70i8Q2QkblvSsXZVqTuJiXJEYuXAMWtMW2iS&#10;Ksm68vZkJzja/vT7+8v9okc2k/ODNQjJWgAj01o1mA7hvalXOTAfpFFytIYQfsjDvrq9KWWh7MW8&#10;0XwMHYshxhcSoQ9hKjj3bU9a+rWdyMTbp3Vahji6jisnLzFcj3wjRMa1HEz80MuJDj2138ezRjjU&#10;TeNm8m78oJf64ev1aUvPC+L9XSIegQVawh8MV/2oDlV0OtmzUZ6NCLs030UUYZWkwK6A2GZxc0LY&#10;5FkKvCr5/w7VL1BLAwQUAAAACACHTuJA/1tBazICAABjBAAADgAAAGRycy9lMm9Eb2MueG1srVTN&#10;jtMwEL4j8Q6W7zRpEatSNV2VrYqQKnalBXF2Haex5D/ZbpPyAPAGnLhw3+fqc/A5abpo4bAHLs7Y&#10;M/7G3zczmV+3WpGD8EFaU9DxKKdEGG5LaXYF/fxp/WpKSYjMlExZIwp6FIFeL16+mDduJia2tqoU&#10;ngDEhFnjClrH6GZZFngtNAsj64SBs7Jes4it32WlZw3QtcomeX6VNdaXzlsuQsDpqnfSM6J/DqCt&#10;KsnFyvK9Fib2qF4oFkEp1NIFuuheW1WCx9uqCiISVVAwjd2KJLC3ac0WczbbeeZqyc9PYM95whNO&#10;mkmDpBeoFYuM7L38C0pL7m2wVRxxq7OeSKcIWIzzJ9rc18yJjgukDu4ievh/sPzj4c4TWaIT3lJi&#10;mEbFTz++n34+nH59IziDQI0LM8TdO0TG9p1tETycBxwm3m3ldfqCEYEf8h4v8oo2Ep4uTSfTaQ4X&#10;h2/YAD97vO58iO+F1SQZBfWoXycrO2xC7EOHkJTN2LVUqquhMqQp6NXrN3l34eIBuDLIkUj0j01W&#10;bLftmdnWlkcQ87bvjeD4WiL5hoV4xzyaAQ/GuMRbLJWySGLPFiW19V//dZ7iUSN4KWnQXAU1mCVK&#10;1AeD2gEwDoYfjO1gmL2+sejWMcbQ8c7EBR/VYFbe6i+YoWXKARczHJkKGgfzJvYNjhnkYrnsgvbO&#10;y13dX0DnORY35t7xlCYJGdxyHyFmp3ESqFflrBt6r6vSeU5Sc/+576Ie/w2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TVV+nYAAAACwEAAA8AAAAAAAAAAQAgAAAAIgAAAGRycy9kb3ducmV2Lnht&#10;bFBLAQIUABQAAAAIAIdO4kD/W0FrMgIAAGMEAAAOAAAAAAAAAAEAIAAAACcBAABkcnMvZTJvRG9j&#10;LnhtbFBLBQYAAAAABgAGAFkBAADLBQAAAAA=&#10;">
              <v:fill on="f" focussize="0,0"/>
              <v:stroke on="f" weight="0.5pt"/>
              <v:imagedata o:title=""/>
              <o:lock v:ext="edit" aspectratio="f"/>
              <v:textbox inset="0mm,0mm,0mm,0mm" style="mso-fit-shape-to-text:t;">
                <w:txbxContent>
                  <w:p>
                    <w:pPr>
                      <w:pStyle w:val="32"/>
                      <w:ind w:left="0" w:leftChars="0" w:firstLine="0" w:firstLineChars="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III</w:t>
                    </w:r>
                    <w:r>
                      <w:rPr>
                        <w:rFonts w:hint="default" w:ascii="Times New Roman" w:hAnsi="Times New Roman" w:eastAsia="宋体" w:cs="Times New Roman"/>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pPr>
    <w:r>
      <w:rPr>
        <w:sz w:val="18"/>
      </w:rPr>
      <mc:AlternateContent>
        <mc:Choice Requires="wps">
          <w:drawing>
            <wp:anchor distT="0" distB="0" distL="114300" distR="114300" simplePos="0" relativeHeight="251666432" behindDoc="0" locked="0" layoutInCell="1" allowOverlap="1">
              <wp:simplePos x="0" y="0"/>
              <wp:positionH relativeFrom="margin">
                <wp:posOffset>179070</wp:posOffset>
              </wp:positionH>
              <wp:positionV relativeFrom="paragraph">
                <wp:posOffset>-28575</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ind w:left="0" w:leftChars="0" w:firstLine="0" w:firstLineChars="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II</w:t>
                          </w:r>
                          <w:r>
                            <w:rPr>
                              <w:rFonts w:hint="default" w:ascii="Times New Roman" w:hAnsi="Times New Roman" w:eastAsia="宋体" w:cs="Times New Roman"/>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4.1pt;margin-top:-2.25pt;height:144pt;width:144pt;mso-position-horizontal-relative:margin;mso-wrap-style:none;z-index:251666432;mso-width-relative:page;mso-height-relative:page;" filled="f" stroked="f" coordsize="21600,21600" o:gfxdata="UEsDBAoAAAAAAIdO4kAAAAAAAAAAAAAAAAAEAAAAZHJzL1BLAwQUAAAACACHTuJAcMxchdYAAAAJ&#10;AQAADwAAAGRycy9kb3ducmV2LnhtbE2Py07DMBBF90j8gzVI7Frn0VZViFOJirBEatMFSzcekoA9&#10;jmw3DX+PuyrLmXN150y5m41mEzo/WBKQLhNgSK1VA3UCTk292ALzQZKS2hIK+EUPu+rxoZSFslc6&#10;4HQMHYsl5AspoA9hLDj3bY9G+qUdkSL7ss7IEEfXceXkNZYbzbMk2XAjB4oXejnivsf253gxAvZ1&#10;07gJvdOf+F7n3x+vK3ybhXh+SpMXYAHncA/DTT+qQxWdzvZCyjMtINtmMSlgsVoDizxPN3FxvoF8&#10;Dbwq+f8Pqj9QSwMEFAAAAAgAh07iQNR3mOYyAgAAYw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TiGJYRoV&#10;v3z/dvnx6/LzK8EZBKpdmCNu5xAZm7e2QdsM5wGHiXdTep2+YETgB9b5Kq9oIuHp0mw6m43h4vAN&#10;G+Bnj9edD/GdsJokI6ce9WtlZadtiF3oEJKyGbuRSrU1VIbUOb15/WbcXrh6AK4MciQS3WOTFZt9&#10;0zPb2+IMYt52vREc30gk37IQH5hHM+DBGJd4j6VUFklsb1FSWf/lX+cpHjWCl5IazZVTg1miRL03&#10;qB0A42D4wdgPhjnqO4tunWAMHW9NXPBRDWbprf6MGVqlHHAxw5Epp3Ew72LX4JhBLlarNujovDxU&#10;3QV0nmNxa3aOpzRJyOBWxwgxW42TQJ0qvW7ovbZK/Zyk5v5z30Y9/hu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wzFyF1gAAAAkBAAAPAAAAAAAAAAEAIAAAACIAAABkcnMvZG93bnJldi54bWxQ&#10;SwECFAAUAAAACACHTuJA1HeY5jICAABjBAAADgAAAAAAAAABACAAAAAlAQAAZHJzL2Uyb0RvYy54&#10;bWxQSwUGAAAAAAYABgBZAQAAyQUAAAAA&#10;">
              <v:fill on="f" focussize="0,0"/>
              <v:stroke on="f" weight="0.5pt"/>
              <v:imagedata o:title=""/>
              <o:lock v:ext="edit" aspectratio="f"/>
              <v:textbox inset="0mm,0mm,0mm,0mm" style="mso-fit-shape-to-text:t;">
                <w:txbxContent>
                  <w:p>
                    <w:pPr>
                      <w:pStyle w:val="32"/>
                      <w:ind w:left="0" w:leftChars="0" w:firstLine="0" w:firstLineChars="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II</w:t>
                    </w:r>
                    <w:r>
                      <w:rPr>
                        <w:rFonts w:hint="default" w:ascii="Times New Roman" w:hAnsi="Times New Roman" w:eastAsia="宋体" w:cs="Times New Roman"/>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pPr>
    <w:r>
      <w:rPr>
        <w:sz w:val="18"/>
      </w:rPr>
      <mc:AlternateContent>
        <mc:Choice Requires="wps">
          <w:drawing>
            <wp:anchor distT="0" distB="0" distL="114300" distR="114300" simplePos="0" relativeHeight="251667456" behindDoc="0" locked="0" layoutInCell="1" allowOverlap="1">
              <wp:simplePos x="0" y="0"/>
              <wp:positionH relativeFrom="margin">
                <wp:posOffset>169545</wp:posOffset>
              </wp:positionH>
              <wp:positionV relativeFrom="paragraph">
                <wp:posOffset>-19050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ind w:left="0" w:leftChars="0" w:firstLine="0" w:firstLineChars="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I</w:t>
                          </w:r>
                          <w:r>
                            <w:rPr>
                              <w:rFonts w:hint="default" w:ascii="Times New Roman" w:hAnsi="Times New Roman" w:eastAsia="宋体" w:cs="Times New Roman"/>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3.35pt;margin-top:-1.5pt;height:144pt;width:144pt;mso-position-horizontal-relative:margin;mso-wrap-style:none;z-index:251667456;mso-width-relative:page;mso-height-relative:page;" filled="f" stroked="f" coordsize="21600,21600" o:gfxdata="UEsDBAoAAAAAAIdO4kAAAAAAAAAAAAAAAAAEAAAAZHJzL1BLAwQUAAAACACHTuJAPNdU1dYAAAAJ&#10;AQAADwAAAGRycy9kb3ducmV2LnhtbE2PzU7DMBCE70i8g7VI3Fo7TSlVGqcSFeGIRMOBoxtvk4B/&#10;IttNw9uznOC4841mZ8r9bA2bMMTBOwnZUgBD13o9uE7Ce1MvtsBiUk4r4x1K+MYI++r2plSF9lf3&#10;htMxdYxCXCyUhD6lseA8tj1aFZd+REfs7INVic7QcR3UlcKt4SshNtyqwdGHXo146LH9Ol6shEPd&#10;NGHCGMwHvtT55+vTGp9nKe/vMrEDlnBOf2b4rU/VoaJOJ39xOjIjYbV5JKeERU6TiOfZmoQTge2D&#10;AF6V/P+C6gdQSwMEFAAAAAgAh07iQJbfDwkyAgAAYwQAAA4AAABkcnMvZTJvRG9jLnhtbK1US44T&#10;MRDdI3EHy3vSSRCjKEpnFCYKQoqYkQJi7bjdaUv+yXbSHQ4AN2DFhj3nyjl47k8GDSxmwcZddpVf&#10;1XtV7sVtoxU5CR+kNTmdjMaUCMNtIc0hp58+bl7NKAmRmYIpa0ROzyLQ2+XLF4vazcXUVlYVwhOA&#10;mDCvXU6rGN08ywKvhGZhZJ0wcJbWaxax9Yes8KwGulbZdDy+yWrrC+ctFyHgdN05aY/onwNoy1Jy&#10;sbb8qIWJHaoXikVQCpV0gS7bastS8HhflkFEonIKprFdkQT2Pq3ZcsHmB89cJXlfAntOCU84aSYN&#10;kl6h1iwycvTyLygtubfBlnHErc46Iq0iYDEZP9FmVzEnWi6QOrir6OH/wfIPpwdPZJHT6YQSwzQ6&#10;fvn+7fLj1+XnV4IzCFS7MEfcziEyNm9tg7EZzgMOE++m9Dp9wYjAD3nPV3lFEwlPl2bT2WwMF4dv&#10;2AA/e7zufIjvhNUkGTn16F8rKzttQ+xCh5CUzdiNVKrtoTKkzunN6zfj9sLVA3BlkCOR6IpNVmz2&#10;Tc9sb4sziHnbzUZwfCORfMtCfGAew4CC8VziPZZSWSSxvUVJZf2Xf52nePQIXkpqDFdODd4SJeq9&#10;Qe8AGAfDD8Z+MMxR31lMK9qBWloTF3xUg1l6qz/jDa1SDriY4ciU0ziYd7EbcLxBLlarNujovDxU&#10;3QVMnmNxa3aOpzRJyOBWxwgxW42TQJ0qvW6YvbZL/TtJw/3nvo16/Dc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811TV1gAAAAkBAAAPAAAAAAAAAAEAIAAAACIAAABkcnMvZG93bnJldi54bWxQ&#10;SwECFAAUAAAACACHTuJAlt8PCTICAABjBAAADgAAAAAAAAABACAAAAAlAQAAZHJzL2Uyb0RvYy54&#10;bWxQSwUGAAAAAAYABgBZAQAAyQUAAAAA&#10;">
              <v:fill on="f" focussize="0,0"/>
              <v:stroke on="f" weight="0.5pt"/>
              <v:imagedata o:title=""/>
              <o:lock v:ext="edit" aspectratio="f"/>
              <v:textbox inset="0mm,0mm,0mm,0mm" style="mso-fit-shape-to-text:t;">
                <w:txbxContent>
                  <w:p>
                    <w:pPr>
                      <w:pStyle w:val="32"/>
                      <w:ind w:left="0" w:leftChars="0" w:firstLine="0" w:firstLineChars="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I</w:t>
                    </w:r>
                    <w:r>
                      <w:rPr>
                        <w:rFonts w:hint="default" w:ascii="Times New Roman" w:hAnsi="Times New Roman" w:eastAsia="宋体" w:cs="Times New Roman"/>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32"/>
      </w:pPr>
      <w:r>
        <w:separator/>
      </w:r>
    </w:p>
  </w:footnote>
  <w:footnote w:type="continuationSeparator" w:id="1">
    <w:p>
      <w:pPr>
        <w:spacing w:line="360" w:lineRule="auto"/>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56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Bdr>
        <w:top w:val="none" w:color="auto" w:sz="0" w:space="0"/>
        <w:left w:val="none" w:color="auto" w:sz="0" w:space="0"/>
        <w:bottom w:val="none" w:color="auto" w:sz="0" w:space="1"/>
        <w:right w:val="none" w:color="auto" w:sz="0" w:space="0"/>
        <w:between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6CAF78"/>
    <w:multiLevelType w:val="singleLevel"/>
    <w:tmpl w:val="E26CAF78"/>
    <w:lvl w:ilvl="0" w:tentative="0">
      <w:start w:val="1"/>
      <w:numFmt w:val="chineseCounting"/>
      <w:pStyle w:val="84"/>
      <w:suff w:val="nothing"/>
      <w:lvlText w:val="%1、"/>
      <w:lvlJc w:val="left"/>
      <w:pPr>
        <w:ind w:left="0" w:firstLine="420"/>
      </w:pPr>
      <w:rPr>
        <w:rFonts w:hint="eastAsia" w:ascii="仿宋 GB2312" w:hAnsi="仿宋 GB2312" w:eastAsia="仿宋 GB2312" w:cs="仿宋 GB2312"/>
      </w:rPr>
    </w:lvl>
  </w:abstractNum>
  <w:abstractNum w:abstractNumId="1">
    <w:nsid w:val="31456392"/>
    <w:multiLevelType w:val="multilevel"/>
    <w:tmpl w:val="31456392"/>
    <w:lvl w:ilvl="0" w:tentative="0">
      <w:start w:val="1"/>
      <w:numFmt w:val="bullet"/>
      <w:pStyle w:val="82"/>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evenAndOddHeaders w:val="1"/>
  <w:drawingGridHorizontalSpacing w:val="158"/>
  <w:drawingGridVerticalSpacing w:val="291"/>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CD6"/>
    <w:rsid w:val="0000090F"/>
    <w:rsid w:val="00001248"/>
    <w:rsid w:val="00001578"/>
    <w:rsid w:val="00002106"/>
    <w:rsid w:val="00002604"/>
    <w:rsid w:val="00002DE0"/>
    <w:rsid w:val="00004CB4"/>
    <w:rsid w:val="00004F8F"/>
    <w:rsid w:val="000064F7"/>
    <w:rsid w:val="000066C6"/>
    <w:rsid w:val="000107B0"/>
    <w:rsid w:val="0001094E"/>
    <w:rsid w:val="000119EC"/>
    <w:rsid w:val="00012896"/>
    <w:rsid w:val="00013C73"/>
    <w:rsid w:val="00013F9B"/>
    <w:rsid w:val="0001453B"/>
    <w:rsid w:val="00014682"/>
    <w:rsid w:val="000147A0"/>
    <w:rsid w:val="00017A30"/>
    <w:rsid w:val="00021BC2"/>
    <w:rsid w:val="00022434"/>
    <w:rsid w:val="00023D6B"/>
    <w:rsid w:val="00025B08"/>
    <w:rsid w:val="000262D5"/>
    <w:rsid w:val="00026623"/>
    <w:rsid w:val="000276BB"/>
    <w:rsid w:val="00027B8B"/>
    <w:rsid w:val="0003033B"/>
    <w:rsid w:val="00030D8C"/>
    <w:rsid w:val="00030E70"/>
    <w:rsid w:val="000311F5"/>
    <w:rsid w:val="0003240A"/>
    <w:rsid w:val="00032489"/>
    <w:rsid w:val="000324C8"/>
    <w:rsid w:val="00034598"/>
    <w:rsid w:val="000356CA"/>
    <w:rsid w:val="00036430"/>
    <w:rsid w:val="00036C9C"/>
    <w:rsid w:val="000376D2"/>
    <w:rsid w:val="00040872"/>
    <w:rsid w:val="00040D38"/>
    <w:rsid w:val="00043215"/>
    <w:rsid w:val="00043DC7"/>
    <w:rsid w:val="000441F7"/>
    <w:rsid w:val="0004573A"/>
    <w:rsid w:val="000478C5"/>
    <w:rsid w:val="0005095E"/>
    <w:rsid w:val="00050A15"/>
    <w:rsid w:val="00051489"/>
    <w:rsid w:val="00051EBE"/>
    <w:rsid w:val="00052810"/>
    <w:rsid w:val="00052B83"/>
    <w:rsid w:val="00052C12"/>
    <w:rsid w:val="00053EAC"/>
    <w:rsid w:val="00055199"/>
    <w:rsid w:val="000557DB"/>
    <w:rsid w:val="00055F37"/>
    <w:rsid w:val="00055FB4"/>
    <w:rsid w:val="00056C37"/>
    <w:rsid w:val="00057E4A"/>
    <w:rsid w:val="00060799"/>
    <w:rsid w:val="00060AEA"/>
    <w:rsid w:val="00060BAC"/>
    <w:rsid w:val="00060C78"/>
    <w:rsid w:val="0006176E"/>
    <w:rsid w:val="0006185C"/>
    <w:rsid w:val="00061E05"/>
    <w:rsid w:val="00061E4C"/>
    <w:rsid w:val="00061EBC"/>
    <w:rsid w:val="00061EFE"/>
    <w:rsid w:val="00063268"/>
    <w:rsid w:val="00063DE7"/>
    <w:rsid w:val="00064960"/>
    <w:rsid w:val="00064DBF"/>
    <w:rsid w:val="000652DE"/>
    <w:rsid w:val="000669B9"/>
    <w:rsid w:val="00067018"/>
    <w:rsid w:val="00067060"/>
    <w:rsid w:val="00070261"/>
    <w:rsid w:val="00070AA0"/>
    <w:rsid w:val="00071276"/>
    <w:rsid w:val="00071E93"/>
    <w:rsid w:val="00073370"/>
    <w:rsid w:val="00074B57"/>
    <w:rsid w:val="0007513C"/>
    <w:rsid w:val="00075B07"/>
    <w:rsid w:val="0007626D"/>
    <w:rsid w:val="00076939"/>
    <w:rsid w:val="00077D00"/>
    <w:rsid w:val="00080BB0"/>
    <w:rsid w:val="00080D1B"/>
    <w:rsid w:val="00080E15"/>
    <w:rsid w:val="00081873"/>
    <w:rsid w:val="00083156"/>
    <w:rsid w:val="00083C12"/>
    <w:rsid w:val="0008442A"/>
    <w:rsid w:val="000847AE"/>
    <w:rsid w:val="000848CF"/>
    <w:rsid w:val="00085B51"/>
    <w:rsid w:val="00085FCF"/>
    <w:rsid w:val="00086031"/>
    <w:rsid w:val="00090C0E"/>
    <w:rsid w:val="0009122F"/>
    <w:rsid w:val="000919CD"/>
    <w:rsid w:val="00092362"/>
    <w:rsid w:val="0009261B"/>
    <w:rsid w:val="00092FFA"/>
    <w:rsid w:val="00093B9E"/>
    <w:rsid w:val="00094537"/>
    <w:rsid w:val="00094DCD"/>
    <w:rsid w:val="00096782"/>
    <w:rsid w:val="00096B74"/>
    <w:rsid w:val="000A0A75"/>
    <w:rsid w:val="000A3F47"/>
    <w:rsid w:val="000A5A02"/>
    <w:rsid w:val="000A5E75"/>
    <w:rsid w:val="000A62BF"/>
    <w:rsid w:val="000A6F25"/>
    <w:rsid w:val="000A7035"/>
    <w:rsid w:val="000A7A43"/>
    <w:rsid w:val="000B1121"/>
    <w:rsid w:val="000B142E"/>
    <w:rsid w:val="000B1487"/>
    <w:rsid w:val="000B3A16"/>
    <w:rsid w:val="000B45EF"/>
    <w:rsid w:val="000B4A91"/>
    <w:rsid w:val="000B6C5D"/>
    <w:rsid w:val="000B7870"/>
    <w:rsid w:val="000B7CF1"/>
    <w:rsid w:val="000C08AA"/>
    <w:rsid w:val="000C2909"/>
    <w:rsid w:val="000C2A90"/>
    <w:rsid w:val="000C35C1"/>
    <w:rsid w:val="000C52F7"/>
    <w:rsid w:val="000C5703"/>
    <w:rsid w:val="000C5725"/>
    <w:rsid w:val="000C5C3B"/>
    <w:rsid w:val="000C6522"/>
    <w:rsid w:val="000C73AA"/>
    <w:rsid w:val="000C7584"/>
    <w:rsid w:val="000D06D3"/>
    <w:rsid w:val="000D0818"/>
    <w:rsid w:val="000D1455"/>
    <w:rsid w:val="000D2479"/>
    <w:rsid w:val="000D3297"/>
    <w:rsid w:val="000D3507"/>
    <w:rsid w:val="000D3796"/>
    <w:rsid w:val="000D3B20"/>
    <w:rsid w:val="000D4830"/>
    <w:rsid w:val="000D752D"/>
    <w:rsid w:val="000D7F18"/>
    <w:rsid w:val="000E06E6"/>
    <w:rsid w:val="000E0F5C"/>
    <w:rsid w:val="000E176F"/>
    <w:rsid w:val="000E3758"/>
    <w:rsid w:val="000E5888"/>
    <w:rsid w:val="000E7443"/>
    <w:rsid w:val="000E7D56"/>
    <w:rsid w:val="000F003A"/>
    <w:rsid w:val="000F0399"/>
    <w:rsid w:val="000F2EA6"/>
    <w:rsid w:val="000F31B2"/>
    <w:rsid w:val="000F3B64"/>
    <w:rsid w:val="000F421C"/>
    <w:rsid w:val="000F529B"/>
    <w:rsid w:val="000F65C3"/>
    <w:rsid w:val="001001AF"/>
    <w:rsid w:val="00100B1F"/>
    <w:rsid w:val="00100F0D"/>
    <w:rsid w:val="0010184B"/>
    <w:rsid w:val="001018E1"/>
    <w:rsid w:val="00101914"/>
    <w:rsid w:val="00102536"/>
    <w:rsid w:val="001029AA"/>
    <w:rsid w:val="00103C3E"/>
    <w:rsid w:val="00103E2B"/>
    <w:rsid w:val="00103E5B"/>
    <w:rsid w:val="00105B24"/>
    <w:rsid w:val="001066D7"/>
    <w:rsid w:val="00106B4C"/>
    <w:rsid w:val="00107271"/>
    <w:rsid w:val="001072B7"/>
    <w:rsid w:val="001076F0"/>
    <w:rsid w:val="00107D40"/>
    <w:rsid w:val="0011086C"/>
    <w:rsid w:val="0011088B"/>
    <w:rsid w:val="00110CE9"/>
    <w:rsid w:val="00110F50"/>
    <w:rsid w:val="00111BE6"/>
    <w:rsid w:val="00112516"/>
    <w:rsid w:val="001130BC"/>
    <w:rsid w:val="001136F6"/>
    <w:rsid w:val="0011420F"/>
    <w:rsid w:val="00114C1F"/>
    <w:rsid w:val="0011559B"/>
    <w:rsid w:val="00115981"/>
    <w:rsid w:val="001166C3"/>
    <w:rsid w:val="00116B99"/>
    <w:rsid w:val="00116CDB"/>
    <w:rsid w:val="00116F9B"/>
    <w:rsid w:val="001179F3"/>
    <w:rsid w:val="00117CC6"/>
    <w:rsid w:val="001206AE"/>
    <w:rsid w:val="001206E2"/>
    <w:rsid w:val="00121D53"/>
    <w:rsid w:val="00123FC4"/>
    <w:rsid w:val="00124148"/>
    <w:rsid w:val="001253E5"/>
    <w:rsid w:val="0012572E"/>
    <w:rsid w:val="00126A56"/>
    <w:rsid w:val="00130423"/>
    <w:rsid w:val="00132269"/>
    <w:rsid w:val="001323D5"/>
    <w:rsid w:val="001327A6"/>
    <w:rsid w:val="00132AD3"/>
    <w:rsid w:val="00133378"/>
    <w:rsid w:val="001342AB"/>
    <w:rsid w:val="00134A4A"/>
    <w:rsid w:val="001357AC"/>
    <w:rsid w:val="00135C03"/>
    <w:rsid w:val="00135C6D"/>
    <w:rsid w:val="00136E57"/>
    <w:rsid w:val="001377A6"/>
    <w:rsid w:val="00140B84"/>
    <w:rsid w:val="00140E70"/>
    <w:rsid w:val="00141315"/>
    <w:rsid w:val="00141327"/>
    <w:rsid w:val="00142BBC"/>
    <w:rsid w:val="001433CF"/>
    <w:rsid w:val="001446CB"/>
    <w:rsid w:val="0014596B"/>
    <w:rsid w:val="00145A0D"/>
    <w:rsid w:val="00146B47"/>
    <w:rsid w:val="00147915"/>
    <w:rsid w:val="00147FEA"/>
    <w:rsid w:val="0015072F"/>
    <w:rsid w:val="001520BE"/>
    <w:rsid w:val="0015281D"/>
    <w:rsid w:val="00152921"/>
    <w:rsid w:val="00154A8F"/>
    <w:rsid w:val="00156B0B"/>
    <w:rsid w:val="001570F9"/>
    <w:rsid w:val="001572A8"/>
    <w:rsid w:val="001572B9"/>
    <w:rsid w:val="0016102A"/>
    <w:rsid w:val="0016141A"/>
    <w:rsid w:val="00161FEB"/>
    <w:rsid w:val="00162D32"/>
    <w:rsid w:val="00163FF9"/>
    <w:rsid w:val="00164121"/>
    <w:rsid w:val="00164141"/>
    <w:rsid w:val="0016452B"/>
    <w:rsid w:val="001646A9"/>
    <w:rsid w:val="001660BC"/>
    <w:rsid w:val="00166312"/>
    <w:rsid w:val="00166682"/>
    <w:rsid w:val="00166C26"/>
    <w:rsid w:val="00167D02"/>
    <w:rsid w:val="00170073"/>
    <w:rsid w:val="001702B5"/>
    <w:rsid w:val="001706B3"/>
    <w:rsid w:val="00170930"/>
    <w:rsid w:val="00170E9B"/>
    <w:rsid w:val="0017793C"/>
    <w:rsid w:val="00181330"/>
    <w:rsid w:val="00182C28"/>
    <w:rsid w:val="001838DA"/>
    <w:rsid w:val="001838F9"/>
    <w:rsid w:val="0018463F"/>
    <w:rsid w:val="00184CE0"/>
    <w:rsid w:val="00185D71"/>
    <w:rsid w:val="00186278"/>
    <w:rsid w:val="00186BD0"/>
    <w:rsid w:val="00187736"/>
    <w:rsid w:val="00187F21"/>
    <w:rsid w:val="00191749"/>
    <w:rsid w:val="00191F4E"/>
    <w:rsid w:val="00192955"/>
    <w:rsid w:val="001940C6"/>
    <w:rsid w:val="001970FA"/>
    <w:rsid w:val="00197435"/>
    <w:rsid w:val="00197602"/>
    <w:rsid w:val="001A0F7C"/>
    <w:rsid w:val="001A0FC7"/>
    <w:rsid w:val="001A17A2"/>
    <w:rsid w:val="001A1E1D"/>
    <w:rsid w:val="001A253C"/>
    <w:rsid w:val="001A36C6"/>
    <w:rsid w:val="001A386C"/>
    <w:rsid w:val="001A39FB"/>
    <w:rsid w:val="001A3A23"/>
    <w:rsid w:val="001A3E0A"/>
    <w:rsid w:val="001A4663"/>
    <w:rsid w:val="001A560A"/>
    <w:rsid w:val="001A5A41"/>
    <w:rsid w:val="001A5D8A"/>
    <w:rsid w:val="001A66D5"/>
    <w:rsid w:val="001A6A96"/>
    <w:rsid w:val="001B07DB"/>
    <w:rsid w:val="001B0A4A"/>
    <w:rsid w:val="001B2732"/>
    <w:rsid w:val="001B2AD3"/>
    <w:rsid w:val="001B336D"/>
    <w:rsid w:val="001B3570"/>
    <w:rsid w:val="001B3C50"/>
    <w:rsid w:val="001B44AA"/>
    <w:rsid w:val="001B48B5"/>
    <w:rsid w:val="001B5544"/>
    <w:rsid w:val="001B6E7B"/>
    <w:rsid w:val="001C1C07"/>
    <w:rsid w:val="001C3078"/>
    <w:rsid w:val="001C3F90"/>
    <w:rsid w:val="001C502B"/>
    <w:rsid w:val="001C52A1"/>
    <w:rsid w:val="001C53E8"/>
    <w:rsid w:val="001D0A01"/>
    <w:rsid w:val="001D1006"/>
    <w:rsid w:val="001D16D4"/>
    <w:rsid w:val="001D1AE5"/>
    <w:rsid w:val="001D1BCF"/>
    <w:rsid w:val="001D2DB6"/>
    <w:rsid w:val="001D36AF"/>
    <w:rsid w:val="001D6C4E"/>
    <w:rsid w:val="001E1469"/>
    <w:rsid w:val="001E16DE"/>
    <w:rsid w:val="001E3DBC"/>
    <w:rsid w:val="001E4A7E"/>
    <w:rsid w:val="001E4CAE"/>
    <w:rsid w:val="001E56B2"/>
    <w:rsid w:val="001E60EC"/>
    <w:rsid w:val="001E6348"/>
    <w:rsid w:val="001E63A9"/>
    <w:rsid w:val="001E650E"/>
    <w:rsid w:val="001E675B"/>
    <w:rsid w:val="001E6817"/>
    <w:rsid w:val="001E6FE9"/>
    <w:rsid w:val="001E72A4"/>
    <w:rsid w:val="001F0DF5"/>
    <w:rsid w:val="001F1191"/>
    <w:rsid w:val="001F20CC"/>
    <w:rsid w:val="001F22D2"/>
    <w:rsid w:val="001F37D1"/>
    <w:rsid w:val="001F46FD"/>
    <w:rsid w:val="001F477F"/>
    <w:rsid w:val="001F497B"/>
    <w:rsid w:val="001F6306"/>
    <w:rsid w:val="001F6A17"/>
    <w:rsid w:val="001F7199"/>
    <w:rsid w:val="001F7442"/>
    <w:rsid w:val="001F7D1E"/>
    <w:rsid w:val="00200692"/>
    <w:rsid w:val="002017A6"/>
    <w:rsid w:val="002017B7"/>
    <w:rsid w:val="00202429"/>
    <w:rsid w:val="00203D95"/>
    <w:rsid w:val="0020503C"/>
    <w:rsid w:val="0020531C"/>
    <w:rsid w:val="0020551F"/>
    <w:rsid w:val="00206256"/>
    <w:rsid w:val="002068E7"/>
    <w:rsid w:val="002079EA"/>
    <w:rsid w:val="00207E12"/>
    <w:rsid w:val="00207FB5"/>
    <w:rsid w:val="00210389"/>
    <w:rsid w:val="00211BA4"/>
    <w:rsid w:val="00212A0C"/>
    <w:rsid w:val="00214FA4"/>
    <w:rsid w:val="00215345"/>
    <w:rsid w:val="0021671B"/>
    <w:rsid w:val="00216D01"/>
    <w:rsid w:val="002174D9"/>
    <w:rsid w:val="00217C2E"/>
    <w:rsid w:val="00221921"/>
    <w:rsid w:val="00221F00"/>
    <w:rsid w:val="00222DA7"/>
    <w:rsid w:val="00225787"/>
    <w:rsid w:val="00225B91"/>
    <w:rsid w:val="00226216"/>
    <w:rsid w:val="00226AC1"/>
    <w:rsid w:val="00227943"/>
    <w:rsid w:val="00232A49"/>
    <w:rsid w:val="00234756"/>
    <w:rsid w:val="00235C84"/>
    <w:rsid w:val="00236125"/>
    <w:rsid w:val="002362F2"/>
    <w:rsid w:val="002367C9"/>
    <w:rsid w:val="00236C54"/>
    <w:rsid w:val="0023702F"/>
    <w:rsid w:val="00237CA6"/>
    <w:rsid w:val="00237EED"/>
    <w:rsid w:val="00240345"/>
    <w:rsid w:val="00241088"/>
    <w:rsid w:val="00241782"/>
    <w:rsid w:val="00241F93"/>
    <w:rsid w:val="0024297A"/>
    <w:rsid w:val="00242FDE"/>
    <w:rsid w:val="00243576"/>
    <w:rsid w:val="00244399"/>
    <w:rsid w:val="00246E59"/>
    <w:rsid w:val="00250466"/>
    <w:rsid w:val="002509F0"/>
    <w:rsid w:val="00250F37"/>
    <w:rsid w:val="00251D1D"/>
    <w:rsid w:val="00252AFA"/>
    <w:rsid w:val="00252EA9"/>
    <w:rsid w:val="00253C85"/>
    <w:rsid w:val="002540D1"/>
    <w:rsid w:val="0025488C"/>
    <w:rsid w:val="002568B9"/>
    <w:rsid w:val="00256CE7"/>
    <w:rsid w:val="00256F04"/>
    <w:rsid w:val="0025741D"/>
    <w:rsid w:val="00257EB9"/>
    <w:rsid w:val="002619DE"/>
    <w:rsid w:val="002622FA"/>
    <w:rsid w:val="0026326A"/>
    <w:rsid w:val="00263F6A"/>
    <w:rsid w:val="00264DF9"/>
    <w:rsid w:val="00266881"/>
    <w:rsid w:val="002669B1"/>
    <w:rsid w:val="00267973"/>
    <w:rsid w:val="0027017A"/>
    <w:rsid w:val="002704F8"/>
    <w:rsid w:val="002708A0"/>
    <w:rsid w:val="00272455"/>
    <w:rsid w:val="00272AA7"/>
    <w:rsid w:val="00273572"/>
    <w:rsid w:val="002741D5"/>
    <w:rsid w:val="00274FB6"/>
    <w:rsid w:val="00276CD1"/>
    <w:rsid w:val="00277639"/>
    <w:rsid w:val="00282207"/>
    <w:rsid w:val="002827F5"/>
    <w:rsid w:val="00282A2A"/>
    <w:rsid w:val="00283D1E"/>
    <w:rsid w:val="002840DC"/>
    <w:rsid w:val="002842B1"/>
    <w:rsid w:val="0028627E"/>
    <w:rsid w:val="002867FD"/>
    <w:rsid w:val="002870C4"/>
    <w:rsid w:val="002906BD"/>
    <w:rsid w:val="00290DFB"/>
    <w:rsid w:val="002915CC"/>
    <w:rsid w:val="002923D8"/>
    <w:rsid w:val="00292898"/>
    <w:rsid w:val="00292C28"/>
    <w:rsid w:val="002930DC"/>
    <w:rsid w:val="00296547"/>
    <w:rsid w:val="00296BC7"/>
    <w:rsid w:val="0029751C"/>
    <w:rsid w:val="0029793C"/>
    <w:rsid w:val="00297AC2"/>
    <w:rsid w:val="002A051E"/>
    <w:rsid w:val="002A0BC3"/>
    <w:rsid w:val="002A3F59"/>
    <w:rsid w:val="002A544B"/>
    <w:rsid w:val="002A696A"/>
    <w:rsid w:val="002B00BC"/>
    <w:rsid w:val="002B0218"/>
    <w:rsid w:val="002B032E"/>
    <w:rsid w:val="002B17BA"/>
    <w:rsid w:val="002B3103"/>
    <w:rsid w:val="002B41EE"/>
    <w:rsid w:val="002B59EA"/>
    <w:rsid w:val="002B60A3"/>
    <w:rsid w:val="002B7D47"/>
    <w:rsid w:val="002C0D1B"/>
    <w:rsid w:val="002C0E17"/>
    <w:rsid w:val="002C0E52"/>
    <w:rsid w:val="002C192F"/>
    <w:rsid w:val="002C1CED"/>
    <w:rsid w:val="002C3348"/>
    <w:rsid w:val="002C336C"/>
    <w:rsid w:val="002C356A"/>
    <w:rsid w:val="002C42E3"/>
    <w:rsid w:val="002C4702"/>
    <w:rsid w:val="002C6744"/>
    <w:rsid w:val="002C7B11"/>
    <w:rsid w:val="002D0788"/>
    <w:rsid w:val="002D08D5"/>
    <w:rsid w:val="002D0A51"/>
    <w:rsid w:val="002D0C6C"/>
    <w:rsid w:val="002D1432"/>
    <w:rsid w:val="002D3447"/>
    <w:rsid w:val="002D35E4"/>
    <w:rsid w:val="002D451B"/>
    <w:rsid w:val="002D4915"/>
    <w:rsid w:val="002D5FF5"/>
    <w:rsid w:val="002D6D45"/>
    <w:rsid w:val="002D779A"/>
    <w:rsid w:val="002E0110"/>
    <w:rsid w:val="002E05CE"/>
    <w:rsid w:val="002E072C"/>
    <w:rsid w:val="002E0F19"/>
    <w:rsid w:val="002E184A"/>
    <w:rsid w:val="002E29ED"/>
    <w:rsid w:val="002E2BD3"/>
    <w:rsid w:val="002E39CC"/>
    <w:rsid w:val="002E3E14"/>
    <w:rsid w:val="002E403F"/>
    <w:rsid w:val="002E420A"/>
    <w:rsid w:val="002E4735"/>
    <w:rsid w:val="002E47B9"/>
    <w:rsid w:val="002E5252"/>
    <w:rsid w:val="002E570A"/>
    <w:rsid w:val="002E584A"/>
    <w:rsid w:val="002E5CB2"/>
    <w:rsid w:val="002E5E93"/>
    <w:rsid w:val="002E6015"/>
    <w:rsid w:val="002E6A58"/>
    <w:rsid w:val="002E78A3"/>
    <w:rsid w:val="002F10E2"/>
    <w:rsid w:val="002F1888"/>
    <w:rsid w:val="002F1FB5"/>
    <w:rsid w:val="002F2CFB"/>
    <w:rsid w:val="002F3604"/>
    <w:rsid w:val="002F4234"/>
    <w:rsid w:val="002F48A3"/>
    <w:rsid w:val="002F4AC7"/>
    <w:rsid w:val="002F5B98"/>
    <w:rsid w:val="002F685E"/>
    <w:rsid w:val="002F6A1F"/>
    <w:rsid w:val="00301D61"/>
    <w:rsid w:val="00302DBA"/>
    <w:rsid w:val="00303696"/>
    <w:rsid w:val="00304074"/>
    <w:rsid w:val="003046FE"/>
    <w:rsid w:val="00304C55"/>
    <w:rsid w:val="00304F77"/>
    <w:rsid w:val="00305D6B"/>
    <w:rsid w:val="00307E77"/>
    <w:rsid w:val="003101CA"/>
    <w:rsid w:val="00311FF0"/>
    <w:rsid w:val="003126F7"/>
    <w:rsid w:val="00314C03"/>
    <w:rsid w:val="00316276"/>
    <w:rsid w:val="00317353"/>
    <w:rsid w:val="00317582"/>
    <w:rsid w:val="00320354"/>
    <w:rsid w:val="003210DE"/>
    <w:rsid w:val="00321633"/>
    <w:rsid w:val="0032230E"/>
    <w:rsid w:val="00322D81"/>
    <w:rsid w:val="00322DEE"/>
    <w:rsid w:val="00323673"/>
    <w:rsid w:val="00323919"/>
    <w:rsid w:val="0032491F"/>
    <w:rsid w:val="003259BC"/>
    <w:rsid w:val="00326AE9"/>
    <w:rsid w:val="00327730"/>
    <w:rsid w:val="00330A35"/>
    <w:rsid w:val="00331386"/>
    <w:rsid w:val="00332818"/>
    <w:rsid w:val="00332D59"/>
    <w:rsid w:val="00333210"/>
    <w:rsid w:val="00333736"/>
    <w:rsid w:val="00335239"/>
    <w:rsid w:val="00336107"/>
    <w:rsid w:val="003366F9"/>
    <w:rsid w:val="00337F85"/>
    <w:rsid w:val="00340630"/>
    <w:rsid w:val="00340C75"/>
    <w:rsid w:val="00340CA1"/>
    <w:rsid w:val="0034382F"/>
    <w:rsid w:val="00344558"/>
    <w:rsid w:val="003445DE"/>
    <w:rsid w:val="00344A15"/>
    <w:rsid w:val="00344B31"/>
    <w:rsid w:val="00344EDD"/>
    <w:rsid w:val="003450FB"/>
    <w:rsid w:val="00345A28"/>
    <w:rsid w:val="00345BE5"/>
    <w:rsid w:val="00345D70"/>
    <w:rsid w:val="00346757"/>
    <w:rsid w:val="003467ED"/>
    <w:rsid w:val="00347373"/>
    <w:rsid w:val="00351611"/>
    <w:rsid w:val="00351AA5"/>
    <w:rsid w:val="00353210"/>
    <w:rsid w:val="00353F9E"/>
    <w:rsid w:val="00356510"/>
    <w:rsid w:val="00356AAB"/>
    <w:rsid w:val="00360004"/>
    <w:rsid w:val="003606C4"/>
    <w:rsid w:val="00360C97"/>
    <w:rsid w:val="0036127E"/>
    <w:rsid w:val="0036243B"/>
    <w:rsid w:val="0036284A"/>
    <w:rsid w:val="00362F19"/>
    <w:rsid w:val="003642F3"/>
    <w:rsid w:val="0036439A"/>
    <w:rsid w:val="00364DB1"/>
    <w:rsid w:val="00365238"/>
    <w:rsid w:val="00366076"/>
    <w:rsid w:val="00367996"/>
    <w:rsid w:val="00370DDA"/>
    <w:rsid w:val="00371DDF"/>
    <w:rsid w:val="003723C6"/>
    <w:rsid w:val="00372672"/>
    <w:rsid w:val="003727E0"/>
    <w:rsid w:val="003728B5"/>
    <w:rsid w:val="00375008"/>
    <w:rsid w:val="003755A3"/>
    <w:rsid w:val="00376988"/>
    <w:rsid w:val="00376DAE"/>
    <w:rsid w:val="003775FF"/>
    <w:rsid w:val="00377E08"/>
    <w:rsid w:val="00380660"/>
    <w:rsid w:val="00381C4D"/>
    <w:rsid w:val="00382559"/>
    <w:rsid w:val="00382FA6"/>
    <w:rsid w:val="0038429E"/>
    <w:rsid w:val="003843A8"/>
    <w:rsid w:val="00386586"/>
    <w:rsid w:val="00387216"/>
    <w:rsid w:val="00387DF5"/>
    <w:rsid w:val="003911E5"/>
    <w:rsid w:val="0039170E"/>
    <w:rsid w:val="0039383B"/>
    <w:rsid w:val="003956AC"/>
    <w:rsid w:val="003973A7"/>
    <w:rsid w:val="00397637"/>
    <w:rsid w:val="00397E89"/>
    <w:rsid w:val="003A0FFA"/>
    <w:rsid w:val="003A1484"/>
    <w:rsid w:val="003A15D0"/>
    <w:rsid w:val="003A1D83"/>
    <w:rsid w:val="003A370A"/>
    <w:rsid w:val="003A3E6A"/>
    <w:rsid w:val="003A66A9"/>
    <w:rsid w:val="003B035B"/>
    <w:rsid w:val="003B0E47"/>
    <w:rsid w:val="003B1B51"/>
    <w:rsid w:val="003B2302"/>
    <w:rsid w:val="003B2D10"/>
    <w:rsid w:val="003B38F7"/>
    <w:rsid w:val="003B48EF"/>
    <w:rsid w:val="003B5ADB"/>
    <w:rsid w:val="003B6ABA"/>
    <w:rsid w:val="003B6E7D"/>
    <w:rsid w:val="003B7391"/>
    <w:rsid w:val="003B73B5"/>
    <w:rsid w:val="003B770E"/>
    <w:rsid w:val="003B7745"/>
    <w:rsid w:val="003B7EC6"/>
    <w:rsid w:val="003C04A6"/>
    <w:rsid w:val="003C10C2"/>
    <w:rsid w:val="003C189C"/>
    <w:rsid w:val="003C1F1D"/>
    <w:rsid w:val="003C2F91"/>
    <w:rsid w:val="003C32AC"/>
    <w:rsid w:val="003C369B"/>
    <w:rsid w:val="003C385D"/>
    <w:rsid w:val="003C4894"/>
    <w:rsid w:val="003C495A"/>
    <w:rsid w:val="003C4AD7"/>
    <w:rsid w:val="003C4B55"/>
    <w:rsid w:val="003C55F4"/>
    <w:rsid w:val="003C5FFA"/>
    <w:rsid w:val="003C7541"/>
    <w:rsid w:val="003D0C4D"/>
    <w:rsid w:val="003D103F"/>
    <w:rsid w:val="003D1809"/>
    <w:rsid w:val="003D1F4B"/>
    <w:rsid w:val="003D1F74"/>
    <w:rsid w:val="003D2AA6"/>
    <w:rsid w:val="003D330D"/>
    <w:rsid w:val="003D34F9"/>
    <w:rsid w:val="003D36D3"/>
    <w:rsid w:val="003D5FBB"/>
    <w:rsid w:val="003D6976"/>
    <w:rsid w:val="003E018E"/>
    <w:rsid w:val="003E0444"/>
    <w:rsid w:val="003E080B"/>
    <w:rsid w:val="003E09EE"/>
    <w:rsid w:val="003E0CEF"/>
    <w:rsid w:val="003E47E9"/>
    <w:rsid w:val="003E58D0"/>
    <w:rsid w:val="003E78B9"/>
    <w:rsid w:val="003E7954"/>
    <w:rsid w:val="003E7AA9"/>
    <w:rsid w:val="003F002E"/>
    <w:rsid w:val="003F0A79"/>
    <w:rsid w:val="003F2600"/>
    <w:rsid w:val="003F2A1F"/>
    <w:rsid w:val="003F42CF"/>
    <w:rsid w:val="003F43C8"/>
    <w:rsid w:val="003F4A14"/>
    <w:rsid w:val="003F5C24"/>
    <w:rsid w:val="003F6A8F"/>
    <w:rsid w:val="003F75EE"/>
    <w:rsid w:val="0040150F"/>
    <w:rsid w:val="00402141"/>
    <w:rsid w:val="0040236E"/>
    <w:rsid w:val="004023EA"/>
    <w:rsid w:val="004027C0"/>
    <w:rsid w:val="004029A0"/>
    <w:rsid w:val="0040755D"/>
    <w:rsid w:val="004114C6"/>
    <w:rsid w:val="00411E9D"/>
    <w:rsid w:val="00412D27"/>
    <w:rsid w:val="00414C89"/>
    <w:rsid w:val="00415D32"/>
    <w:rsid w:val="00416553"/>
    <w:rsid w:val="00420A33"/>
    <w:rsid w:val="00420F59"/>
    <w:rsid w:val="00421229"/>
    <w:rsid w:val="00421289"/>
    <w:rsid w:val="004229BF"/>
    <w:rsid w:val="00423017"/>
    <w:rsid w:val="0042384E"/>
    <w:rsid w:val="00423C31"/>
    <w:rsid w:val="004243E7"/>
    <w:rsid w:val="00424A6D"/>
    <w:rsid w:val="00424B83"/>
    <w:rsid w:val="00424DD3"/>
    <w:rsid w:val="00424FA6"/>
    <w:rsid w:val="00425EBE"/>
    <w:rsid w:val="00426C64"/>
    <w:rsid w:val="0042713A"/>
    <w:rsid w:val="004318C1"/>
    <w:rsid w:val="00433AA2"/>
    <w:rsid w:val="00433D53"/>
    <w:rsid w:val="00433DB4"/>
    <w:rsid w:val="004347A6"/>
    <w:rsid w:val="0043522B"/>
    <w:rsid w:val="004363BB"/>
    <w:rsid w:val="00436988"/>
    <w:rsid w:val="0043707D"/>
    <w:rsid w:val="00437368"/>
    <w:rsid w:val="0044009C"/>
    <w:rsid w:val="0044148D"/>
    <w:rsid w:val="00441CB7"/>
    <w:rsid w:val="004429F9"/>
    <w:rsid w:val="00443208"/>
    <w:rsid w:val="004433C1"/>
    <w:rsid w:val="0044413C"/>
    <w:rsid w:val="0044431B"/>
    <w:rsid w:val="00444672"/>
    <w:rsid w:val="004456C7"/>
    <w:rsid w:val="00445CDD"/>
    <w:rsid w:val="00445EA3"/>
    <w:rsid w:val="00445F99"/>
    <w:rsid w:val="00446019"/>
    <w:rsid w:val="00451133"/>
    <w:rsid w:val="00451834"/>
    <w:rsid w:val="00451E51"/>
    <w:rsid w:val="00451EF4"/>
    <w:rsid w:val="00454F22"/>
    <w:rsid w:val="004553F8"/>
    <w:rsid w:val="00456A2D"/>
    <w:rsid w:val="00457192"/>
    <w:rsid w:val="0045757E"/>
    <w:rsid w:val="0046143E"/>
    <w:rsid w:val="004622B4"/>
    <w:rsid w:val="004628C3"/>
    <w:rsid w:val="00462F77"/>
    <w:rsid w:val="00463245"/>
    <w:rsid w:val="00463C5F"/>
    <w:rsid w:val="00464387"/>
    <w:rsid w:val="004653FC"/>
    <w:rsid w:val="00466A6D"/>
    <w:rsid w:val="00466E69"/>
    <w:rsid w:val="00466F2F"/>
    <w:rsid w:val="00470567"/>
    <w:rsid w:val="00470983"/>
    <w:rsid w:val="00471869"/>
    <w:rsid w:val="00473373"/>
    <w:rsid w:val="00473D72"/>
    <w:rsid w:val="00474F77"/>
    <w:rsid w:val="00475782"/>
    <w:rsid w:val="004759C1"/>
    <w:rsid w:val="00476EFB"/>
    <w:rsid w:val="00477A55"/>
    <w:rsid w:val="0048383A"/>
    <w:rsid w:val="0048580A"/>
    <w:rsid w:val="00485A91"/>
    <w:rsid w:val="00486388"/>
    <w:rsid w:val="00490B95"/>
    <w:rsid w:val="00490D36"/>
    <w:rsid w:val="00490DF9"/>
    <w:rsid w:val="00491135"/>
    <w:rsid w:val="0049119C"/>
    <w:rsid w:val="004916DE"/>
    <w:rsid w:val="00491B7D"/>
    <w:rsid w:val="00492193"/>
    <w:rsid w:val="004921B9"/>
    <w:rsid w:val="0049273E"/>
    <w:rsid w:val="00492E25"/>
    <w:rsid w:val="00493C29"/>
    <w:rsid w:val="00493E9C"/>
    <w:rsid w:val="00495A57"/>
    <w:rsid w:val="004966C7"/>
    <w:rsid w:val="00496FA6"/>
    <w:rsid w:val="004977D2"/>
    <w:rsid w:val="00497CDC"/>
    <w:rsid w:val="004A11AF"/>
    <w:rsid w:val="004A25F7"/>
    <w:rsid w:val="004A3899"/>
    <w:rsid w:val="004A4476"/>
    <w:rsid w:val="004A45D3"/>
    <w:rsid w:val="004A47AC"/>
    <w:rsid w:val="004A4CE9"/>
    <w:rsid w:val="004A54CA"/>
    <w:rsid w:val="004A5B38"/>
    <w:rsid w:val="004A69FB"/>
    <w:rsid w:val="004A6FD6"/>
    <w:rsid w:val="004A74F5"/>
    <w:rsid w:val="004B04E1"/>
    <w:rsid w:val="004B1FB0"/>
    <w:rsid w:val="004B2679"/>
    <w:rsid w:val="004B2B5A"/>
    <w:rsid w:val="004B2EDE"/>
    <w:rsid w:val="004B38D2"/>
    <w:rsid w:val="004B4504"/>
    <w:rsid w:val="004B46D7"/>
    <w:rsid w:val="004B4E64"/>
    <w:rsid w:val="004B5A98"/>
    <w:rsid w:val="004B6DF3"/>
    <w:rsid w:val="004B70C5"/>
    <w:rsid w:val="004B757B"/>
    <w:rsid w:val="004B787E"/>
    <w:rsid w:val="004B790E"/>
    <w:rsid w:val="004B798B"/>
    <w:rsid w:val="004B7C94"/>
    <w:rsid w:val="004C052A"/>
    <w:rsid w:val="004C0A26"/>
    <w:rsid w:val="004C108B"/>
    <w:rsid w:val="004C22FF"/>
    <w:rsid w:val="004C25B7"/>
    <w:rsid w:val="004C2616"/>
    <w:rsid w:val="004C28AC"/>
    <w:rsid w:val="004C291F"/>
    <w:rsid w:val="004C312A"/>
    <w:rsid w:val="004C5B3C"/>
    <w:rsid w:val="004C5C9D"/>
    <w:rsid w:val="004C627E"/>
    <w:rsid w:val="004C6862"/>
    <w:rsid w:val="004C6BDE"/>
    <w:rsid w:val="004C7176"/>
    <w:rsid w:val="004C764E"/>
    <w:rsid w:val="004D0291"/>
    <w:rsid w:val="004D0B23"/>
    <w:rsid w:val="004D0D5D"/>
    <w:rsid w:val="004D13DF"/>
    <w:rsid w:val="004D1F83"/>
    <w:rsid w:val="004D20DE"/>
    <w:rsid w:val="004D21AC"/>
    <w:rsid w:val="004D221B"/>
    <w:rsid w:val="004D3209"/>
    <w:rsid w:val="004D41EE"/>
    <w:rsid w:val="004D431C"/>
    <w:rsid w:val="004D4515"/>
    <w:rsid w:val="004D4773"/>
    <w:rsid w:val="004D53C2"/>
    <w:rsid w:val="004D58FA"/>
    <w:rsid w:val="004D5B2C"/>
    <w:rsid w:val="004D619E"/>
    <w:rsid w:val="004D63B9"/>
    <w:rsid w:val="004D69F4"/>
    <w:rsid w:val="004D740E"/>
    <w:rsid w:val="004D7A15"/>
    <w:rsid w:val="004E119A"/>
    <w:rsid w:val="004E1385"/>
    <w:rsid w:val="004E2663"/>
    <w:rsid w:val="004E2F19"/>
    <w:rsid w:val="004E3E1A"/>
    <w:rsid w:val="004E3E5E"/>
    <w:rsid w:val="004E4673"/>
    <w:rsid w:val="004E49B2"/>
    <w:rsid w:val="004E51E1"/>
    <w:rsid w:val="004E580B"/>
    <w:rsid w:val="004E596C"/>
    <w:rsid w:val="004F0A89"/>
    <w:rsid w:val="004F0CF9"/>
    <w:rsid w:val="004F0EDD"/>
    <w:rsid w:val="004F163C"/>
    <w:rsid w:val="004F170B"/>
    <w:rsid w:val="004F1AE9"/>
    <w:rsid w:val="004F1BD7"/>
    <w:rsid w:val="004F1C39"/>
    <w:rsid w:val="004F23E6"/>
    <w:rsid w:val="004F3358"/>
    <w:rsid w:val="004F3367"/>
    <w:rsid w:val="004F3A0E"/>
    <w:rsid w:val="004F464C"/>
    <w:rsid w:val="004F4CE2"/>
    <w:rsid w:val="004F5A1A"/>
    <w:rsid w:val="004F5F6C"/>
    <w:rsid w:val="004F6683"/>
    <w:rsid w:val="004F69C5"/>
    <w:rsid w:val="004F74EE"/>
    <w:rsid w:val="004F7806"/>
    <w:rsid w:val="00500164"/>
    <w:rsid w:val="00500A51"/>
    <w:rsid w:val="00501FE8"/>
    <w:rsid w:val="00502A09"/>
    <w:rsid w:val="0050350E"/>
    <w:rsid w:val="00504B50"/>
    <w:rsid w:val="00504DAB"/>
    <w:rsid w:val="00505A48"/>
    <w:rsid w:val="00505F6E"/>
    <w:rsid w:val="00507001"/>
    <w:rsid w:val="00507064"/>
    <w:rsid w:val="00507878"/>
    <w:rsid w:val="00511144"/>
    <w:rsid w:val="005115B7"/>
    <w:rsid w:val="00515C99"/>
    <w:rsid w:val="00516935"/>
    <w:rsid w:val="0051703E"/>
    <w:rsid w:val="00517B6C"/>
    <w:rsid w:val="00521227"/>
    <w:rsid w:val="00521C01"/>
    <w:rsid w:val="0052266F"/>
    <w:rsid w:val="00523A51"/>
    <w:rsid w:val="0052782D"/>
    <w:rsid w:val="00527922"/>
    <w:rsid w:val="00527E0A"/>
    <w:rsid w:val="00530B45"/>
    <w:rsid w:val="005326AC"/>
    <w:rsid w:val="00532882"/>
    <w:rsid w:val="005333ED"/>
    <w:rsid w:val="005335E5"/>
    <w:rsid w:val="005336E2"/>
    <w:rsid w:val="0053409E"/>
    <w:rsid w:val="0053492F"/>
    <w:rsid w:val="00535097"/>
    <w:rsid w:val="005355B3"/>
    <w:rsid w:val="00536E14"/>
    <w:rsid w:val="005412FA"/>
    <w:rsid w:val="005414CD"/>
    <w:rsid w:val="00541A50"/>
    <w:rsid w:val="00541C33"/>
    <w:rsid w:val="0054288B"/>
    <w:rsid w:val="005434E7"/>
    <w:rsid w:val="00543CAF"/>
    <w:rsid w:val="00544F00"/>
    <w:rsid w:val="00545668"/>
    <w:rsid w:val="00546087"/>
    <w:rsid w:val="00546193"/>
    <w:rsid w:val="00546EBB"/>
    <w:rsid w:val="00547D3C"/>
    <w:rsid w:val="00547E74"/>
    <w:rsid w:val="00550344"/>
    <w:rsid w:val="00550C35"/>
    <w:rsid w:val="005519F0"/>
    <w:rsid w:val="005527A6"/>
    <w:rsid w:val="00552958"/>
    <w:rsid w:val="00553370"/>
    <w:rsid w:val="00556F25"/>
    <w:rsid w:val="00556F78"/>
    <w:rsid w:val="005573A4"/>
    <w:rsid w:val="005600B3"/>
    <w:rsid w:val="005600D9"/>
    <w:rsid w:val="00560E52"/>
    <w:rsid w:val="00561052"/>
    <w:rsid w:val="005613FC"/>
    <w:rsid w:val="00561D16"/>
    <w:rsid w:val="00561DA3"/>
    <w:rsid w:val="00562BF6"/>
    <w:rsid w:val="0056331D"/>
    <w:rsid w:val="00563E49"/>
    <w:rsid w:val="00564A10"/>
    <w:rsid w:val="0056553A"/>
    <w:rsid w:val="00566D99"/>
    <w:rsid w:val="00567777"/>
    <w:rsid w:val="005700F8"/>
    <w:rsid w:val="005701E3"/>
    <w:rsid w:val="00570A68"/>
    <w:rsid w:val="00570C96"/>
    <w:rsid w:val="0057131C"/>
    <w:rsid w:val="00573F34"/>
    <w:rsid w:val="00575452"/>
    <w:rsid w:val="005766EF"/>
    <w:rsid w:val="005771F9"/>
    <w:rsid w:val="005775DB"/>
    <w:rsid w:val="005777DB"/>
    <w:rsid w:val="00577AB4"/>
    <w:rsid w:val="005822F7"/>
    <w:rsid w:val="00582A3F"/>
    <w:rsid w:val="00582A7D"/>
    <w:rsid w:val="00583A7A"/>
    <w:rsid w:val="00584389"/>
    <w:rsid w:val="0058562D"/>
    <w:rsid w:val="005858B0"/>
    <w:rsid w:val="00585DB7"/>
    <w:rsid w:val="005867B8"/>
    <w:rsid w:val="00590AEC"/>
    <w:rsid w:val="005910CE"/>
    <w:rsid w:val="0059131B"/>
    <w:rsid w:val="00592046"/>
    <w:rsid w:val="00592B72"/>
    <w:rsid w:val="00592DE2"/>
    <w:rsid w:val="00594560"/>
    <w:rsid w:val="00595A84"/>
    <w:rsid w:val="0059621B"/>
    <w:rsid w:val="005964A6"/>
    <w:rsid w:val="005972AB"/>
    <w:rsid w:val="00597E25"/>
    <w:rsid w:val="005A0CAE"/>
    <w:rsid w:val="005A0EDD"/>
    <w:rsid w:val="005A19AD"/>
    <w:rsid w:val="005A2491"/>
    <w:rsid w:val="005A2704"/>
    <w:rsid w:val="005A36E7"/>
    <w:rsid w:val="005A39C8"/>
    <w:rsid w:val="005A49EC"/>
    <w:rsid w:val="005A54DB"/>
    <w:rsid w:val="005A5EDB"/>
    <w:rsid w:val="005A675B"/>
    <w:rsid w:val="005A6D88"/>
    <w:rsid w:val="005A7EAA"/>
    <w:rsid w:val="005B0003"/>
    <w:rsid w:val="005B127B"/>
    <w:rsid w:val="005B1E90"/>
    <w:rsid w:val="005B31D7"/>
    <w:rsid w:val="005B37D1"/>
    <w:rsid w:val="005B5423"/>
    <w:rsid w:val="005B5934"/>
    <w:rsid w:val="005B6636"/>
    <w:rsid w:val="005C0B06"/>
    <w:rsid w:val="005C0B5C"/>
    <w:rsid w:val="005C2607"/>
    <w:rsid w:val="005C3AA4"/>
    <w:rsid w:val="005C4893"/>
    <w:rsid w:val="005C5701"/>
    <w:rsid w:val="005D1147"/>
    <w:rsid w:val="005D300E"/>
    <w:rsid w:val="005D455B"/>
    <w:rsid w:val="005D497D"/>
    <w:rsid w:val="005D4BDD"/>
    <w:rsid w:val="005D5CA9"/>
    <w:rsid w:val="005D619A"/>
    <w:rsid w:val="005D64E6"/>
    <w:rsid w:val="005E0304"/>
    <w:rsid w:val="005E0C6A"/>
    <w:rsid w:val="005E0DF6"/>
    <w:rsid w:val="005E17F2"/>
    <w:rsid w:val="005E1BE2"/>
    <w:rsid w:val="005E59EB"/>
    <w:rsid w:val="005E7E61"/>
    <w:rsid w:val="005E7FEB"/>
    <w:rsid w:val="005F01D5"/>
    <w:rsid w:val="005F02BB"/>
    <w:rsid w:val="005F09E4"/>
    <w:rsid w:val="005F1059"/>
    <w:rsid w:val="005F2673"/>
    <w:rsid w:val="005F34F4"/>
    <w:rsid w:val="005F3E4E"/>
    <w:rsid w:val="005F4BD8"/>
    <w:rsid w:val="005F60FC"/>
    <w:rsid w:val="005F6398"/>
    <w:rsid w:val="005F6B1D"/>
    <w:rsid w:val="005F79C9"/>
    <w:rsid w:val="00600195"/>
    <w:rsid w:val="00600BD5"/>
    <w:rsid w:val="006010FC"/>
    <w:rsid w:val="0060515F"/>
    <w:rsid w:val="00605850"/>
    <w:rsid w:val="00606C26"/>
    <w:rsid w:val="0061079A"/>
    <w:rsid w:val="00610A8A"/>
    <w:rsid w:val="00610C12"/>
    <w:rsid w:val="0061151D"/>
    <w:rsid w:val="00611745"/>
    <w:rsid w:val="006125FC"/>
    <w:rsid w:val="00612D3A"/>
    <w:rsid w:val="00612EA9"/>
    <w:rsid w:val="00612F77"/>
    <w:rsid w:val="006161F7"/>
    <w:rsid w:val="0062073F"/>
    <w:rsid w:val="00622F2D"/>
    <w:rsid w:val="00623057"/>
    <w:rsid w:val="00624055"/>
    <w:rsid w:val="00624450"/>
    <w:rsid w:val="00625C48"/>
    <w:rsid w:val="00631BED"/>
    <w:rsid w:val="00633C45"/>
    <w:rsid w:val="00633F25"/>
    <w:rsid w:val="0063502E"/>
    <w:rsid w:val="00635064"/>
    <w:rsid w:val="006359BA"/>
    <w:rsid w:val="006361FE"/>
    <w:rsid w:val="00637A64"/>
    <w:rsid w:val="00637CC8"/>
    <w:rsid w:val="006403C8"/>
    <w:rsid w:val="00640B69"/>
    <w:rsid w:val="0064163B"/>
    <w:rsid w:val="00641CCF"/>
    <w:rsid w:val="00642571"/>
    <w:rsid w:val="006438DF"/>
    <w:rsid w:val="00643D5F"/>
    <w:rsid w:val="00643E78"/>
    <w:rsid w:val="00645289"/>
    <w:rsid w:val="00645664"/>
    <w:rsid w:val="0064745A"/>
    <w:rsid w:val="00651AF5"/>
    <w:rsid w:val="00652117"/>
    <w:rsid w:val="00653427"/>
    <w:rsid w:val="00653D90"/>
    <w:rsid w:val="0065413B"/>
    <w:rsid w:val="006541FA"/>
    <w:rsid w:val="0065672E"/>
    <w:rsid w:val="00660271"/>
    <w:rsid w:val="006627D6"/>
    <w:rsid w:val="00663A74"/>
    <w:rsid w:val="006645F6"/>
    <w:rsid w:val="00664C33"/>
    <w:rsid w:val="00665CAB"/>
    <w:rsid w:val="00666120"/>
    <w:rsid w:val="00671018"/>
    <w:rsid w:val="00671DA9"/>
    <w:rsid w:val="0067238E"/>
    <w:rsid w:val="00673598"/>
    <w:rsid w:val="006740CE"/>
    <w:rsid w:val="00674CDD"/>
    <w:rsid w:val="006752C9"/>
    <w:rsid w:val="006752D6"/>
    <w:rsid w:val="0067709B"/>
    <w:rsid w:val="00680FC3"/>
    <w:rsid w:val="006852D8"/>
    <w:rsid w:val="00685F38"/>
    <w:rsid w:val="006870E8"/>
    <w:rsid w:val="006871C4"/>
    <w:rsid w:val="0069197F"/>
    <w:rsid w:val="00691DF9"/>
    <w:rsid w:val="00692E58"/>
    <w:rsid w:val="00694A18"/>
    <w:rsid w:val="00695C5A"/>
    <w:rsid w:val="00695D7B"/>
    <w:rsid w:val="00697011"/>
    <w:rsid w:val="00697D62"/>
    <w:rsid w:val="006A0AF4"/>
    <w:rsid w:val="006A0B2D"/>
    <w:rsid w:val="006A2E22"/>
    <w:rsid w:val="006A2FE5"/>
    <w:rsid w:val="006A60FD"/>
    <w:rsid w:val="006A7B9B"/>
    <w:rsid w:val="006A7C49"/>
    <w:rsid w:val="006B020B"/>
    <w:rsid w:val="006B05CB"/>
    <w:rsid w:val="006B1689"/>
    <w:rsid w:val="006B2599"/>
    <w:rsid w:val="006B3686"/>
    <w:rsid w:val="006B378D"/>
    <w:rsid w:val="006B4469"/>
    <w:rsid w:val="006B4AC0"/>
    <w:rsid w:val="006B5EE4"/>
    <w:rsid w:val="006B642E"/>
    <w:rsid w:val="006B7295"/>
    <w:rsid w:val="006C0E0D"/>
    <w:rsid w:val="006C1737"/>
    <w:rsid w:val="006C39E5"/>
    <w:rsid w:val="006C3EB7"/>
    <w:rsid w:val="006C4F59"/>
    <w:rsid w:val="006C559A"/>
    <w:rsid w:val="006C573B"/>
    <w:rsid w:val="006C660A"/>
    <w:rsid w:val="006C6C7B"/>
    <w:rsid w:val="006C779E"/>
    <w:rsid w:val="006D2922"/>
    <w:rsid w:val="006D2EFE"/>
    <w:rsid w:val="006D57BE"/>
    <w:rsid w:val="006D59DD"/>
    <w:rsid w:val="006D6256"/>
    <w:rsid w:val="006D63ED"/>
    <w:rsid w:val="006D6516"/>
    <w:rsid w:val="006D78D8"/>
    <w:rsid w:val="006D7F62"/>
    <w:rsid w:val="006E0F08"/>
    <w:rsid w:val="006E22E8"/>
    <w:rsid w:val="006E5540"/>
    <w:rsid w:val="006E5B97"/>
    <w:rsid w:val="006E60BE"/>
    <w:rsid w:val="006E732C"/>
    <w:rsid w:val="006F02B3"/>
    <w:rsid w:val="006F121B"/>
    <w:rsid w:val="006F176C"/>
    <w:rsid w:val="006F2E0B"/>
    <w:rsid w:val="006F6707"/>
    <w:rsid w:val="006F7DB2"/>
    <w:rsid w:val="00700828"/>
    <w:rsid w:val="00700EDD"/>
    <w:rsid w:val="007011BB"/>
    <w:rsid w:val="0070135D"/>
    <w:rsid w:val="00702D3A"/>
    <w:rsid w:val="0070336C"/>
    <w:rsid w:val="00704956"/>
    <w:rsid w:val="00705FB8"/>
    <w:rsid w:val="00706C13"/>
    <w:rsid w:val="00706D72"/>
    <w:rsid w:val="00707048"/>
    <w:rsid w:val="0070728B"/>
    <w:rsid w:val="00710DDE"/>
    <w:rsid w:val="00711033"/>
    <w:rsid w:val="00713038"/>
    <w:rsid w:val="00713F37"/>
    <w:rsid w:val="00714DD0"/>
    <w:rsid w:val="00715712"/>
    <w:rsid w:val="0071579E"/>
    <w:rsid w:val="0071679E"/>
    <w:rsid w:val="00720004"/>
    <w:rsid w:val="00720521"/>
    <w:rsid w:val="00721E5E"/>
    <w:rsid w:val="007223AD"/>
    <w:rsid w:val="00722463"/>
    <w:rsid w:val="00722D50"/>
    <w:rsid w:val="00722EDC"/>
    <w:rsid w:val="007239FE"/>
    <w:rsid w:val="00723D26"/>
    <w:rsid w:val="007246BC"/>
    <w:rsid w:val="007248C3"/>
    <w:rsid w:val="0072654E"/>
    <w:rsid w:val="00727484"/>
    <w:rsid w:val="00727DA0"/>
    <w:rsid w:val="00727DE0"/>
    <w:rsid w:val="00730203"/>
    <w:rsid w:val="00730C51"/>
    <w:rsid w:val="00731083"/>
    <w:rsid w:val="00733576"/>
    <w:rsid w:val="00733BD2"/>
    <w:rsid w:val="007345A4"/>
    <w:rsid w:val="00734BFC"/>
    <w:rsid w:val="00735AE4"/>
    <w:rsid w:val="007362E1"/>
    <w:rsid w:val="0073696F"/>
    <w:rsid w:val="007371B9"/>
    <w:rsid w:val="00737783"/>
    <w:rsid w:val="00737FA1"/>
    <w:rsid w:val="00740319"/>
    <w:rsid w:val="007418E8"/>
    <w:rsid w:val="00742960"/>
    <w:rsid w:val="00743B0B"/>
    <w:rsid w:val="00744B9B"/>
    <w:rsid w:val="00746ACF"/>
    <w:rsid w:val="007473AC"/>
    <w:rsid w:val="007503B9"/>
    <w:rsid w:val="007505FB"/>
    <w:rsid w:val="007507BF"/>
    <w:rsid w:val="007508F6"/>
    <w:rsid w:val="00751A5C"/>
    <w:rsid w:val="00752154"/>
    <w:rsid w:val="00752B74"/>
    <w:rsid w:val="00752C3E"/>
    <w:rsid w:val="00753A2C"/>
    <w:rsid w:val="0075459A"/>
    <w:rsid w:val="00755508"/>
    <w:rsid w:val="007606A9"/>
    <w:rsid w:val="007609EF"/>
    <w:rsid w:val="00760E82"/>
    <w:rsid w:val="00762F86"/>
    <w:rsid w:val="00763287"/>
    <w:rsid w:val="00763638"/>
    <w:rsid w:val="00763651"/>
    <w:rsid w:val="00764722"/>
    <w:rsid w:val="00764B35"/>
    <w:rsid w:val="00764D89"/>
    <w:rsid w:val="00765661"/>
    <w:rsid w:val="00766784"/>
    <w:rsid w:val="00766C91"/>
    <w:rsid w:val="00773884"/>
    <w:rsid w:val="00773988"/>
    <w:rsid w:val="007748EC"/>
    <w:rsid w:val="00774D03"/>
    <w:rsid w:val="00775074"/>
    <w:rsid w:val="007757B1"/>
    <w:rsid w:val="00775F58"/>
    <w:rsid w:val="007761BB"/>
    <w:rsid w:val="007778FF"/>
    <w:rsid w:val="00777A7E"/>
    <w:rsid w:val="00777AE2"/>
    <w:rsid w:val="00777E38"/>
    <w:rsid w:val="00780FB5"/>
    <w:rsid w:val="007846BC"/>
    <w:rsid w:val="00784A0C"/>
    <w:rsid w:val="00784CAA"/>
    <w:rsid w:val="00787270"/>
    <w:rsid w:val="00790019"/>
    <w:rsid w:val="00790876"/>
    <w:rsid w:val="0079108D"/>
    <w:rsid w:val="007913BB"/>
    <w:rsid w:val="007920C1"/>
    <w:rsid w:val="007969D1"/>
    <w:rsid w:val="00796A95"/>
    <w:rsid w:val="00796CB5"/>
    <w:rsid w:val="0079717D"/>
    <w:rsid w:val="0079746E"/>
    <w:rsid w:val="007A013F"/>
    <w:rsid w:val="007A1E45"/>
    <w:rsid w:val="007A2D12"/>
    <w:rsid w:val="007A3BA4"/>
    <w:rsid w:val="007A3D08"/>
    <w:rsid w:val="007A43C3"/>
    <w:rsid w:val="007A6A3C"/>
    <w:rsid w:val="007A6D12"/>
    <w:rsid w:val="007B08C5"/>
    <w:rsid w:val="007B12E7"/>
    <w:rsid w:val="007B2C0A"/>
    <w:rsid w:val="007B2C72"/>
    <w:rsid w:val="007B2CDE"/>
    <w:rsid w:val="007B5257"/>
    <w:rsid w:val="007C125C"/>
    <w:rsid w:val="007C1C82"/>
    <w:rsid w:val="007C211A"/>
    <w:rsid w:val="007C26D2"/>
    <w:rsid w:val="007C286F"/>
    <w:rsid w:val="007C411C"/>
    <w:rsid w:val="007C5E8C"/>
    <w:rsid w:val="007C6138"/>
    <w:rsid w:val="007C6295"/>
    <w:rsid w:val="007D01AF"/>
    <w:rsid w:val="007D1B84"/>
    <w:rsid w:val="007D1DC6"/>
    <w:rsid w:val="007D243E"/>
    <w:rsid w:val="007D2AEF"/>
    <w:rsid w:val="007D2BF7"/>
    <w:rsid w:val="007D304F"/>
    <w:rsid w:val="007D338C"/>
    <w:rsid w:val="007D3B9C"/>
    <w:rsid w:val="007D3C76"/>
    <w:rsid w:val="007D3F54"/>
    <w:rsid w:val="007D5336"/>
    <w:rsid w:val="007D58FD"/>
    <w:rsid w:val="007D6F9A"/>
    <w:rsid w:val="007D7C68"/>
    <w:rsid w:val="007E026F"/>
    <w:rsid w:val="007E541F"/>
    <w:rsid w:val="007E5C0D"/>
    <w:rsid w:val="007E663F"/>
    <w:rsid w:val="007E6728"/>
    <w:rsid w:val="007E67AC"/>
    <w:rsid w:val="007E6C67"/>
    <w:rsid w:val="007E75AF"/>
    <w:rsid w:val="007F1196"/>
    <w:rsid w:val="007F2384"/>
    <w:rsid w:val="007F2502"/>
    <w:rsid w:val="007F40C6"/>
    <w:rsid w:val="007F503F"/>
    <w:rsid w:val="007F57C9"/>
    <w:rsid w:val="007F6A5B"/>
    <w:rsid w:val="007F7B0B"/>
    <w:rsid w:val="00800345"/>
    <w:rsid w:val="008007E6"/>
    <w:rsid w:val="0080240A"/>
    <w:rsid w:val="008036C4"/>
    <w:rsid w:val="00803B1B"/>
    <w:rsid w:val="00805735"/>
    <w:rsid w:val="00805CCC"/>
    <w:rsid w:val="00805CF4"/>
    <w:rsid w:val="008068BF"/>
    <w:rsid w:val="00806AAF"/>
    <w:rsid w:val="0080715E"/>
    <w:rsid w:val="0081008D"/>
    <w:rsid w:val="00810516"/>
    <w:rsid w:val="00810F4E"/>
    <w:rsid w:val="00811741"/>
    <w:rsid w:val="00811C53"/>
    <w:rsid w:val="00812094"/>
    <w:rsid w:val="008121E7"/>
    <w:rsid w:val="00812A4E"/>
    <w:rsid w:val="00813CB9"/>
    <w:rsid w:val="00816532"/>
    <w:rsid w:val="00817237"/>
    <w:rsid w:val="008172EA"/>
    <w:rsid w:val="0081744A"/>
    <w:rsid w:val="008175F3"/>
    <w:rsid w:val="00817D65"/>
    <w:rsid w:val="0082045A"/>
    <w:rsid w:val="00820D20"/>
    <w:rsid w:val="008225EF"/>
    <w:rsid w:val="0082385D"/>
    <w:rsid w:val="00824A45"/>
    <w:rsid w:val="00824FF8"/>
    <w:rsid w:val="008257DB"/>
    <w:rsid w:val="0082670E"/>
    <w:rsid w:val="00827D81"/>
    <w:rsid w:val="00830093"/>
    <w:rsid w:val="00831119"/>
    <w:rsid w:val="00831BAB"/>
    <w:rsid w:val="00831D81"/>
    <w:rsid w:val="00832011"/>
    <w:rsid w:val="00832057"/>
    <w:rsid w:val="0083476C"/>
    <w:rsid w:val="00835923"/>
    <w:rsid w:val="00835F6B"/>
    <w:rsid w:val="008367FD"/>
    <w:rsid w:val="00836EB9"/>
    <w:rsid w:val="00837BAD"/>
    <w:rsid w:val="00837EAB"/>
    <w:rsid w:val="00840708"/>
    <w:rsid w:val="00840A9A"/>
    <w:rsid w:val="00840AC4"/>
    <w:rsid w:val="00840B24"/>
    <w:rsid w:val="00840BD5"/>
    <w:rsid w:val="00841048"/>
    <w:rsid w:val="00841F92"/>
    <w:rsid w:val="0084287F"/>
    <w:rsid w:val="008432A3"/>
    <w:rsid w:val="00843687"/>
    <w:rsid w:val="00844CB8"/>
    <w:rsid w:val="00845B1F"/>
    <w:rsid w:val="00845CC7"/>
    <w:rsid w:val="00846B40"/>
    <w:rsid w:val="00846DAF"/>
    <w:rsid w:val="008475F7"/>
    <w:rsid w:val="008501C9"/>
    <w:rsid w:val="00850C74"/>
    <w:rsid w:val="00850F4F"/>
    <w:rsid w:val="008516F1"/>
    <w:rsid w:val="00852650"/>
    <w:rsid w:val="0085407A"/>
    <w:rsid w:val="00854592"/>
    <w:rsid w:val="00854E17"/>
    <w:rsid w:val="00854FCE"/>
    <w:rsid w:val="008568DB"/>
    <w:rsid w:val="008569B0"/>
    <w:rsid w:val="00856C07"/>
    <w:rsid w:val="00857A69"/>
    <w:rsid w:val="00857AD7"/>
    <w:rsid w:val="0086029B"/>
    <w:rsid w:val="00861592"/>
    <w:rsid w:val="00861777"/>
    <w:rsid w:val="00862379"/>
    <w:rsid w:val="00862557"/>
    <w:rsid w:val="00863252"/>
    <w:rsid w:val="00863744"/>
    <w:rsid w:val="00863D28"/>
    <w:rsid w:val="00864C1E"/>
    <w:rsid w:val="00865476"/>
    <w:rsid w:val="00866C03"/>
    <w:rsid w:val="00866D55"/>
    <w:rsid w:val="008672D0"/>
    <w:rsid w:val="00867DED"/>
    <w:rsid w:val="00870068"/>
    <w:rsid w:val="00870CA0"/>
    <w:rsid w:val="00871218"/>
    <w:rsid w:val="00872B7F"/>
    <w:rsid w:val="00873232"/>
    <w:rsid w:val="0087330C"/>
    <w:rsid w:val="00873B15"/>
    <w:rsid w:val="00873D42"/>
    <w:rsid w:val="00873E8F"/>
    <w:rsid w:val="00873FB7"/>
    <w:rsid w:val="008745D3"/>
    <w:rsid w:val="008747B4"/>
    <w:rsid w:val="00874B18"/>
    <w:rsid w:val="0087504C"/>
    <w:rsid w:val="008759EB"/>
    <w:rsid w:val="00875A4F"/>
    <w:rsid w:val="0087743F"/>
    <w:rsid w:val="008779CC"/>
    <w:rsid w:val="00880E83"/>
    <w:rsid w:val="00881EBC"/>
    <w:rsid w:val="0088220E"/>
    <w:rsid w:val="00882C42"/>
    <w:rsid w:val="00884260"/>
    <w:rsid w:val="0088590E"/>
    <w:rsid w:val="00886BD9"/>
    <w:rsid w:val="00887356"/>
    <w:rsid w:val="008908B0"/>
    <w:rsid w:val="00890F8B"/>
    <w:rsid w:val="00891B8B"/>
    <w:rsid w:val="008933BA"/>
    <w:rsid w:val="008937C8"/>
    <w:rsid w:val="00893C82"/>
    <w:rsid w:val="00893E01"/>
    <w:rsid w:val="00894536"/>
    <w:rsid w:val="008945DD"/>
    <w:rsid w:val="00895760"/>
    <w:rsid w:val="008957A1"/>
    <w:rsid w:val="00895958"/>
    <w:rsid w:val="00895A1B"/>
    <w:rsid w:val="008961C2"/>
    <w:rsid w:val="008966E7"/>
    <w:rsid w:val="00897383"/>
    <w:rsid w:val="008A2A6B"/>
    <w:rsid w:val="008A325B"/>
    <w:rsid w:val="008A3F76"/>
    <w:rsid w:val="008A4505"/>
    <w:rsid w:val="008A5044"/>
    <w:rsid w:val="008A5D0C"/>
    <w:rsid w:val="008A6834"/>
    <w:rsid w:val="008A719D"/>
    <w:rsid w:val="008A75AF"/>
    <w:rsid w:val="008B0A2E"/>
    <w:rsid w:val="008B2EF0"/>
    <w:rsid w:val="008B31BC"/>
    <w:rsid w:val="008B370A"/>
    <w:rsid w:val="008B461C"/>
    <w:rsid w:val="008B65F7"/>
    <w:rsid w:val="008B7462"/>
    <w:rsid w:val="008B75FC"/>
    <w:rsid w:val="008B7B97"/>
    <w:rsid w:val="008C1A4F"/>
    <w:rsid w:val="008C2D08"/>
    <w:rsid w:val="008C414C"/>
    <w:rsid w:val="008C4790"/>
    <w:rsid w:val="008C4A75"/>
    <w:rsid w:val="008C533E"/>
    <w:rsid w:val="008C68D2"/>
    <w:rsid w:val="008D0181"/>
    <w:rsid w:val="008D1279"/>
    <w:rsid w:val="008D1723"/>
    <w:rsid w:val="008D1A20"/>
    <w:rsid w:val="008D23CF"/>
    <w:rsid w:val="008D5C0A"/>
    <w:rsid w:val="008D672F"/>
    <w:rsid w:val="008D7E81"/>
    <w:rsid w:val="008E00C8"/>
    <w:rsid w:val="008E0303"/>
    <w:rsid w:val="008E1513"/>
    <w:rsid w:val="008E18A3"/>
    <w:rsid w:val="008E4270"/>
    <w:rsid w:val="008E5CDC"/>
    <w:rsid w:val="008E5FE0"/>
    <w:rsid w:val="008E713E"/>
    <w:rsid w:val="008E7190"/>
    <w:rsid w:val="008E7379"/>
    <w:rsid w:val="008F0957"/>
    <w:rsid w:val="008F112C"/>
    <w:rsid w:val="008F15CD"/>
    <w:rsid w:val="008F1AF9"/>
    <w:rsid w:val="008F2FAF"/>
    <w:rsid w:val="008F306D"/>
    <w:rsid w:val="008F3177"/>
    <w:rsid w:val="008F3643"/>
    <w:rsid w:val="008F49B4"/>
    <w:rsid w:val="008F558F"/>
    <w:rsid w:val="008F56D6"/>
    <w:rsid w:val="008F57A2"/>
    <w:rsid w:val="008F5B2C"/>
    <w:rsid w:val="008F5E5A"/>
    <w:rsid w:val="008F616E"/>
    <w:rsid w:val="008F627F"/>
    <w:rsid w:val="008F6639"/>
    <w:rsid w:val="008F7036"/>
    <w:rsid w:val="008F7DAB"/>
    <w:rsid w:val="008F7EF3"/>
    <w:rsid w:val="00900246"/>
    <w:rsid w:val="00900C6C"/>
    <w:rsid w:val="00900DF6"/>
    <w:rsid w:val="0090251E"/>
    <w:rsid w:val="00902906"/>
    <w:rsid w:val="00903DF5"/>
    <w:rsid w:val="0090490A"/>
    <w:rsid w:val="00905381"/>
    <w:rsid w:val="009053E4"/>
    <w:rsid w:val="00910622"/>
    <w:rsid w:val="00910ED2"/>
    <w:rsid w:val="00914E6B"/>
    <w:rsid w:val="0091510A"/>
    <w:rsid w:val="00915587"/>
    <w:rsid w:val="0091618D"/>
    <w:rsid w:val="009161BF"/>
    <w:rsid w:val="009168C5"/>
    <w:rsid w:val="009202CD"/>
    <w:rsid w:val="00920E1F"/>
    <w:rsid w:val="00922CD2"/>
    <w:rsid w:val="00923AA4"/>
    <w:rsid w:val="00925746"/>
    <w:rsid w:val="0092629E"/>
    <w:rsid w:val="00926986"/>
    <w:rsid w:val="00927791"/>
    <w:rsid w:val="00930845"/>
    <w:rsid w:val="009308CD"/>
    <w:rsid w:val="0093170F"/>
    <w:rsid w:val="00931FB4"/>
    <w:rsid w:val="00932A0D"/>
    <w:rsid w:val="009331F4"/>
    <w:rsid w:val="009340C2"/>
    <w:rsid w:val="009347BE"/>
    <w:rsid w:val="00935A90"/>
    <w:rsid w:val="00936525"/>
    <w:rsid w:val="009365F2"/>
    <w:rsid w:val="00936715"/>
    <w:rsid w:val="00936C53"/>
    <w:rsid w:val="00937DC9"/>
    <w:rsid w:val="009404A6"/>
    <w:rsid w:val="0094052B"/>
    <w:rsid w:val="009406BB"/>
    <w:rsid w:val="00942CC7"/>
    <w:rsid w:val="00942F56"/>
    <w:rsid w:val="00943872"/>
    <w:rsid w:val="009443AC"/>
    <w:rsid w:val="00946884"/>
    <w:rsid w:val="00946CDE"/>
    <w:rsid w:val="00946ED2"/>
    <w:rsid w:val="009502AB"/>
    <w:rsid w:val="00950422"/>
    <w:rsid w:val="0095114F"/>
    <w:rsid w:val="009518A8"/>
    <w:rsid w:val="009519C5"/>
    <w:rsid w:val="00952120"/>
    <w:rsid w:val="009529C4"/>
    <w:rsid w:val="00952B62"/>
    <w:rsid w:val="00952C26"/>
    <w:rsid w:val="00952CD6"/>
    <w:rsid w:val="00953009"/>
    <w:rsid w:val="00953611"/>
    <w:rsid w:val="00953C0B"/>
    <w:rsid w:val="0095453F"/>
    <w:rsid w:val="009546CC"/>
    <w:rsid w:val="00955039"/>
    <w:rsid w:val="009550F3"/>
    <w:rsid w:val="0095562C"/>
    <w:rsid w:val="00955E61"/>
    <w:rsid w:val="0095673E"/>
    <w:rsid w:val="009573F6"/>
    <w:rsid w:val="009574BA"/>
    <w:rsid w:val="00957572"/>
    <w:rsid w:val="0096001C"/>
    <w:rsid w:val="0096038F"/>
    <w:rsid w:val="00961347"/>
    <w:rsid w:val="00961923"/>
    <w:rsid w:val="00961961"/>
    <w:rsid w:val="00961F03"/>
    <w:rsid w:val="00962EF3"/>
    <w:rsid w:val="00963A20"/>
    <w:rsid w:val="0096509F"/>
    <w:rsid w:val="00965A30"/>
    <w:rsid w:val="00965C36"/>
    <w:rsid w:val="009676B8"/>
    <w:rsid w:val="009676E1"/>
    <w:rsid w:val="00967A48"/>
    <w:rsid w:val="009701D1"/>
    <w:rsid w:val="009719D0"/>
    <w:rsid w:val="009737F8"/>
    <w:rsid w:val="009739A6"/>
    <w:rsid w:val="00975D1D"/>
    <w:rsid w:val="009762DC"/>
    <w:rsid w:val="009763A8"/>
    <w:rsid w:val="00977061"/>
    <w:rsid w:val="009778F6"/>
    <w:rsid w:val="00977DD2"/>
    <w:rsid w:val="00980153"/>
    <w:rsid w:val="00982329"/>
    <w:rsid w:val="009837FF"/>
    <w:rsid w:val="00984458"/>
    <w:rsid w:val="00984A20"/>
    <w:rsid w:val="00984CFF"/>
    <w:rsid w:val="0098545B"/>
    <w:rsid w:val="009856FF"/>
    <w:rsid w:val="009862E3"/>
    <w:rsid w:val="00986713"/>
    <w:rsid w:val="00986ECE"/>
    <w:rsid w:val="009914A9"/>
    <w:rsid w:val="00991A10"/>
    <w:rsid w:val="009931E6"/>
    <w:rsid w:val="009938F1"/>
    <w:rsid w:val="009939E9"/>
    <w:rsid w:val="009946AC"/>
    <w:rsid w:val="00994C3F"/>
    <w:rsid w:val="00996D17"/>
    <w:rsid w:val="009A00B5"/>
    <w:rsid w:val="009A0DDD"/>
    <w:rsid w:val="009A137F"/>
    <w:rsid w:val="009A1D79"/>
    <w:rsid w:val="009A248A"/>
    <w:rsid w:val="009A2B13"/>
    <w:rsid w:val="009A2FC4"/>
    <w:rsid w:val="009A5837"/>
    <w:rsid w:val="009A5F3C"/>
    <w:rsid w:val="009A63DB"/>
    <w:rsid w:val="009A688D"/>
    <w:rsid w:val="009A757C"/>
    <w:rsid w:val="009B0524"/>
    <w:rsid w:val="009B05A5"/>
    <w:rsid w:val="009B1D26"/>
    <w:rsid w:val="009B20B2"/>
    <w:rsid w:val="009B2601"/>
    <w:rsid w:val="009B290D"/>
    <w:rsid w:val="009B2E73"/>
    <w:rsid w:val="009B3118"/>
    <w:rsid w:val="009B3DFC"/>
    <w:rsid w:val="009B436A"/>
    <w:rsid w:val="009B4B80"/>
    <w:rsid w:val="009B525D"/>
    <w:rsid w:val="009B5B40"/>
    <w:rsid w:val="009B611E"/>
    <w:rsid w:val="009C0142"/>
    <w:rsid w:val="009C1CA2"/>
    <w:rsid w:val="009C2189"/>
    <w:rsid w:val="009C2525"/>
    <w:rsid w:val="009C3591"/>
    <w:rsid w:val="009C434C"/>
    <w:rsid w:val="009C540F"/>
    <w:rsid w:val="009C5BD6"/>
    <w:rsid w:val="009C7ED9"/>
    <w:rsid w:val="009D0838"/>
    <w:rsid w:val="009D252E"/>
    <w:rsid w:val="009D2C38"/>
    <w:rsid w:val="009D5724"/>
    <w:rsid w:val="009D66FE"/>
    <w:rsid w:val="009D6D48"/>
    <w:rsid w:val="009D6D9C"/>
    <w:rsid w:val="009D752A"/>
    <w:rsid w:val="009E09AD"/>
    <w:rsid w:val="009E0F95"/>
    <w:rsid w:val="009E1695"/>
    <w:rsid w:val="009E18BE"/>
    <w:rsid w:val="009E3A36"/>
    <w:rsid w:val="009E3D4A"/>
    <w:rsid w:val="009E3F21"/>
    <w:rsid w:val="009E5E68"/>
    <w:rsid w:val="009E693E"/>
    <w:rsid w:val="009E7111"/>
    <w:rsid w:val="009E7122"/>
    <w:rsid w:val="009F0911"/>
    <w:rsid w:val="009F0A5B"/>
    <w:rsid w:val="009F1134"/>
    <w:rsid w:val="009F18FC"/>
    <w:rsid w:val="009F3918"/>
    <w:rsid w:val="009F4507"/>
    <w:rsid w:val="009F7C60"/>
    <w:rsid w:val="00A0165B"/>
    <w:rsid w:val="00A02F8E"/>
    <w:rsid w:val="00A03556"/>
    <w:rsid w:val="00A0369E"/>
    <w:rsid w:val="00A03760"/>
    <w:rsid w:val="00A037B7"/>
    <w:rsid w:val="00A03ED2"/>
    <w:rsid w:val="00A04002"/>
    <w:rsid w:val="00A04D31"/>
    <w:rsid w:val="00A04DE7"/>
    <w:rsid w:val="00A0628D"/>
    <w:rsid w:val="00A1120C"/>
    <w:rsid w:val="00A138C1"/>
    <w:rsid w:val="00A14E22"/>
    <w:rsid w:val="00A1564F"/>
    <w:rsid w:val="00A15D63"/>
    <w:rsid w:val="00A15D69"/>
    <w:rsid w:val="00A165C4"/>
    <w:rsid w:val="00A1672C"/>
    <w:rsid w:val="00A20900"/>
    <w:rsid w:val="00A217FA"/>
    <w:rsid w:val="00A22D86"/>
    <w:rsid w:val="00A230B5"/>
    <w:rsid w:val="00A23175"/>
    <w:rsid w:val="00A24210"/>
    <w:rsid w:val="00A24333"/>
    <w:rsid w:val="00A25EB1"/>
    <w:rsid w:val="00A266B3"/>
    <w:rsid w:val="00A324CE"/>
    <w:rsid w:val="00A33374"/>
    <w:rsid w:val="00A33D26"/>
    <w:rsid w:val="00A34146"/>
    <w:rsid w:val="00A35508"/>
    <w:rsid w:val="00A40420"/>
    <w:rsid w:val="00A40701"/>
    <w:rsid w:val="00A40C42"/>
    <w:rsid w:val="00A41CC2"/>
    <w:rsid w:val="00A42BDE"/>
    <w:rsid w:val="00A43CBA"/>
    <w:rsid w:val="00A43FEA"/>
    <w:rsid w:val="00A4448D"/>
    <w:rsid w:val="00A44863"/>
    <w:rsid w:val="00A457B0"/>
    <w:rsid w:val="00A4589B"/>
    <w:rsid w:val="00A464B7"/>
    <w:rsid w:val="00A468E0"/>
    <w:rsid w:val="00A46E8E"/>
    <w:rsid w:val="00A47AC8"/>
    <w:rsid w:val="00A5488F"/>
    <w:rsid w:val="00A54907"/>
    <w:rsid w:val="00A54B0F"/>
    <w:rsid w:val="00A56B1F"/>
    <w:rsid w:val="00A57057"/>
    <w:rsid w:val="00A570C0"/>
    <w:rsid w:val="00A6010C"/>
    <w:rsid w:val="00A60612"/>
    <w:rsid w:val="00A608D1"/>
    <w:rsid w:val="00A62A5D"/>
    <w:rsid w:val="00A64D15"/>
    <w:rsid w:val="00A64FA5"/>
    <w:rsid w:val="00A65121"/>
    <w:rsid w:val="00A662C4"/>
    <w:rsid w:val="00A6684F"/>
    <w:rsid w:val="00A7091C"/>
    <w:rsid w:val="00A70F6A"/>
    <w:rsid w:val="00A71C0B"/>
    <w:rsid w:val="00A72012"/>
    <w:rsid w:val="00A72014"/>
    <w:rsid w:val="00A72A45"/>
    <w:rsid w:val="00A730D2"/>
    <w:rsid w:val="00A73204"/>
    <w:rsid w:val="00A73645"/>
    <w:rsid w:val="00A73850"/>
    <w:rsid w:val="00A74621"/>
    <w:rsid w:val="00A74E9B"/>
    <w:rsid w:val="00A779BE"/>
    <w:rsid w:val="00A77D3A"/>
    <w:rsid w:val="00A82744"/>
    <w:rsid w:val="00A82EE0"/>
    <w:rsid w:val="00A8454D"/>
    <w:rsid w:val="00A84727"/>
    <w:rsid w:val="00A84ACB"/>
    <w:rsid w:val="00A85890"/>
    <w:rsid w:val="00A87E6D"/>
    <w:rsid w:val="00A908E9"/>
    <w:rsid w:val="00A9190C"/>
    <w:rsid w:val="00A93821"/>
    <w:rsid w:val="00A95A93"/>
    <w:rsid w:val="00A95AEA"/>
    <w:rsid w:val="00A96207"/>
    <w:rsid w:val="00A9621C"/>
    <w:rsid w:val="00A973B1"/>
    <w:rsid w:val="00AA0C42"/>
    <w:rsid w:val="00AA3608"/>
    <w:rsid w:val="00AA3BCB"/>
    <w:rsid w:val="00AA450B"/>
    <w:rsid w:val="00AA519E"/>
    <w:rsid w:val="00AA530C"/>
    <w:rsid w:val="00AA5561"/>
    <w:rsid w:val="00AA57CF"/>
    <w:rsid w:val="00AA7196"/>
    <w:rsid w:val="00AA719A"/>
    <w:rsid w:val="00AB1D59"/>
    <w:rsid w:val="00AB2177"/>
    <w:rsid w:val="00AB2A8F"/>
    <w:rsid w:val="00AB3225"/>
    <w:rsid w:val="00AB3934"/>
    <w:rsid w:val="00AB3C14"/>
    <w:rsid w:val="00AB3CE9"/>
    <w:rsid w:val="00AB62C7"/>
    <w:rsid w:val="00AB665D"/>
    <w:rsid w:val="00AB7A50"/>
    <w:rsid w:val="00AB7C93"/>
    <w:rsid w:val="00AC011E"/>
    <w:rsid w:val="00AC1ECF"/>
    <w:rsid w:val="00AC21E1"/>
    <w:rsid w:val="00AC34AB"/>
    <w:rsid w:val="00AC37AD"/>
    <w:rsid w:val="00AC5797"/>
    <w:rsid w:val="00AC6292"/>
    <w:rsid w:val="00AC7A22"/>
    <w:rsid w:val="00AC7D62"/>
    <w:rsid w:val="00AD09F5"/>
    <w:rsid w:val="00AD0C8A"/>
    <w:rsid w:val="00AD0FE6"/>
    <w:rsid w:val="00AD108C"/>
    <w:rsid w:val="00AD13B8"/>
    <w:rsid w:val="00AD158B"/>
    <w:rsid w:val="00AD2D2A"/>
    <w:rsid w:val="00AD3028"/>
    <w:rsid w:val="00AD3314"/>
    <w:rsid w:val="00AD3754"/>
    <w:rsid w:val="00AD606F"/>
    <w:rsid w:val="00AD611A"/>
    <w:rsid w:val="00AD6140"/>
    <w:rsid w:val="00AD6481"/>
    <w:rsid w:val="00AD6C41"/>
    <w:rsid w:val="00AE0E93"/>
    <w:rsid w:val="00AE134D"/>
    <w:rsid w:val="00AE253E"/>
    <w:rsid w:val="00AE309E"/>
    <w:rsid w:val="00AE329F"/>
    <w:rsid w:val="00AE37E8"/>
    <w:rsid w:val="00AE40CD"/>
    <w:rsid w:val="00AE4AD9"/>
    <w:rsid w:val="00AE529F"/>
    <w:rsid w:val="00AE575A"/>
    <w:rsid w:val="00AE58A7"/>
    <w:rsid w:val="00AE691D"/>
    <w:rsid w:val="00AF17F2"/>
    <w:rsid w:val="00AF2481"/>
    <w:rsid w:val="00AF3572"/>
    <w:rsid w:val="00AF35C5"/>
    <w:rsid w:val="00AF4030"/>
    <w:rsid w:val="00AF5432"/>
    <w:rsid w:val="00AF5910"/>
    <w:rsid w:val="00AF66C9"/>
    <w:rsid w:val="00AF693B"/>
    <w:rsid w:val="00AF7922"/>
    <w:rsid w:val="00B010E4"/>
    <w:rsid w:val="00B03086"/>
    <w:rsid w:val="00B04CD4"/>
    <w:rsid w:val="00B04FC3"/>
    <w:rsid w:val="00B05AF4"/>
    <w:rsid w:val="00B060E4"/>
    <w:rsid w:val="00B0618C"/>
    <w:rsid w:val="00B066AD"/>
    <w:rsid w:val="00B07353"/>
    <w:rsid w:val="00B11B8D"/>
    <w:rsid w:val="00B13034"/>
    <w:rsid w:val="00B13291"/>
    <w:rsid w:val="00B13468"/>
    <w:rsid w:val="00B13EE5"/>
    <w:rsid w:val="00B148FC"/>
    <w:rsid w:val="00B14EBF"/>
    <w:rsid w:val="00B1536A"/>
    <w:rsid w:val="00B157CA"/>
    <w:rsid w:val="00B15BAD"/>
    <w:rsid w:val="00B21E82"/>
    <w:rsid w:val="00B21F99"/>
    <w:rsid w:val="00B23C07"/>
    <w:rsid w:val="00B24557"/>
    <w:rsid w:val="00B245D2"/>
    <w:rsid w:val="00B250E0"/>
    <w:rsid w:val="00B25D72"/>
    <w:rsid w:val="00B30C45"/>
    <w:rsid w:val="00B335AF"/>
    <w:rsid w:val="00B33851"/>
    <w:rsid w:val="00B33B73"/>
    <w:rsid w:val="00B34B0D"/>
    <w:rsid w:val="00B3599E"/>
    <w:rsid w:val="00B36408"/>
    <w:rsid w:val="00B377E7"/>
    <w:rsid w:val="00B403C8"/>
    <w:rsid w:val="00B40A88"/>
    <w:rsid w:val="00B40C10"/>
    <w:rsid w:val="00B418A1"/>
    <w:rsid w:val="00B434D5"/>
    <w:rsid w:val="00B448FF"/>
    <w:rsid w:val="00B45DB0"/>
    <w:rsid w:val="00B50243"/>
    <w:rsid w:val="00B50621"/>
    <w:rsid w:val="00B50DA3"/>
    <w:rsid w:val="00B53F61"/>
    <w:rsid w:val="00B547FA"/>
    <w:rsid w:val="00B55C98"/>
    <w:rsid w:val="00B55E92"/>
    <w:rsid w:val="00B55EFE"/>
    <w:rsid w:val="00B55FD7"/>
    <w:rsid w:val="00B56371"/>
    <w:rsid w:val="00B60A30"/>
    <w:rsid w:val="00B611D5"/>
    <w:rsid w:val="00B6282B"/>
    <w:rsid w:val="00B63F9A"/>
    <w:rsid w:val="00B6400C"/>
    <w:rsid w:val="00B6423A"/>
    <w:rsid w:val="00B646C1"/>
    <w:rsid w:val="00B654C3"/>
    <w:rsid w:val="00B660DF"/>
    <w:rsid w:val="00B665C5"/>
    <w:rsid w:val="00B70D3B"/>
    <w:rsid w:val="00B71218"/>
    <w:rsid w:val="00B74197"/>
    <w:rsid w:val="00B744CF"/>
    <w:rsid w:val="00B7471F"/>
    <w:rsid w:val="00B760AA"/>
    <w:rsid w:val="00B7642A"/>
    <w:rsid w:val="00B81BB3"/>
    <w:rsid w:val="00B81F3A"/>
    <w:rsid w:val="00B832B6"/>
    <w:rsid w:val="00B847D0"/>
    <w:rsid w:val="00B85594"/>
    <w:rsid w:val="00B85D1E"/>
    <w:rsid w:val="00B866A1"/>
    <w:rsid w:val="00B879EF"/>
    <w:rsid w:val="00B87D97"/>
    <w:rsid w:val="00B90D5D"/>
    <w:rsid w:val="00B911D5"/>
    <w:rsid w:val="00B92E5F"/>
    <w:rsid w:val="00B936B7"/>
    <w:rsid w:val="00B94320"/>
    <w:rsid w:val="00B94A7F"/>
    <w:rsid w:val="00B95257"/>
    <w:rsid w:val="00B96430"/>
    <w:rsid w:val="00B9686A"/>
    <w:rsid w:val="00B9735C"/>
    <w:rsid w:val="00B97408"/>
    <w:rsid w:val="00B97C38"/>
    <w:rsid w:val="00BA0196"/>
    <w:rsid w:val="00BA0372"/>
    <w:rsid w:val="00BA064E"/>
    <w:rsid w:val="00BA0A90"/>
    <w:rsid w:val="00BA0D6C"/>
    <w:rsid w:val="00BA1A84"/>
    <w:rsid w:val="00BA4777"/>
    <w:rsid w:val="00BA5228"/>
    <w:rsid w:val="00BA56B5"/>
    <w:rsid w:val="00BA5CE3"/>
    <w:rsid w:val="00BA6863"/>
    <w:rsid w:val="00BA717F"/>
    <w:rsid w:val="00BA71AE"/>
    <w:rsid w:val="00BB08A8"/>
    <w:rsid w:val="00BB1103"/>
    <w:rsid w:val="00BB2721"/>
    <w:rsid w:val="00BB38BC"/>
    <w:rsid w:val="00BB4B85"/>
    <w:rsid w:val="00BC096A"/>
    <w:rsid w:val="00BC1589"/>
    <w:rsid w:val="00BC231B"/>
    <w:rsid w:val="00BC3380"/>
    <w:rsid w:val="00BC3A9D"/>
    <w:rsid w:val="00BC566B"/>
    <w:rsid w:val="00BC58AD"/>
    <w:rsid w:val="00BC592C"/>
    <w:rsid w:val="00BC67A0"/>
    <w:rsid w:val="00BC6E0C"/>
    <w:rsid w:val="00BC6E90"/>
    <w:rsid w:val="00BC7390"/>
    <w:rsid w:val="00BC73B8"/>
    <w:rsid w:val="00BC78DE"/>
    <w:rsid w:val="00BC7F26"/>
    <w:rsid w:val="00BD0B41"/>
    <w:rsid w:val="00BD1092"/>
    <w:rsid w:val="00BD46EB"/>
    <w:rsid w:val="00BD4974"/>
    <w:rsid w:val="00BD4EB4"/>
    <w:rsid w:val="00BD52B5"/>
    <w:rsid w:val="00BD59AC"/>
    <w:rsid w:val="00BD5F78"/>
    <w:rsid w:val="00BD6573"/>
    <w:rsid w:val="00BD6788"/>
    <w:rsid w:val="00BD6F6B"/>
    <w:rsid w:val="00BD706C"/>
    <w:rsid w:val="00BD786A"/>
    <w:rsid w:val="00BD7945"/>
    <w:rsid w:val="00BE01BB"/>
    <w:rsid w:val="00BE0DAA"/>
    <w:rsid w:val="00BE0F60"/>
    <w:rsid w:val="00BE1850"/>
    <w:rsid w:val="00BE217D"/>
    <w:rsid w:val="00BE4329"/>
    <w:rsid w:val="00BE4AD6"/>
    <w:rsid w:val="00BE64CE"/>
    <w:rsid w:val="00BE6BA0"/>
    <w:rsid w:val="00BF02E4"/>
    <w:rsid w:val="00BF28A7"/>
    <w:rsid w:val="00BF40D2"/>
    <w:rsid w:val="00BF5FBA"/>
    <w:rsid w:val="00BF6394"/>
    <w:rsid w:val="00BF6709"/>
    <w:rsid w:val="00C00082"/>
    <w:rsid w:val="00C00105"/>
    <w:rsid w:val="00C009BC"/>
    <w:rsid w:val="00C01F19"/>
    <w:rsid w:val="00C01F67"/>
    <w:rsid w:val="00C021B4"/>
    <w:rsid w:val="00C022EA"/>
    <w:rsid w:val="00C024A8"/>
    <w:rsid w:val="00C0278B"/>
    <w:rsid w:val="00C03A8B"/>
    <w:rsid w:val="00C03CB4"/>
    <w:rsid w:val="00C04471"/>
    <w:rsid w:val="00C049AA"/>
    <w:rsid w:val="00C06D6C"/>
    <w:rsid w:val="00C12022"/>
    <w:rsid w:val="00C1332E"/>
    <w:rsid w:val="00C13FFE"/>
    <w:rsid w:val="00C14167"/>
    <w:rsid w:val="00C1562F"/>
    <w:rsid w:val="00C15B6D"/>
    <w:rsid w:val="00C16CE2"/>
    <w:rsid w:val="00C16FC2"/>
    <w:rsid w:val="00C17EB1"/>
    <w:rsid w:val="00C20112"/>
    <w:rsid w:val="00C22578"/>
    <w:rsid w:val="00C22747"/>
    <w:rsid w:val="00C2315A"/>
    <w:rsid w:val="00C2322B"/>
    <w:rsid w:val="00C238F1"/>
    <w:rsid w:val="00C23FC4"/>
    <w:rsid w:val="00C243CD"/>
    <w:rsid w:val="00C26252"/>
    <w:rsid w:val="00C2739C"/>
    <w:rsid w:val="00C303B5"/>
    <w:rsid w:val="00C30E03"/>
    <w:rsid w:val="00C312FF"/>
    <w:rsid w:val="00C3182D"/>
    <w:rsid w:val="00C32E45"/>
    <w:rsid w:val="00C33638"/>
    <w:rsid w:val="00C33900"/>
    <w:rsid w:val="00C33F7D"/>
    <w:rsid w:val="00C34A25"/>
    <w:rsid w:val="00C34EB3"/>
    <w:rsid w:val="00C3629B"/>
    <w:rsid w:val="00C370E5"/>
    <w:rsid w:val="00C401B1"/>
    <w:rsid w:val="00C41775"/>
    <w:rsid w:val="00C41B2A"/>
    <w:rsid w:val="00C4254D"/>
    <w:rsid w:val="00C44391"/>
    <w:rsid w:val="00C46CA9"/>
    <w:rsid w:val="00C47C1B"/>
    <w:rsid w:val="00C47E4E"/>
    <w:rsid w:val="00C5141C"/>
    <w:rsid w:val="00C515F0"/>
    <w:rsid w:val="00C52031"/>
    <w:rsid w:val="00C552EA"/>
    <w:rsid w:val="00C56A06"/>
    <w:rsid w:val="00C57CE3"/>
    <w:rsid w:val="00C602E2"/>
    <w:rsid w:val="00C61EB4"/>
    <w:rsid w:val="00C625DA"/>
    <w:rsid w:val="00C65BFC"/>
    <w:rsid w:val="00C65C2B"/>
    <w:rsid w:val="00C66273"/>
    <w:rsid w:val="00C66BC0"/>
    <w:rsid w:val="00C679B3"/>
    <w:rsid w:val="00C7000C"/>
    <w:rsid w:val="00C7084F"/>
    <w:rsid w:val="00C70BF1"/>
    <w:rsid w:val="00C71802"/>
    <w:rsid w:val="00C71AD9"/>
    <w:rsid w:val="00C71BEB"/>
    <w:rsid w:val="00C7235E"/>
    <w:rsid w:val="00C72D08"/>
    <w:rsid w:val="00C72DF3"/>
    <w:rsid w:val="00C72FF3"/>
    <w:rsid w:val="00C7311A"/>
    <w:rsid w:val="00C73E76"/>
    <w:rsid w:val="00C73F3E"/>
    <w:rsid w:val="00C7429E"/>
    <w:rsid w:val="00C74E51"/>
    <w:rsid w:val="00C75015"/>
    <w:rsid w:val="00C7553F"/>
    <w:rsid w:val="00C76043"/>
    <w:rsid w:val="00C800F4"/>
    <w:rsid w:val="00C80109"/>
    <w:rsid w:val="00C8060E"/>
    <w:rsid w:val="00C80BDA"/>
    <w:rsid w:val="00C816A3"/>
    <w:rsid w:val="00C81B21"/>
    <w:rsid w:val="00C83DB6"/>
    <w:rsid w:val="00C83F18"/>
    <w:rsid w:val="00C8441D"/>
    <w:rsid w:val="00C84AE0"/>
    <w:rsid w:val="00C84AE1"/>
    <w:rsid w:val="00C8548A"/>
    <w:rsid w:val="00C86816"/>
    <w:rsid w:val="00C86D06"/>
    <w:rsid w:val="00C87186"/>
    <w:rsid w:val="00C87917"/>
    <w:rsid w:val="00C9015D"/>
    <w:rsid w:val="00C90D17"/>
    <w:rsid w:val="00C918AB"/>
    <w:rsid w:val="00C91963"/>
    <w:rsid w:val="00C91E83"/>
    <w:rsid w:val="00C9246F"/>
    <w:rsid w:val="00C92E46"/>
    <w:rsid w:val="00C936E3"/>
    <w:rsid w:val="00C93D1F"/>
    <w:rsid w:val="00C94300"/>
    <w:rsid w:val="00C947C8"/>
    <w:rsid w:val="00C9480C"/>
    <w:rsid w:val="00C953D8"/>
    <w:rsid w:val="00C956A5"/>
    <w:rsid w:val="00C96D67"/>
    <w:rsid w:val="00C973F2"/>
    <w:rsid w:val="00CA3844"/>
    <w:rsid w:val="00CA3D30"/>
    <w:rsid w:val="00CA59EF"/>
    <w:rsid w:val="00CA6528"/>
    <w:rsid w:val="00CA6D4F"/>
    <w:rsid w:val="00CA7555"/>
    <w:rsid w:val="00CB144F"/>
    <w:rsid w:val="00CB3163"/>
    <w:rsid w:val="00CB3F20"/>
    <w:rsid w:val="00CB52FE"/>
    <w:rsid w:val="00CB5615"/>
    <w:rsid w:val="00CB584C"/>
    <w:rsid w:val="00CB59AB"/>
    <w:rsid w:val="00CB59FC"/>
    <w:rsid w:val="00CB5E35"/>
    <w:rsid w:val="00CB6CCF"/>
    <w:rsid w:val="00CB6E9E"/>
    <w:rsid w:val="00CB7310"/>
    <w:rsid w:val="00CC02B5"/>
    <w:rsid w:val="00CC09C1"/>
    <w:rsid w:val="00CC12FF"/>
    <w:rsid w:val="00CC1ED1"/>
    <w:rsid w:val="00CC246C"/>
    <w:rsid w:val="00CC258F"/>
    <w:rsid w:val="00CC26CF"/>
    <w:rsid w:val="00CC2771"/>
    <w:rsid w:val="00CC3072"/>
    <w:rsid w:val="00CC39A0"/>
    <w:rsid w:val="00CC40A9"/>
    <w:rsid w:val="00CC51E4"/>
    <w:rsid w:val="00CC54E0"/>
    <w:rsid w:val="00CC5E5E"/>
    <w:rsid w:val="00CC6895"/>
    <w:rsid w:val="00CC6E0D"/>
    <w:rsid w:val="00CC7FC2"/>
    <w:rsid w:val="00CD0729"/>
    <w:rsid w:val="00CD3342"/>
    <w:rsid w:val="00CD3409"/>
    <w:rsid w:val="00CD401A"/>
    <w:rsid w:val="00CD4CCE"/>
    <w:rsid w:val="00CD6783"/>
    <w:rsid w:val="00CE011D"/>
    <w:rsid w:val="00CE06CA"/>
    <w:rsid w:val="00CE1031"/>
    <w:rsid w:val="00CE2265"/>
    <w:rsid w:val="00CE32E4"/>
    <w:rsid w:val="00CE3C89"/>
    <w:rsid w:val="00CE406F"/>
    <w:rsid w:val="00CE5334"/>
    <w:rsid w:val="00CE5791"/>
    <w:rsid w:val="00CE5AF8"/>
    <w:rsid w:val="00CE769B"/>
    <w:rsid w:val="00CF1B3E"/>
    <w:rsid w:val="00CF20BD"/>
    <w:rsid w:val="00CF30B4"/>
    <w:rsid w:val="00CF3A55"/>
    <w:rsid w:val="00CF3CB1"/>
    <w:rsid w:val="00CF4937"/>
    <w:rsid w:val="00CF549B"/>
    <w:rsid w:val="00CF5595"/>
    <w:rsid w:val="00CF5A53"/>
    <w:rsid w:val="00CF5A8E"/>
    <w:rsid w:val="00CF63E8"/>
    <w:rsid w:val="00CF69EB"/>
    <w:rsid w:val="00CF6AAD"/>
    <w:rsid w:val="00CF6F80"/>
    <w:rsid w:val="00CF6FCA"/>
    <w:rsid w:val="00CF7BD9"/>
    <w:rsid w:val="00D00133"/>
    <w:rsid w:val="00D00690"/>
    <w:rsid w:val="00D01167"/>
    <w:rsid w:val="00D03D41"/>
    <w:rsid w:val="00D04822"/>
    <w:rsid w:val="00D052E0"/>
    <w:rsid w:val="00D10079"/>
    <w:rsid w:val="00D1196A"/>
    <w:rsid w:val="00D1304D"/>
    <w:rsid w:val="00D1516E"/>
    <w:rsid w:val="00D1616A"/>
    <w:rsid w:val="00D16E74"/>
    <w:rsid w:val="00D16FBE"/>
    <w:rsid w:val="00D17A38"/>
    <w:rsid w:val="00D20EF1"/>
    <w:rsid w:val="00D21B65"/>
    <w:rsid w:val="00D21DC1"/>
    <w:rsid w:val="00D2297B"/>
    <w:rsid w:val="00D232A9"/>
    <w:rsid w:val="00D2475D"/>
    <w:rsid w:val="00D24E42"/>
    <w:rsid w:val="00D2533B"/>
    <w:rsid w:val="00D25F50"/>
    <w:rsid w:val="00D26AD9"/>
    <w:rsid w:val="00D275DD"/>
    <w:rsid w:val="00D3042D"/>
    <w:rsid w:val="00D3213A"/>
    <w:rsid w:val="00D32D43"/>
    <w:rsid w:val="00D32E2D"/>
    <w:rsid w:val="00D33637"/>
    <w:rsid w:val="00D33C5D"/>
    <w:rsid w:val="00D34F88"/>
    <w:rsid w:val="00D355BE"/>
    <w:rsid w:val="00D35D97"/>
    <w:rsid w:val="00D3771A"/>
    <w:rsid w:val="00D407BF"/>
    <w:rsid w:val="00D41115"/>
    <w:rsid w:val="00D43360"/>
    <w:rsid w:val="00D440BF"/>
    <w:rsid w:val="00D44A83"/>
    <w:rsid w:val="00D45367"/>
    <w:rsid w:val="00D45B2E"/>
    <w:rsid w:val="00D45D2D"/>
    <w:rsid w:val="00D501AF"/>
    <w:rsid w:val="00D50337"/>
    <w:rsid w:val="00D5101B"/>
    <w:rsid w:val="00D511F0"/>
    <w:rsid w:val="00D52561"/>
    <w:rsid w:val="00D53A9D"/>
    <w:rsid w:val="00D53AB8"/>
    <w:rsid w:val="00D53FD6"/>
    <w:rsid w:val="00D54F53"/>
    <w:rsid w:val="00D55706"/>
    <w:rsid w:val="00D559DD"/>
    <w:rsid w:val="00D566B2"/>
    <w:rsid w:val="00D56A72"/>
    <w:rsid w:val="00D6281C"/>
    <w:rsid w:val="00D63323"/>
    <w:rsid w:val="00D65408"/>
    <w:rsid w:val="00D704A2"/>
    <w:rsid w:val="00D70610"/>
    <w:rsid w:val="00D72C47"/>
    <w:rsid w:val="00D73F3D"/>
    <w:rsid w:val="00D747C2"/>
    <w:rsid w:val="00D7610D"/>
    <w:rsid w:val="00D77896"/>
    <w:rsid w:val="00D8142B"/>
    <w:rsid w:val="00D81920"/>
    <w:rsid w:val="00D81984"/>
    <w:rsid w:val="00D82EB9"/>
    <w:rsid w:val="00D83AFF"/>
    <w:rsid w:val="00D852F0"/>
    <w:rsid w:val="00D85A2A"/>
    <w:rsid w:val="00D87852"/>
    <w:rsid w:val="00D87D27"/>
    <w:rsid w:val="00D90152"/>
    <w:rsid w:val="00D901E0"/>
    <w:rsid w:val="00D90DC7"/>
    <w:rsid w:val="00D913AD"/>
    <w:rsid w:val="00D91D05"/>
    <w:rsid w:val="00D91E3D"/>
    <w:rsid w:val="00D92398"/>
    <w:rsid w:val="00D92831"/>
    <w:rsid w:val="00D93826"/>
    <w:rsid w:val="00D94E31"/>
    <w:rsid w:val="00D95EDB"/>
    <w:rsid w:val="00D9665A"/>
    <w:rsid w:val="00DA05F3"/>
    <w:rsid w:val="00DA05FB"/>
    <w:rsid w:val="00DA185B"/>
    <w:rsid w:val="00DA404A"/>
    <w:rsid w:val="00DA42AE"/>
    <w:rsid w:val="00DA4D71"/>
    <w:rsid w:val="00DA51C7"/>
    <w:rsid w:val="00DA6582"/>
    <w:rsid w:val="00DA76F6"/>
    <w:rsid w:val="00DA7A73"/>
    <w:rsid w:val="00DB1FDA"/>
    <w:rsid w:val="00DB2277"/>
    <w:rsid w:val="00DB28F9"/>
    <w:rsid w:val="00DB3EEC"/>
    <w:rsid w:val="00DB407B"/>
    <w:rsid w:val="00DB4801"/>
    <w:rsid w:val="00DB4A63"/>
    <w:rsid w:val="00DB5490"/>
    <w:rsid w:val="00DB5C15"/>
    <w:rsid w:val="00DB7992"/>
    <w:rsid w:val="00DC2811"/>
    <w:rsid w:val="00DC37AB"/>
    <w:rsid w:val="00DC401F"/>
    <w:rsid w:val="00DC4373"/>
    <w:rsid w:val="00DC53C5"/>
    <w:rsid w:val="00DC53FB"/>
    <w:rsid w:val="00DC6148"/>
    <w:rsid w:val="00DC6152"/>
    <w:rsid w:val="00DC64B7"/>
    <w:rsid w:val="00DC7BC2"/>
    <w:rsid w:val="00DD0138"/>
    <w:rsid w:val="00DD0F52"/>
    <w:rsid w:val="00DD1664"/>
    <w:rsid w:val="00DD1B2A"/>
    <w:rsid w:val="00DD2A53"/>
    <w:rsid w:val="00DD59C8"/>
    <w:rsid w:val="00DD5CF6"/>
    <w:rsid w:val="00DD78B6"/>
    <w:rsid w:val="00DE02E3"/>
    <w:rsid w:val="00DE1038"/>
    <w:rsid w:val="00DE47FD"/>
    <w:rsid w:val="00DE52FA"/>
    <w:rsid w:val="00DE648D"/>
    <w:rsid w:val="00DE6673"/>
    <w:rsid w:val="00DE7422"/>
    <w:rsid w:val="00DF17D0"/>
    <w:rsid w:val="00DF1AD9"/>
    <w:rsid w:val="00DF24F9"/>
    <w:rsid w:val="00DF2535"/>
    <w:rsid w:val="00DF3942"/>
    <w:rsid w:val="00DF454D"/>
    <w:rsid w:val="00DF4B63"/>
    <w:rsid w:val="00DF50F9"/>
    <w:rsid w:val="00DF67F3"/>
    <w:rsid w:val="00E00564"/>
    <w:rsid w:val="00E0077E"/>
    <w:rsid w:val="00E00FFC"/>
    <w:rsid w:val="00E022CF"/>
    <w:rsid w:val="00E02B92"/>
    <w:rsid w:val="00E03672"/>
    <w:rsid w:val="00E03A87"/>
    <w:rsid w:val="00E03B05"/>
    <w:rsid w:val="00E03D56"/>
    <w:rsid w:val="00E04540"/>
    <w:rsid w:val="00E04BCB"/>
    <w:rsid w:val="00E05608"/>
    <w:rsid w:val="00E06A4A"/>
    <w:rsid w:val="00E105A9"/>
    <w:rsid w:val="00E1077A"/>
    <w:rsid w:val="00E10870"/>
    <w:rsid w:val="00E10F36"/>
    <w:rsid w:val="00E11E0A"/>
    <w:rsid w:val="00E12FB8"/>
    <w:rsid w:val="00E13236"/>
    <w:rsid w:val="00E14863"/>
    <w:rsid w:val="00E153FE"/>
    <w:rsid w:val="00E15EE6"/>
    <w:rsid w:val="00E16645"/>
    <w:rsid w:val="00E17186"/>
    <w:rsid w:val="00E21F03"/>
    <w:rsid w:val="00E226DE"/>
    <w:rsid w:val="00E22F89"/>
    <w:rsid w:val="00E2446F"/>
    <w:rsid w:val="00E25619"/>
    <w:rsid w:val="00E2621F"/>
    <w:rsid w:val="00E26814"/>
    <w:rsid w:val="00E273A7"/>
    <w:rsid w:val="00E277F4"/>
    <w:rsid w:val="00E31EF8"/>
    <w:rsid w:val="00E328AF"/>
    <w:rsid w:val="00E32AAA"/>
    <w:rsid w:val="00E32E17"/>
    <w:rsid w:val="00E3330E"/>
    <w:rsid w:val="00E343AF"/>
    <w:rsid w:val="00E344D9"/>
    <w:rsid w:val="00E3469E"/>
    <w:rsid w:val="00E37DFB"/>
    <w:rsid w:val="00E41DC6"/>
    <w:rsid w:val="00E43692"/>
    <w:rsid w:val="00E446DC"/>
    <w:rsid w:val="00E45066"/>
    <w:rsid w:val="00E45147"/>
    <w:rsid w:val="00E46006"/>
    <w:rsid w:val="00E5102F"/>
    <w:rsid w:val="00E510AF"/>
    <w:rsid w:val="00E5223A"/>
    <w:rsid w:val="00E523EF"/>
    <w:rsid w:val="00E52F16"/>
    <w:rsid w:val="00E53445"/>
    <w:rsid w:val="00E53905"/>
    <w:rsid w:val="00E53EBE"/>
    <w:rsid w:val="00E55AD8"/>
    <w:rsid w:val="00E55C99"/>
    <w:rsid w:val="00E61CE5"/>
    <w:rsid w:val="00E61DA7"/>
    <w:rsid w:val="00E63089"/>
    <w:rsid w:val="00E63AE4"/>
    <w:rsid w:val="00E63D16"/>
    <w:rsid w:val="00E65064"/>
    <w:rsid w:val="00E65827"/>
    <w:rsid w:val="00E6661D"/>
    <w:rsid w:val="00E66E03"/>
    <w:rsid w:val="00E700DF"/>
    <w:rsid w:val="00E703E8"/>
    <w:rsid w:val="00E70644"/>
    <w:rsid w:val="00E70E2C"/>
    <w:rsid w:val="00E71B45"/>
    <w:rsid w:val="00E731D0"/>
    <w:rsid w:val="00E73292"/>
    <w:rsid w:val="00E7352B"/>
    <w:rsid w:val="00E747C8"/>
    <w:rsid w:val="00E77DA3"/>
    <w:rsid w:val="00E8012E"/>
    <w:rsid w:val="00E80406"/>
    <w:rsid w:val="00E80716"/>
    <w:rsid w:val="00E80A93"/>
    <w:rsid w:val="00E80E8F"/>
    <w:rsid w:val="00E8138F"/>
    <w:rsid w:val="00E8228E"/>
    <w:rsid w:val="00E82B77"/>
    <w:rsid w:val="00E83BA6"/>
    <w:rsid w:val="00E83D7A"/>
    <w:rsid w:val="00E84B73"/>
    <w:rsid w:val="00E84E33"/>
    <w:rsid w:val="00E856CA"/>
    <w:rsid w:val="00E86DEB"/>
    <w:rsid w:val="00E877D0"/>
    <w:rsid w:val="00E912FB"/>
    <w:rsid w:val="00E92663"/>
    <w:rsid w:val="00E93D2B"/>
    <w:rsid w:val="00E94F61"/>
    <w:rsid w:val="00E95690"/>
    <w:rsid w:val="00E95693"/>
    <w:rsid w:val="00E958E0"/>
    <w:rsid w:val="00E95FF0"/>
    <w:rsid w:val="00E96128"/>
    <w:rsid w:val="00E9612F"/>
    <w:rsid w:val="00E961F9"/>
    <w:rsid w:val="00EA02A7"/>
    <w:rsid w:val="00EA0ADA"/>
    <w:rsid w:val="00EA0B4F"/>
    <w:rsid w:val="00EA0E27"/>
    <w:rsid w:val="00EA0FE2"/>
    <w:rsid w:val="00EA1656"/>
    <w:rsid w:val="00EA1DDC"/>
    <w:rsid w:val="00EA3169"/>
    <w:rsid w:val="00EA3BB1"/>
    <w:rsid w:val="00EA3C66"/>
    <w:rsid w:val="00EA3E0A"/>
    <w:rsid w:val="00EA4088"/>
    <w:rsid w:val="00EA60A8"/>
    <w:rsid w:val="00EA6750"/>
    <w:rsid w:val="00EB0CCD"/>
    <w:rsid w:val="00EB157E"/>
    <w:rsid w:val="00EB193F"/>
    <w:rsid w:val="00EB1AEC"/>
    <w:rsid w:val="00EB1EF7"/>
    <w:rsid w:val="00EB3517"/>
    <w:rsid w:val="00EB404B"/>
    <w:rsid w:val="00EB4B75"/>
    <w:rsid w:val="00EB529C"/>
    <w:rsid w:val="00EB555E"/>
    <w:rsid w:val="00EB6A1C"/>
    <w:rsid w:val="00EB6A8A"/>
    <w:rsid w:val="00EB74DF"/>
    <w:rsid w:val="00EB7655"/>
    <w:rsid w:val="00EC0296"/>
    <w:rsid w:val="00EC0702"/>
    <w:rsid w:val="00EC124C"/>
    <w:rsid w:val="00EC2239"/>
    <w:rsid w:val="00EC2FAA"/>
    <w:rsid w:val="00EC33A2"/>
    <w:rsid w:val="00EC3465"/>
    <w:rsid w:val="00EC4ACE"/>
    <w:rsid w:val="00EC628D"/>
    <w:rsid w:val="00EC6441"/>
    <w:rsid w:val="00EC68C3"/>
    <w:rsid w:val="00EC764C"/>
    <w:rsid w:val="00EC7ED8"/>
    <w:rsid w:val="00ED21F3"/>
    <w:rsid w:val="00ED2709"/>
    <w:rsid w:val="00ED2F6D"/>
    <w:rsid w:val="00ED55B2"/>
    <w:rsid w:val="00ED5D1C"/>
    <w:rsid w:val="00ED625B"/>
    <w:rsid w:val="00ED6E6E"/>
    <w:rsid w:val="00ED7252"/>
    <w:rsid w:val="00ED7842"/>
    <w:rsid w:val="00EE07C8"/>
    <w:rsid w:val="00EE15E9"/>
    <w:rsid w:val="00EE321F"/>
    <w:rsid w:val="00EE3DBB"/>
    <w:rsid w:val="00EE561E"/>
    <w:rsid w:val="00EE5A47"/>
    <w:rsid w:val="00EE5C09"/>
    <w:rsid w:val="00EE5E8B"/>
    <w:rsid w:val="00EE6509"/>
    <w:rsid w:val="00EE7320"/>
    <w:rsid w:val="00EE7649"/>
    <w:rsid w:val="00EE785F"/>
    <w:rsid w:val="00EF018B"/>
    <w:rsid w:val="00EF01D8"/>
    <w:rsid w:val="00EF0F34"/>
    <w:rsid w:val="00EF320E"/>
    <w:rsid w:val="00EF3238"/>
    <w:rsid w:val="00EF458C"/>
    <w:rsid w:val="00EF49AD"/>
    <w:rsid w:val="00EF4A1B"/>
    <w:rsid w:val="00F00CD9"/>
    <w:rsid w:val="00F0229A"/>
    <w:rsid w:val="00F036A8"/>
    <w:rsid w:val="00F03D91"/>
    <w:rsid w:val="00F055DC"/>
    <w:rsid w:val="00F06C15"/>
    <w:rsid w:val="00F06CB8"/>
    <w:rsid w:val="00F0731C"/>
    <w:rsid w:val="00F073EF"/>
    <w:rsid w:val="00F079B1"/>
    <w:rsid w:val="00F07A55"/>
    <w:rsid w:val="00F07F81"/>
    <w:rsid w:val="00F10AEA"/>
    <w:rsid w:val="00F10E08"/>
    <w:rsid w:val="00F111DB"/>
    <w:rsid w:val="00F11887"/>
    <w:rsid w:val="00F1396F"/>
    <w:rsid w:val="00F13B7A"/>
    <w:rsid w:val="00F14259"/>
    <w:rsid w:val="00F1673C"/>
    <w:rsid w:val="00F17475"/>
    <w:rsid w:val="00F175F0"/>
    <w:rsid w:val="00F179D5"/>
    <w:rsid w:val="00F17E83"/>
    <w:rsid w:val="00F20CBB"/>
    <w:rsid w:val="00F20EFB"/>
    <w:rsid w:val="00F2166B"/>
    <w:rsid w:val="00F219C1"/>
    <w:rsid w:val="00F223FB"/>
    <w:rsid w:val="00F22F8C"/>
    <w:rsid w:val="00F23B90"/>
    <w:rsid w:val="00F24E66"/>
    <w:rsid w:val="00F2647A"/>
    <w:rsid w:val="00F26B3F"/>
    <w:rsid w:val="00F26D55"/>
    <w:rsid w:val="00F27FD4"/>
    <w:rsid w:val="00F30271"/>
    <w:rsid w:val="00F303B4"/>
    <w:rsid w:val="00F3118C"/>
    <w:rsid w:val="00F31D3B"/>
    <w:rsid w:val="00F329D0"/>
    <w:rsid w:val="00F346D5"/>
    <w:rsid w:val="00F347CB"/>
    <w:rsid w:val="00F348DE"/>
    <w:rsid w:val="00F35BE0"/>
    <w:rsid w:val="00F36215"/>
    <w:rsid w:val="00F36786"/>
    <w:rsid w:val="00F36A2F"/>
    <w:rsid w:val="00F3738B"/>
    <w:rsid w:val="00F37D71"/>
    <w:rsid w:val="00F40928"/>
    <w:rsid w:val="00F4179B"/>
    <w:rsid w:val="00F41D76"/>
    <w:rsid w:val="00F42291"/>
    <w:rsid w:val="00F422AB"/>
    <w:rsid w:val="00F42BF3"/>
    <w:rsid w:val="00F450AF"/>
    <w:rsid w:val="00F45451"/>
    <w:rsid w:val="00F4667B"/>
    <w:rsid w:val="00F470F3"/>
    <w:rsid w:val="00F47FEF"/>
    <w:rsid w:val="00F51A0E"/>
    <w:rsid w:val="00F5218D"/>
    <w:rsid w:val="00F537AB"/>
    <w:rsid w:val="00F53DD1"/>
    <w:rsid w:val="00F53F11"/>
    <w:rsid w:val="00F5567E"/>
    <w:rsid w:val="00F56015"/>
    <w:rsid w:val="00F56A7A"/>
    <w:rsid w:val="00F56C79"/>
    <w:rsid w:val="00F60551"/>
    <w:rsid w:val="00F615DC"/>
    <w:rsid w:val="00F61929"/>
    <w:rsid w:val="00F61CAE"/>
    <w:rsid w:val="00F62C3B"/>
    <w:rsid w:val="00F640B5"/>
    <w:rsid w:val="00F648E8"/>
    <w:rsid w:val="00F64F78"/>
    <w:rsid w:val="00F65399"/>
    <w:rsid w:val="00F65610"/>
    <w:rsid w:val="00F66CDC"/>
    <w:rsid w:val="00F7025C"/>
    <w:rsid w:val="00F70B5F"/>
    <w:rsid w:val="00F7178D"/>
    <w:rsid w:val="00F7179B"/>
    <w:rsid w:val="00F76566"/>
    <w:rsid w:val="00F83DC6"/>
    <w:rsid w:val="00F84052"/>
    <w:rsid w:val="00F86D19"/>
    <w:rsid w:val="00F8709E"/>
    <w:rsid w:val="00F87A47"/>
    <w:rsid w:val="00F87FA5"/>
    <w:rsid w:val="00F92A22"/>
    <w:rsid w:val="00F92D3A"/>
    <w:rsid w:val="00F93385"/>
    <w:rsid w:val="00F935FC"/>
    <w:rsid w:val="00F9387A"/>
    <w:rsid w:val="00F941CB"/>
    <w:rsid w:val="00F94F83"/>
    <w:rsid w:val="00F957D4"/>
    <w:rsid w:val="00F9627B"/>
    <w:rsid w:val="00F96C5D"/>
    <w:rsid w:val="00F96D9F"/>
    <w:rsid w:val="00F96DA6"/>
    <w:rsid w:val="00F97ADE"/>
    <w:rsid w:val="00F97D43"/>
    <w:rsid w:val="00FA0315"/>
    <w:rsid w:val="00FA1A4C"/>
    <w:rsid w:val="00FA1BE8"/>
    <w:rsid w:val="00FA1C63"/>
    <w:rsid w:val="00FA2604"/>
    <w:rsid w:val="00FA2A6B"/>
    <w:rsid w:val="00FA3412"/>
    <w:rsid w:val="00FA360C"/>
    <w:rsid w:val="00FA456F"/>
    <w:rsid w:val="00FA51AF"/>
    <w:rsid w:val="00FA54AD"/>
    <w:rsid w:val="00FA5A97"/>
    <w:rsid w:val="00FA5B9F"/>
    <w:rsid w:val="00FA6354"/>
    <w:rsid w:val="00FB03F6"/>
    <w:rsid w:val="00FB0586"/>
    <w:rsid w:val="00FB088D"/>
    <w:rsid w:val="00FB0931"/>
    <w:rsid w:val="00FB1075"/>
    <w:rsid w:val="00FB188C"/>
    <w:rsid w:val="00FB1CEF"/>
    <w:rsid w:val="00FB2011"/>
    <w:rsid w:val="00FB22F6"/>
    <w:rsid w:val="00FB3D41"/>
    <w:rsid w:val="00FB4B51"/>
    <w:rsid w:val="00FB4B79"/>
    <w:rsid w:val="00FB51A4"/>
    <w:rsid w:val="00FB53E7"/>
    <w:rsid w:val="00FB66A2"/>
    <w:rsid w:val="00FB6812"/>
    <w:rsid w:val="00FB6FFB"/>
    <w:rsid w:val="00FB727A"/>
    <w:rsid w:val="00FC0BBE"/>
    <w:rsid w:val="00FC0D19"/>
    <w:rsid w:val="00FC0FEA"/>
    <w:rsid w:val="00FC1539"/>
    <w:rsid w:val="00FC227A"/>
    <w:rsid w:val="00FC2415"/>
    <w:rsid w:val="00FC25BB"/>
    <w:rsid w:val="00FC26C3"/>
    <w:rsid w:val="00FC3D2D"/>
    <w:rsid w:val="00FC4BE3"/>
    <w:rsid w:val="00FC4F7E"/>
    <w:rsid w:val="00FC6F45"/>
    <w:rsid w:val="00FC70D8"/>
    <w:rsid w:val="00FD1350"/>
    <w:rsid w:val="00FD1749"/>
    <w:rsid w:val="00FD1973"/>
    <w:rsid w:val="00FD2100"/>
    <w:rsid w:val="00FD2564"/>
    <w:rsid w:val="00FD2C45"/>
    <w:rsid w:val="00FD468E"/>
    <w:rsid w:val="00FD4DD2"/>
    <w:rsid w:val="00FD54DA"/>
    <w:rsid w:val="00FD789A"/>
    <w:rsid w:val="00FD7EF5"/>
    <w:rsid w:val="00FD7F8B"/>
    <w:rsid w:val="00FE0A25"/>
    <w:rsid w:val="00FE0C98"/>
    <w:rsid w:val="00FE1A02"/>
    <w:rsid w:val="00FE2020"/>
    <w:rsid w:val="00FE20F7"/>
    <w:rsid w:val="00FE25A1"/>
    <w:rsid w:val="00FE305E"/>
    <w:rsid w:val="00FE47E8"/>
    <w:rsid w:val="00FE609B"/>
    <w:rsid w:val="00FE6587"/>
    <w:rsid w:val="00FE7DAF"/>
    <w:rsid w:val="00FE7DBA"/>
    <w:rsid w:val="00FF14C4"/>
    <w:rsid w:val="00FF3C3F"/>
    <w:rsid w:val="00FF3DD7"/>
    <w:rsid w:val="00FF49EB"/>
    <w:rsid w:val="00FF50A8"/>
    <w:rsid w:val="00FF58B0"/>
    <w:rsid w:val="00FF6036"/>
    <w:rsid w:val="00FF7243"/>
    <w:rsid w:val="026C2E19"/>
    <w:rsid w:val="033D40CC"/>
    <w:rsid w:val="04B25717"/>
    <w:rsid w:val="05AD2BDF"/>
    <w:rsid w:val="071F23A9"/>
    <w:rsid w:val="0775158A"/>
    <w:rsid w:val="0812068D"/>
    <w:rsid w:val="08837955"/>
    <w:rsid w:val="08C84DC7"/>
    <w:rsid w:val="0911055F"/>
    <w:rsid w:val="094B0406"/>
    <w:rsid w:val="095455D7"/>
    <w:rsid w:val="09C94970"/>
    <w:rsid w:val="0A29352F"/>
    <w:rsid w:val="0AA91449"/>
    <w:rsid w:val="0AF83F3B"/>
    <w:rsid w:val="0C507F92"/>
    <w:rsid w:val="0FA15CF6"/>
    <w:rsid w:val="114424BC"/>
    <w:rsid w:val="126E7443"/>
    <w:rsid w:val="129D1D1D"/>
    <w:rsid w:val="134302A7"/>
    <w:rsid w:val="13B62550"/>
    <w:rsid w:val="15B55F3C"/>
    <w:rsid w:val="17006BEF"/>
    <w:rsid w:val="183B54FC"/>
    <w:rsid w:val="19666EF2"/>
    <w:rsid w:val="19C076DF"/>
    <w:rsid w:val="19D0028B"/>
    <w:rsid w:val="1A882855"/>
    <w:rsid w:val="1A997165"/>
    <w:rsid w:val="1B821D8D"/>
    <w:rsid w:val="1BCD3089"/>
    <w:rsid w:val="1D031B06"/>
    <w:rsid w:val="1D2B41D2"/>
    <w:rsid w:val="1DD71B2D"/>
    <w:rsid w:val="1DE53944"/>
    <w:rsid w:val="1E5F3309"/>
    <w:rsid w:val="1E9F577C"/>
    <w:rsid w:val="1ED737BB"/>
    <w:rsid w:val="1EF941B4"/>
    <w:rsid w:val="218D321C"/>
    <w:rsid w:val="22124CA5"/>
    <w:rsid w:val="22143AC9"/>
    <w:rsid w:val="232F6C95"/>
    <w:rsid w:val="23A81EFE"/>
    <w:rsid w:val="23DD0776"/>
    <w:rsid w:val="25856778"/>
    <w:rsid w:val="259F4CDC"/>
    <w:rsid w:val="25D56EA9"/>
    <w:rsid w:val="262E7DAC"/>
    <w:rsid w:val="268E416E"/>
    <w:rsid w:val="26F304FB"/>
    <w:rsid w:val="26FF6115"/>
    <w:rsid w:val="276C773A"/>
    <w:rsid w:val="27902298"/>
    <w:rsid w:val="29631895"/>
    <w:rsid w:val="29C1513F"/>
    <w:rsid w:val="29CB2448"/>
    <w:rsid w:val="29CF4F9A"/>
    <w:rsid w:val="29E45D14"/>
    <w:rsid w:val="2AF45010"/>
    <w:rsid w:val="2B963A10"/>
    <w:rsid w:val="2BF4491E"/>
    <w:rsid w:val="2F0438FC"/>
    <w:rsid w:val="2F251C3F"/>
    <w:rsid w:val="2FFF4290"/>
    <w:rsid w:val="30E01E33"/>
    <w:rsid w:val="320A7F81"/>
    <w:rsid w:val="3289308C"/>
    <w:rsid w:val="329D218B"/>
    <w:rsid w:val="33C75734"/>
    <w:rsid w:val="33DD5C16"/>
    <w:rsid w:val="33EB2C4E"/>
    <w:rsid w:val="3614605A"/>
    <w:rsid w:val="365B677B"/>
    <w:rsid w:val="366C0F0B"/>
    <w:rsid w:val="36FC2B76"/>
    <w:rsid w:val="374908C5"/>
    <w:rsid w:val="38707BC2"/>
    <w:rsid w:val="38902498"/>
    <w:rsid w:val="395112CF"/>
    <w:rsid w:val="398C3BA9"/>
    <w:rsid w:val="39CF3109"/>
    <w:rsid w:val="39F06A40"/>
    <w:rsid w:val="3AB649A4"/>
    <w:rsid w:val="3B9270F5"/>
    <w:rsid w:val="3C512C90"/>
    <w:rsid w:val="3D0A30DE"/>
    <w:rsid w:val="3D4142CF"/>
    <w:rsid w:val="3E323DC0"/>
    <w:rsid w:val="3E4312B6"/>
    <w:rsid w:val="3E7D5CEA"/>
    <w:rsid w:val="3EC50443"/>
    <w:rsid w:val="3EE90218"/>
    <w:rsid w:val="40031691"/>
    <w:rsid w:val="400B5C38"/>
    <w:rsid w:val="41D37C55"/>
    <w:rsid w:val="420846B7"/>
    <w:rsid w:val="42C93D0D"/>
    <w:rsid w:val="445F519F"/>
    <w:rsid w:val="45F74FAD"/>
    <w:rsid w:val="46AB0EAA"/>
    <w:rsid w:val="48FF4C7D"/>
    <w:rsid w:val="490F580F"/>
    <w:rsid w:val="49516278"/>
    <w:rsid w:val="49A620AD"/>
    <w:rsid w:val="49B812AA"/>
    <w:rsid w:val="4A8237D0"/>
    <w:rsid w:val="4AE846F0"/>
    <w:rsid w:val="4B2B11BC"/>
    <w:rsid w:val="4B725FAD"/>
    <w:rsid w:val="4BA06AE0"/>
    <w:rsid w:val="4C501FF7"/>
    <w:rsid w:val="4D0A4338"/>
    <w:rsid w:val="4D110093"/>
    <w:rsid w:val="4D3876F8"/>
    <w:rsid w:val="4DC10B18"/>
    <w:rsid w:val="4EF338D6"/>
    <w:rsid w:val="50B46417"/>
    <w:rsid w:val="517F77D8"/>
    <w:rsid w:val="51A9010E"/>
    <w:rsid w:val="51EA4A25"/>
    <w:rsid w:val="51F95638"/>
    <w:rsid w:val="5390724C"/>
    <w:rsid w:val="54744E05"/>
    <w:rsid w:val="54852573"/>
    <w:rsid w:val="54885170"/>
    <w:rsid w:val="55320469"/>
    <w:rsid w:val="55813A32"/>
    <w:rsid w:val="55850884"/>
    <w:rsid w:val="55CD79D7"/>
    <w:rsid w:val="574735CF"/>
    <w:rsid w:val="57EF7133"/>
    <w:rsid w:val="57F7673B"/>
    <w:rsid w:val="582B3B07"/>
    <w:rsid w:val="589D6C19"/>
    <w:rsid w:val="59903638"/>
    <w:rsid w:val="5A154DF6"/>
    <w:rsid w:val="5BC20378"/>
    <w:rsid w:val="5C180FD7"/>
    <w:rsid w:val="5DDD6B79"/>
    <w:rsid w:val="5EC9200A"/>
    <w:rsid w:val="5F0764B0"/>
    <w:rsid w:val="60633C3E"/>
    <w:rsid w:val="60984CB0"/>
    <w:rsid w:val="60D11738"/>
    <w:rsid w:val="619C5105"/>
    <w:rsid w:val="625A4A39"/>
    <w:rsid w:val="62A15E11"/>
    <w:rsid w:val="631F4606"/>
    <w:rsid w:val="64867FA7"/>
    <w:rsid w:val="652D7C4F"/>
    <w:rsid w:val="65A67FFB"/>
    <w:rsid w:val="66862C30"/>
    <w:rsid w:val="671C60AF"/>
    <w:rsid w:val="6A0F2DFD"/>
    <w:rsid w:val="6B300063"/>
    <w:rsid w:val="6D527CE9"/>
    <w:rsid w:val="6E5F0430"/>
    <w:rsid w:val="6FBD1386"/>
    <w:rsid w:val="6FD2212E"/>
    <w:rsid w:val="70A2570E"/>
    <w:rsid w:val="74347290"/>
    <w:rsid w:val="74832982"/>
    <w:rsid w:val="756172B1"/>
    <w:rsid w:val="75686E86"/>
    <w:rsid w:val="76BF5BFF"/>
    <w:rsid w:val="774F0969"/>
    <w:rsid w:val="78705E89"/>
    <w:rsid w:val="7988277B"/>
    <w:rsid w:val="79FC4C56"/>
    <w:rsid w:val="7AB6675E"/>
    <w:rsid w:val="7B6421B2"/>
    <w:rsid w:val="7BED392B"/>
    <w:rsid w:val="7D2755B4"/>
    <w:rsid w:val="7E5B49E0"/>
    <w:rsid w:val="7EBA18F3"/>
    <w:rsid w:val="7F5D2862"/>
    <w:rsid w:val="7FA61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qFormat="1"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name="Normal Indent"/>
    <w:lsdException w:qFormat="1" w:unhideWhenUsed="0" w:uiPriority="99" w:semiHidden="0" w:name="footnote text"/>
    <w:lsdException w:qFormat="1" w:uiPriority="99"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35" w:semiHidden="0" w:name="caption"/>
    <w:lsdException w:qFormat="1" w:unhideWhenUsed="0" w:uiPriority="0" w:name="table of figures"/>
    <w:lsdException w:uiPriority="99" w:name="envelope address"/>
    <w:lsdException w:uiPriority="99" w:name="envelope return"/>
    <w:lsdException w:qFormat="1" w:unhideWhenUsed="0"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qFormat="1" w:uiPriority="99" w:semiHidden="0"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uiPriority="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qFormat="1" w:uiPriority="99" w:semiHidden="0"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仿宋_GB2312" w:cstheme="minorBidi"/>
      <w:kern w:val="2"/>
      <w:sz w:val="32"/>
      <w:szCs w:val="22"/>
      <w:lang w:val="en-US" w:eastAsia="zh-CN" w:bidi="ar-SA"/>
    </w:rPr>
  </w:style>
  <w:style w:type="paragraph" w:styleId="3">
    <w:name w:val="heading 1"/>
    <w:basedOn w:val="1"/>
    <w:next w:val="1"/>
    <w:link w:val="60"/>
    <w:qFormat/>
    <w:uiPriority w:val="9"/>
    <w:pPr>
      <w:keepNext/>
      <w:keepLines/>
      <w:spacing w:before="120" w:after="240"/>
      <w:ind w:firstLine="0" w:firstLineChars="0"/>
      <w:jc w:val="center"/>
      <w:outlineLvl w:val="0"/>
    </w:pPr>
    <w:rPr>
      <w:rFonts w:eastAsia="方正小标宋简体"/>
      <w:bCs/>
      <w:kern w:val="44"/>
      <w:sz w:val="32"/>
      <w:szCs w:val="44"/>
    </w:rPr>
  </w:style>
  <w:style w:type="paragraph" w:styleId="4">
    <w:name w:val="heading 2"/>
    <w:basedOn w:val="1"/>
    <w:next w:val="1"/>
    <w:link w:val="61"/>
    <w:unhideWhenUsed/>
    <w:qFormat/>
    <w:uiPriority w:val="9"/>
    <w:pPr>
      <w:keepNext/>
      <w:keepLines/>
      <w:spacing w:before="120" w:after="240"/>
      <w:ind w:firstLine="0" w:firstLineChars="0"/>
      <w:jc w:val="center"/>
      <w:outlineLvl w:val="1"/>
    </w:pPr>
    <w:rPr>
      <w:rFonts w:eastAsia="黑体" w:asciiTheme="majorHAnsi" w:hAnsiTheme="majorHAnsi" w:cstheme="majorBidi"/>
      <w:b/>
      <w:bCs/>
      <w:szCs w:val="32"/>
    </w:rPr>
  </w:style>
  <w:style w:type="paragraph" w:styleId="5">
    <w:name w:val="heading 3"/>
    <w:basedOn w:val="1"/>
    <w:next w:val="1"/>
    <w:link w:val="63"/>
    <w:unhideWhenUsed/>
    <w:qFormat/>
    <w:uiPriority w:val="9"/>
    <w:pPr>
      <w:keepNext/>
      <w:keepLines/>
      <w:spacing w:before="120" w:after="240"/>
      <w:ind w:firstLine="0" w:firstLineChars="0"/>
      <w:outlineLvl w:val="2"/>
    </w:pPr>
    <w:rPr>
      <w:rFonts w:eastAsia="黑体"/>
      <w:bCs/>
      <w:szCs w:val="32"/>
    </w:rPr>
  </w:style>
  <w:style w:type="paragraph" w:styleId="6">
    <w:name w:val="heading 4"/>
    <w:basedOn w:val="1"/>
    <w:next w:val="1"/>
    <w:link w:val="65"/>
    <w:unhideWhenUsed/>
    <w:qFormat/>
    <w:uiPriority w:val="9"/>
    <w:pPr>
      <w:keepNext/>
      <w:keepLines/>
      <w:spacing w:before="280" w:after="290" w:line="376" w:lineRule="auto"/>
      <w:outlineLvl w:val="3"/>
    </w:pPr>
    <w:rPr>
      <w:rFonts w:eastAsia="华文楷体" w:asciiTheme="majorHAnsi" w:hAnsiTheme="majorHAnsi" w:cstheme="majorBidi"/>
      <w:b/>
      <w:bCs/>
      <w:szCs w:val="28"/>
    </w:rPr>
  </w:style>
  <w:style w:type="paragraph" w:styleId="7">
    <w:name w:val="heading 5"/>
    <w:basedOn w:val="1"/>
    <w:next w:val="1"/>
    <w:link w:val="69"/>
    <w:unhideWhenUsed/>
    <w:qFormat/>
    <w:uiPriority w:val="9"/>
    <w:pPr>
      <w:keepNext/>
      <w:keepLines/>
      <w:spacing w:before="280" w:after="290" w:line="376" w:lineRule="auto"/>
      <w:outlineLvl w:val="4"/>
    </w:pPr>
    <w:rPr>
      <w:b/>
      <w:bCs/>
      <w:szCs w:val="28"/>
    </w:rPr>
  </w:style>
  <w:style w:type="paragraph" w:styleId="8">
    <w:name w:val="heading 6"/>
    <w:basedOn w:val="1"/>
    <w:next w:val="1"/>
    <w:link w:val="78"/>
    <w:unhideWhenUsed/>
    <w:qFormat/>
    <w:uiPriority w:val="9"/>
    <w:pPr>
      <w:keepNext/>
      <w:keepLines/>
      <w:spacing w:before="240" w:after="64" w:line="320" w:lineRule="auto"/>
      <w:outlineLvl w:val="5"/>
    </w:pPr>
    <w:rPr>
      <w:rFonts w:asciiTheme="majorHAnsi" w:hAnsiTheme="majorHAnsi" w:cstheme="majorBidi"/>
      <w:b/>
      <w:bCs/>
      <w:szCs w:val="24"/>
    </w:rPr>
  </w:style>
  <w:style w:type="paragraph" w:styleId="9">
    <w:name w:val="heading 7"/>
    <w:basedOn w:val="1"/>
    <w:next w:val="1"/>
    <w:link w:val="73"/>
    <w:unhideWhenUsed/>
    <w:qFormat/>
    <w:uiPriority w:val="9"/>
    <w:pPr>
      <w:keepNext/>
      <w:keepLines/>
      <w:spacing w:before="240" w:after="64" w:line="320" w:lineRule="auto"/>
      <w:outlineLvl w:val="6"/>
    </w:pPr>
    <w:rPr>
      <w:b/>
      <w:bCs/>
      <w:szCs w:val="24"/>
    </w:rPr>
  </w:style>
  <w:style w:type="paragraph" w:styleId="10">
    <w:name w:val="heading 8"/>
    <w:basedOn w:val="1"/>
    <w:next w:val="1"/>
    <w:link w:val="172"/>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173"/>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53">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unhideWhenUsed/>
    <w:qFormat/>
    <w:uiPriority w:val="39"/>
    <w:pPr>
      <w:tabs>
        <w:tab w:val="right" w:leader="dot" w:pos="8296"/>
      </w:tabs>
      <w:ind w:firstLine="480"/>
    </w:pPr>
  </w:style>
  <w:style w:type="paragraph" w:styleId="12">
    <w:name w:val="toc 7"/>
    <w:basedOn w:val="1"/>
    <w:next w:val="1"/>
    <w:unhideWhenUsed/>
    <w:qFormat/>
    <w:uiPriority w:val="39"/>
    <w:pPr>
      <w:spacing w:line="240" w:lineRule="auto"/>
      <w:ind w:left="2520" w:leftChars="1200" w:firstLine="0" w:firstLineChars="0"/>
    </w:pPr>
    <w:rPr>
      <w:rFonts w:eastAsiaTheme="minorEastAsia"/>
      <w:sz w:val="21"/>
    </w:rPr>
  </w:style>
  <w:style w:type="paragraph" w:styleId="13">
    <w:name w:val="index 8"/>
    <w:basedOn w:val="1"/>
    <w:next w:val="1"/>
    <w:semiHidden/>
    <w:qFormat/>
    <w:uiPriority w:val="0"/>
    <w:pPr>
      <w:spacing w:line="240" w:lineRule="atLeast"/>
      <w:ind w:left="1400" w:leftChars="1400" w:firstLine="0" w:firstLineChars="0"/>
    </w:pPr>
    <w:rPr>
      <w:rFonts w:cs="Times New Roman"/>
      <w:szCs w:val="24"/>
    </w:rPr>
  </w:style>
  <w:style w:type="paragraph" w:styleId="14">
    <w:name w:val="caption"/>
    <w:basedOn w:val="1"/>
    <w:next w:val="1"/>
    <w:link w:val="86"/>
    <w:qFormat/>
    <w:uiPriority w:val="35"/>
    <w:pPr>
      <w:spacing w:line="240" w:lineRule="auto"/>
      <w:ind w:firstLine="0" w:firstLineChars="0"/>
    </w:pPr>
    <w:rPr>
      <w:rFonts w:ascii="Cambria" w:hAnsi="Cambria" w:eastAsia="黑体" w:cs="Times New Roman"/>
      <w:sz w:val="20"/>
      <w:szCs w:val="20"/>
    </w:rPr>
  </w:style>
  <w:style w:type="paragraph" w:styleId="15">
    <w:name w:val="index 5"/>
    <w:basedOn w:val="1"/>
    <w:next w:val="1"/>
    <w:semiHidden/>
    <w:qFormat/>
    <w:uiPriority w:val="0"/>
    <w:pPr>
      <w:spacing w:line="240" w:lineRule="atLeast"/>
      <w:ind w:left="800" w:leftChars="800" w:firstLine="0" w:firstLineChars="0"/>
    </w:pPr>
    <w:rPr>
      <w:rFonts w:cs="Times New Roman"/>
      <w:szCs w:val="24"/>
    </w:rPr>
  </w:style>
  <w:style w:type="paragraph" w:styleId="16">
    <w:name w:val="Document Map"/>
    <w:basedOn w:val="1"/>
    <w:link w:val="96"/>
    <w:unhideWhenUsed/>
    <w:qFormat/>
    <w:uiPriority w:val="99"/>
    <w:pPr>
      <w:spacing w:line="240" w:lineRule="auto"/>
      <w:ind w:firstLine="0" w:firstLineChars="0"/>
    </w:pPr>
    <w:rPr>
      <w:rFonts w:ascii="宋体" w:cs="Times New Roman"/>
      <w:sz w:val="18"/>
      <w:szCs w:val="18"/>
    </w:rPr>
  </w:style>
  <w:style w:type="paragraph" w:styleId="17">
    <w:name w:val="toa heading"/>
    <w:basedOn w:val="1"/>
    <w:next w:val="1"/>
    <w:semiHidden/>
    <w:qFormat/>
    <w:uiPriority w:val="0"/>
    <w:pPr>
      <w:spacing w:before="120" w:line="240" w:lineRule="atLeast"/>
      <w:ind w:firstLine="0" w:firstLineChars="0"/>
    </w:pPr>
    <w:rPr>
      <w:rFonts w:ascii="Arial" w:hAnsi="Arial" w:cs="Arial"/>
      <w:szCs w:val="24"/>
    </w:rPr>
  </w:style>
  <w:style w:type="paragraph" w:styleId="18">
    <w:name w:val="annotation text"/>
    <w:basedOn w:val="1"/>
    <w:link w:val="71"/>
    <w:unhideWhenUsed/>
    <w:qFormat/>
    <w:uiPriority w:val="99"/>
    <w:pPr>
      <w:spacing w:line="240" w:lineRule="auto"/>
      <w:ind w:firstLine="0" w:firstLineChars="0"/>
      <w:jc w:val="left"/>
    </w:pPr>
    <w:rPr>
      <w:rFonts w:ascii="Calibri" w:hAnsi="Calibri" w:cs="Times New Roman"/>
      <w:sz w:val="21"/>
      <w:lang w:val="zh-CN"/>
    </w:rPr>
  </w:style>
  <w:style w:type="paragraph" w:styleId="19">
    <w:name w:val="index 6"/>
    <w:basedOn w:val="1"/>
    <w:next w:val="1"/>
    <w:semiHidden/>
    <w:qFormat/>
    <w:uiPriority w:val="0"/>
    <w:pPr>
      <w:spacing w:line="240" w:lineRule="atLeast"/>
      <w:ind w:left="1000" w:leftChars="1000" w:firstLine="0" w:firstLineChars="0"/>
    </w:pPr>
    <w:rPr>
      <w:rFonts w:cs="Times New Roman"/>
      <w:szCs w:val="24"/>
    </w:rPr>
  </w:style>
  <w:style w:type="paragraph" w:styleId="20">
    <w:name w:val="Body Text"/>
    <w:basedOn w:val="1"/>
    <w:next w:val="1"/>
    <w:qFormat/>
    <w:uiPriority w:val="0"/>
    <w:pPr>
      <w:spacing w:after="120"/>
    </w:pPr>
  </w:style>
  <w:style w:type="paragraph" w:styleId="21">
    <w:name w:val="Body Text Indent"/>
    <w:basedOn w:val="1"/>
    <w:link w:val="87"/>
    <w:qFormat/>
    <w:uiPriority w:val="99"/>
    <w:pPr>
      <w:spacing w:line="520" w:lineRule="exact"/>
      <w:ind w:firstLine="560"/>
    </w:pPr>
    <w:rPr>
      <w:rFonts w:cs="Times New Roman"/>
      <w:color w:val="FF0000"/>
      <w:szCs w:val="28"/>
    </w:rPr>
  </w:style>
  <w:style w:type="paragraph" w:styleId="22">
    <w:name w:val="index 4"/>
    <w:basedOn w:val="1"/>
    <w:next w:val="1"/>
    <w:semiHidden/>
    <w:qFormat/>
    <w:uiPriority w:val="0"/>
    <w:pPr>
      <w:spacing w:line="240" w:lineRule="atLeast"/>
      <w:ind w:left="600" w:leftChars="600" w:firstLine="0" w:firstLineChars="0"/>
    </w:pPr>
    <w:rPr>
      <w:rFonts w:cs="Times New Roman"/>
      <w:szCs w:val="24"/>
    </w:rPr>
  </w:style>
  <w:style w:type="paragraph" w:styleId="23">
    <w:name w:val="toc 5"/>
    <w:basedOn w:val="1"/>
    <w:next w:val="1"/>
    <w:unhideWhenUsed/>
    <w:qFormat/>
    <w:uiPriority w:val="39"/>
    <w:pPr>
      <w:ind w:left="1680" w:leftChars="800"/>
    </w:pPr>
  </w:style>
  <w:style w:type="paragraph" w:styleId="24">
    <w:name w:val="toc 3"/>
    <w:basedOn w:val="1"/>
    <w:next w:val="1"/>
    <w:unhideWhenUsed/>
    <w:qFormat/>
    <w:uiPriority w:val="39"/>
    <w:pPr>
      <w:tabs>
        <w:tab w:val="right" w:leader="dot" w:pos="8296"/>
      </w:tabs>
      <w:spacing w:line="520" w:lineRule="exact"/>
      <w:ind w:firstLine="480"/>
    </w:pPr>
    <w:rPr>
      <w:rFonts w:ascii="仿宋_GB2312" w:hAnsi="黑体" w:cs="Times New Roman"/>
    </w:rPr>
  </w:style>
  <w:style w:type="paragraph" w:styleId="25">
    <w:name w:val="Plain Text"/>
    <w:basedOn w:val="1"/>
    <w:link w:val="92"/>
    <w:qFormat/>
    <w:uiPriority w:val="0"/>
    <w:pPr>
      <w:ind w:firstLine="0" w:firstLineChars="0"/>
    </w:pPr>
    <w:rPr>
      <w:rFonts w:ascii="宋体" w:hAnsi="Courier New" w:cs="Times New Roman"/>
      <w:kern w:val="0"/>
      <w:sz w:val="20"/>
      <w:szCs w:val="21"/>
    </w:rPr>
  </w:style>
  <w:style w:type="paragraph" w:styleId="26">
    <w:name w:val="toc 8"/>
    <w:basedOn w:val="1"/>
    <w:next w:val="1"/>
    <w:unhideWhenUsed/>
    <w:qFormat/>
    <w:uiPriority w:val="39"/>
    <w:pPr>
      <w:spacing w:line="240" w:lineRule="auto"/>
      <w:ind w:left="2940" w:leftChars="1400" w:firstLine="0" w:firstLineChars="0"/>
    </w:pPr>
    <w:rPr>
      <w:rFonts w:eastAsiaTheme="minorEastAsia"/>
      <w:sz w:val="21"/>
    </w:rPr>
  </w:style>
  <w:style w:type="paragraph" w:styleId="27">
    <w:name w:val="index 3"/>
    <w:basedOn w:val="1"/>
    <w:next w:val="1"/>
    <w:semiHidden/>
    <w:qFormat/>
    <w:uiPriority w:val="0"/>
    <w:pPr>
      <w:spacing w:line="240" w:lineRule="atLeast"/>
      <w:ind w:left="400" w:leftChars="400" w:firstLine="0" w:firstLineChars="0"/>
    </w:pPr>
    <w:rPr>
      <w:rFonts w:cs="Times New Roman"/>
      <w:szCs w:val="24"/>
    </w:rPr>
  </w:style>
  <w:style w:type="paragraph" w:styleId="28">
    <w:name w:val="Date"/>
    <w:basedOn w:val="1"/>
    <w:next w:val="1"/>
    <w:link w:val="97"/>
    <w:unhideWhenUsed/>
    <w:qFormat/>
    <w:uiPriority w:val="0"/>
    <w:pPr>
      <w:spacing w:line="240" w:lineRule="auto"/>
      <w:ind w:left="100" w:leftChars="2500" w:firstLine="0" w:firstLineChars="0"/>
    </w:pPr>
    <w:rPr>
      <w:rFonts w:cs="Times New Roman"/>
      <w:sz w:val="21"/>
    </w:rPr>
  </w:style>
  <w:style w:type="paragraph" w:styleId="29">
    <w:name w:val="Body Text Indent 2"/>
    <w:basedOn w:val="1"/>
    <w:link w:val="95"/>
    <w:semiHidden/>
    <w:qFormat/>
    <w:uiPriority w:val="0"/>
    <w:pPr>
      <w:spacing w:line="520" w:lineRule="exact"/>
      <w:ind w:firstLine="560"/>
    </w:pPr>
    <w:rPr>
      <w:rFonts w:cs="Times New Roman"/>
      <w:szCs w:val="28"/>
    </w:rPr>
  </w:style>
  <w:style w:type="paragraph" w:styleId="30">
    <w:name w:val="endnote text"/>
    <w:basedOn w:val="1"/>
    <w:link w:val="85"/>
    <w:unhideWhenUsed/>
    <w:qFormat/>
    <w:uiPriority w:val="99"/>
    <w:pPr>
      <w:snapToGrid w:val="0"/>
      <w:spacing w:line="240" w:lineRule="auto"/>
      <w:ind w:firstLine="0" w:firstLineChars="0"/>
      <w:jc w:val="left"/>
    </w:pPr>
    <w:rPr>
      <w:rFonts w:cs="Times New Roman"/>
      <w:sz w:val="21"/>
      <w:szCs w:val="24"/>
    </w:rPr>
  </w:style>
  <w:style w:type="paragraph" w:styleId="31">
    <w:name w:val="Balloon Text"/>
    <w:basedOn w:val="1"/>
    <w:link w:val="72"/>
    <w:unhideWhenUsed/>
    <w:qFormat/>
    <w:uiPriority w:val="99"/>
    <w:pPr>
      <w:spacing w:line="240" w:lineRule="auto"/>
    </w:pPr>
    <w:rPr>
      <w:sz w:val="18"/>
      <w:szCs w:val="18"/>
    </w:rPr>
  </w:style>
  <w:style w:type="paragraph" w:styleId="32">
    <w:name w:val="footer"/>
    <w:basedOn w:val="1"/>
    <w:link w:val="67"/>
    <w:unhideWhenUsed/>
    <w:qFormat/>
    <w:uiPriority w:val="99"/>
    <w:pPr>
      <w:tabs>
        <w:tab w:val="center" w:pos="4153"/>
        <w:tab w:val="right" w:pos="8306"/>
      </w:tabs>
      <w:snapToGrid w:val="0"/>
      <w:spacing w:line="240" w:lineRule="auto"/>
      <w:jc w:val="left"/>
    </w:pPr>
    <w:rPr>
      <w:sz w:val="18"/>
      <w:szCs w:val="18"/>
    </w:rPr>
  </w:style>
  <w:style w:type="paragraph" w:styleId="33">
    <w:name w:val="header"/>
    <w:basedOn w:val="1"/>
    <w:link w:val="66"/>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34">
    <w:name w:val="toc 1"/>
    <w:basedOn w:val="1"/>
    <w:next w:val="1"/>
    <w:unhideWhenUsed/>
    <w:qFormat/>
    <w:uiPriority w:val="39"/>
    <w:pPr>
      <w:tabs>
        <w:tab w:val="right" w:leader="dot" w:pos="8296"/>
      </w:tabs>
      <w:spacing w:line="520" w:lineRule="exact"/>
      <w:ind w:firstLine="0" w:firstLineChars="0"/>
    </w:pPr>
    <w:rPr>
      <w:rFonts w:ascii="黑体" w:hAnsi="黑体" w:eastAsia="黑体" w:cs="Times New Roman"/>
      <w:kern w:val="44"/>
      <w:szCs w:val="24"/>
    </w:rPr>
  </w:style>
  <w:style w:type="paragraph" w:styleId="35">
    <w:name w:val="toc 4"/>
    <w:basedOn w:val="1"/>
    <w:next w:val="1"/>
    <w:unhideWhenUsed/>
    <w:qFormat/>
    <w:uiPriority w:val="39"/>
    <w:pPr>
      <w:spacing w:line="240" w:lineRule="auto"/>
      <w:ind w:left="1260" w:leftChars="600" w:firstLine="0" w:firstLineChars="0"/>
    </w:pPr>
    <w:rPr>
      <w:rFonts w:eastAsiaTheme="minorEastAsia"/>
      <w:sz w:val="21"/>
    </w:rPr>
  </w:style>
  <w:style w:type="paragraph" w:styleId="36">
    <w:name w:val="index heading"/>
    <w:basedOn w:val="1"/>
    <w:next w:val="37"/>
    <w:semiHidden/>
    <w:qFormat/>
    <w:uiPriority w:val="0"/>
    <w:pPr>
      <w:spacing w:line="240" w:lineRule="atLeast"/>
      <w:ind w:firstLine="0" w:firstLineChars="0"/>
    </w:pPr>
    <w:rPr>
      <w:rFonts w:cs="Times New Roman"/>
      <w:szCs w:val="24"/>
    </w:rPr>
  </w:style>
  <w:style w:type="paragraph" w:styleId="37">
    <w:name w:val="index 1"/>
    <w:basedOn w:val="1"/>
    <w:next w:val="1"/>
    <w:semiHidden/>
    <w:unhideWhenUsed/>
    <w:qFormat/>
    <w:uiPriority w:val="0"/>
    <w:pPr>
      <w:ind w:firstLine="0"/>
    </w:pPr>
  </w:style>
  <w:style w:type="paragraph" w:styleId="38">
    <w:name w:val="Subtitle"/>
    <w:basedOn w:val="1"/>
    <w:next w:val="1"/>
    <w:link w:val="93"/>
    <w:qFormat/>
    <w:uiPriority w:val="11"/>
    <w:pPr>
      <w:spacing w:before="240" w:after="60" w:line="312" w:lineRule="auto"/>
      <w:ind w:firstLine="0" w:firstLineChars="0"/>
      <w:jc w:val="center"/>
      <w:outlineLvl w:val="1"/>
    </w:pPr>
    <w:rPr>
      <w:rFonts w:ascii="Cambria" w:hAnsi="Cambria" w:cs="Times New Roman"/>
      <w:b/>
      <w:bCs/>
      <w:kern w:val="28"/>
      <w:sz w:val="32"/>
      <w:szCs w:val="32"/>
    </w:rPr>
  </w:style>
  <w:style w:type="paragraph" w:styleId="39">
    <w:name w:val="footnote text"/>
    <w:basedOn w:val="1"/>
    <w:link w:val="90"/>
    <w:qFormat/>
    <w:uiPriority w:val="99"/>
    <w:pPr>
      <w:snapToGrid w:val="0"/>
      <w:spacing w:line="240" w:lineRule="auto"/>
      <w:ind w:firstLine="0" w:firstLineChars="0"/>
      <w:jc w:val="left"/>
    </w:pPr>
    <w:rPr>
      <w:rFonts w:cs="Times New Roman"/>
      <w:sz w:val="18"/>
      <w:szCs w:val="18"/>
    </w:rPr>
  </w:style>
  <w:style w:type="paragraph" w:styleId="40">
    <w:name w:val="toc 6"/>
    <w:basedOn w:val="1"/>
    <w:next w:val="1"/>
    <w:unhideWhenUsed/>
    <w:qFormat/>
    <w:uiPriority w:val="39"/>
    <w:pPr>
      <w:spacing w:line="240" w:lineRule="auto"/>
      <w:ind w:left="2100" w:leftChars="1000" w:firstLine="0" w:firstLineChars="0"/>
    </w:pPr>
    <w:rPr>
      <w:rFonts w:eastAsiaTheme="minorEastAsia"/>
      <w:sz w:val="21"/>
    </w:rPr>
  </w:style>
  <w:style w:type="paragraph" w:styleId="41">
    <w:name w:val="index 7"/>
    <w:basedOn w:val="1"/>
    <w:next w:val="1"/>
    <w:semiHidden/>
    <w:qFormat/>
    <w:uiPriority w:val="0"/>
    <w:pPr>
      <w:spacing w:line="240" w:lineRule="atLeast"/>
      <w:ind w:left="1200" w:leftChars="1200" w:firstLine="0" w:firstLineChars="0"/>
    </w:pPr>
    <w:rPr>
      <w:rFonts w:cs="Times New Roman"/>
      <w:szCs w:val="24"/>
    </w:rPr>
  </w:style>
  <w:style w:type="paragraph" w:styleId="42">
    <w:name w:val="index 9"/>
    <w:basedOn w:val="1"/>
    <w:next w:val="1"/>
    <w:semiHidden/>
    <w:qFormat/>
    <w:uiPriority w:val="0"/>
    <w:pPr>
      <w:spacing w:line="240" w:lineRule="atLeast"/>
      <w:ind w:left="1600" w:leftChars="1600" w:firstLine="0" w:firstLineChars="0"/>
    </w:pPr>
    <w:rPr>
      <w:rFonts w:cs="Times New Roman"/>
      <w:szCs w:val="24"/>
    </w:rPr>
  </w:style>
  <w:style w:type="paragraph" w:styleId="43">
    <w:name w:val="table of figures"/>
    <w:basedOn w:val="1"/>
    <w:next w:val="1"/>
    <w:semiHidden/>
    <w:qFormat/>
    <w:uiPriority w:val="0"/>
    <w:pPr>
      <w:spacing w:line="240" w:lineRule="atLeast"/>
      <w:ind w:left="840" w:leftChars="200" w:hanging="420" w:hangingChars="200"/>
    </w:pPr>
    <w:rPr>
      <w:rFonts w:cs="Times New Roman"/>
      <w:szCs w:val="24"/>
    </w:rPr>
  </w:style>
  <w:style w:type="paragraph" w:styleId="44">
    <w:name w:val="toc 9"/>
    <w:basedOn w:val="1"/>
    <w:next w:val="1"/>
    <w:unhideWhenUsed/>
    <w:qFormat/>
    <w:uiPriority w:val="39"/>
    <w:pPr>
      <w:spacing w:line="240" w:lineRule="auto"/>
      <w:ind w:left="3360" w:leftChars="1600" w:firstLine="0" w:firstLineChars="0"/>
    </w:pPr>
    <w:rPr>
      <w:rFonts w:eastAsiaTheme="minorEastAsia"/>
      <w:sz w:val="21"/>
    </w:rPr>
  </w:style>
  <w:style w:type="paragraph" w:styleId="45">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cs="宋体"/>
      <w:kern w:val="0"/>
      <w:szCs w:val="24"/>
    </w:rPr>
  </w:style>
  <w:style w:type="paragraph" w:styleId="46">
    <w:name w:val="index 2"/>
    <w:basedOn w:val="1"/>
    <w:next w:val="1"/>
    <w:semiHidden/>
    <w:qFormat/>
    <w:uiPriority w:val="0"/>
    <w:pPr>
      <w:spacing w:line="240" w:lineRule="atLeast"/>
      <w:ind w:left="200" w:leftChars="200" w:firstLine="0" w:firstLineChars="0"/>
    </w:pPr>
    <w:rPr>
      <w:rFonts w:cs="Times New Roman"/>
      <w:szCs w:val="24"/>
    </w:rPr>
  </w:style>
  <w:style w:type="paragraph" w:styleId="47">
    <w:name w:val="Title"/>
    <w:basedOn w:val="1"/>
    <w:next w:val="1"/>
    <w:link w:val="62"/>
    <w:qFormat/>
    <w:uiPriority w:val="10"/>
    <w:pPr>
      <w:spacing w:after="240"/>
      <w:ind w:firstLine="0" w:firstLineChars="0"/>
      <w:jc w:val="center"/>
      <w:outlineLvl w:val="0"/>
    </w:pPr>
    <w:rPr>
      <w:rFonts w:eastAsia="华文中宋" w:asciiTheme="majorHAnsi" w:hAnsiTheme="majorHAnsi" w:cstheme="majorBidi"/>
      <w:b/>
      <w:bCs/>
      <w:sz w:val="52"/>
      <w:szCs w:val="32"/>
    </w:rPr>
  </w:style>
  <w:style w:type="paragraph" w:styleId="48">
    <w:name w:val="annotation subject"/>
    <w:basedOn w:val="18"/>
    <w:next w:val="18"/>
    <w:link w:val="74"/>
    <w:unhideWhenUsed/>
    <w:qFormat/>
    <w:uiPriority w:val="99"/>
    <w:pPr>
      <w:spacing w:line="360" w:lineRule="auto"/>
      <w:ind w:firstLine="200" w:firstLineChars="200"/>
    </w:pPr>
    <w:rPr>
      <w:rFonts w:asciiTheme="minorHAnsi" w:hAnsiTheme="minorHAnsi" w:cstheme="minorBidi"/>
      <w:b/>
      <w:bCs/>
      <w:sz w:val="24"/>
      <w:lang w:val="en-US"/>
    </w:rPr>
  </w:style>
  <w:style w:type="paragraph" w:styleId="49">
    <w:name w:val="Body Text First Indent"/>
    <w:basedOn w:val="1"/>
    <w:link w:val="79"/>
    <w:semiHidden/>
    <w:unhideWhenUsed/>
    <w:qFormat/>
    <w:uiPriority w:val="99"/>
    <w:pPr>
      <w:spacing w:after="120"/>
      <w:ind w:firstLine="420" w:firstLineChars="100"/>
    </w:pPr>
  </w:style>
  <w:style w:type="table" w:styleId="51">
    <w:name w:val="Table Grid"/>
    <w:basedOn w:val="5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2">
    <w:name w:val="Table Simple 3"/>
    <w:basedOn w:val="50"/>
    <w:unhideWhenUsed/>
    <w:qFormat/>
    <w:uiPriority w:val="99"/>
    <w:pPr>
      <w:widowControl w:val="0"/>
      <w:jc w:val="both"/>
    </w:pPr>
    <w:rPr>
      <w:rFonts w:ascii="Calibri" w:hAnsi="Calibri"/>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character" w:styleId="54">
    <w:name w:val="Strong"/>
    <w:qFormat/>
    <w:uiPriority w:val="22"/>
    <w:rPr>
      <w:b/>
      <w:bCs/>
    </w:rPr>
  </w:style>
  <w:style w:type="character" w:styleId="55">
    <w:name w:val="FollowedHyperlink"/>
    <w:unhideWhenUsed/>
    <w:qFormat/>
    <w:uiPriority w:val="99"/>
    <w:rPr>
      <w:color w:val="954F72"/>
      <w:u w:val="single"/>
    </w:rPr>
  </w:style>
  <w:style w:type="character" w:styleId="56">
    <w:name w:val="Emphasis"/>
    <w:qFormat/>
    <w:uiPriority w:val="20"/>
    <w:rPr>
      <w:i/>
      <w:iCs/>
    </w:rPr>
  </w:style>
  <w:style w:type="character" w:styleId="57">
    <w:name w:val="Hyperlink"/>
    <w:unhideWhenUsed/>
    <w:qFormat/>
    <w:uiPriority w:val="99"/>
    <w:rPr>
      <w:rFonts w:ascii="Calibri" w:hAnsi="Calibri" w:eastAsia="仿宋_GB2312"/>
      <w:color w:val="0000FF"/>
      <w:sz w:val="24"/>
      <w:u w:val="single"/>
    </w:rPr>
  </w:style>
  <w:style w:type="character" w:styleId="58">
    <w:name w:val="annotation reference"/>
    <w:unhideWhenUsed/>
    <w:qFormat/>
    <w:uiPriority w:val="99"/>
    <w:rPr>
      <w:sz w:val="21"/>
      <w:szCs w:val="21"/>
    </w:rPr>
  </w:style>
  <w:style w:type="character" w:styleId="59">
    <w:name w:val="footnote reference"/>
    <w:qFormat/>
    <w:uiPriority w:val="99"/>
    <w:rPr>
      <w:vertAlign w:val="superscript"/>
    </w:rPr>
  </w:style>
  <w:style w:type="character" w:customStyle="1" w:styleId="60">
    <w:name w:val="标题 1 字符"/>
    <w:basedOn w:val="53"/>
    <w:link w:val="3"/>
    <w:qFormat/>
    <w:uiPriority w:val="9"/>
    <w:rPr>
      <w:rFonts w:eastAsia="方正小标宋简体" w:asciiTheme="minorHAnsi" w:hAnsiTheme="minorHAnsi" w:cstheme="minorBidi"/>
      <w:bCs/>
      <w:kern w:val="44"/>
      <w:sz w:val="32"/>
      <w:szCs w:val="44"/>
    </w:rPr>
  </w:style>
  <w:style w:type="character" w:customStyle="1" w:styleId="61">
    <w:name w:val="标题 2 字符"/>
    <w:basedOn w:val="53"/>
    <w:link w:val="4"/>
    <w:qFormat/>
    <w:uiPriority w:val="9"/>
    <w:rPr>
      <w:rFonts w:eastAsia="黑体" w:asciiTheme="majorHAnsi" w:hAnsiTheme="majorHAnsi" w:cstheme="majorBidi"/>
      <w:b/>
      <w:bCs/>
      <w:kern w:val="2"/>
      <w:sz w:val="28"/>
      <w:szCs w:val="32"/>
    </w:rPr>
  </w:style>
  <w:style w:type="character" w:customStyle="1" w:styleId="62">
    <w:name w:val="标题 字符"/>
    <w:basedOn w:val="53"/>
    <w:link w:val="47"/>
    <w:qFormat/>
    <w:uiPriority w:val="10"/>
    <w:rPr>
      <w:rFonts w:eastAsia="华文中宋" w:asciiTheme="majorHAnsi" w:hAnsiTheme="majorHAnsi" w:cstheme="majorBidi"/>
      <w:b/>
      <w:bCs/>
      <w:kern w:val="2"/>
      <w:sz w:val="52"/>
      <w:szCs w:val="32"/>
    </w:rPr>
  </w:style>
  <w:style w:type="character" w:customStyle="1" w:styleId="63">
    <w:name w:val="标题 3 字符"/>
    <w:basedOn w:val="53"/>
    <w:link w:val="5"/>
    <w:qFormat/>
    <w:uiPriority w:val="9"/>
    <w:rPr>
      <w:rFonts w:eastAsia="黑体" w:cstheme="minorBidi"/>
      <w:bCs/>
      <w:kern w:val="2"/>
      <w:sz w:val="28"/>
      <w:szCs w:val="32"/>
    </w:rPr>
  </w:style>
  <w:style w:type="table" w:customStyle="1" w:styleId="64">
    <w:name w:val="表格"/>
    <w:basedOn w:val="50"/>
    <w:qFormat/>
    <w:uiPriority w:val="99"/>
  </w:style>
  <w:style w:type="character" w:customStyle="1" w:styleId="65">
    <w:name w:val="标题 4 字符"/>
    <w:basedOn w:val="53"/>
    <w:link w:val="6"/>
    <w:qFormat/>
    <w:uiPriority w:val="9"/>
    <w:rPr>
      <w:rFonts w:eastAsia="华文楷体" w:asciiTheme="majorHAnsi" w:hAnsiTheme="majorHAnsi" w:cstheme="majorBidi"/>
      <w:b/>
      <w:bCs/>
      <w:kern w:val="2"/>
      <w:sz w:val="28"/>
      <w:szCs w:val="28"/>
    </w:rPr>
  </w:style>
  <w:style w:type="character" w:customStyle="1" w:styleId="66">
    <w:name w:val="页眉 字符"/>
    <w:basedOn w:val="53"/>
    <w:link w:val="33"/>
    <w:qFormat/>
    <w:uiPriority w:val="99"/>
    <w:rPr>
      <w:rFonts w:eastAsia="宋体"/>
      <w:sz w:val="18"/>
      <w:szCs w:val="18"/>
    </w:rPr>
  </w:style>
  <w:style w:type="character" w:customStyle="1" w:styleId="67">
    <w:name w:val="页脚 字符"/>
    <w:basedOn w:val="53"/>
    <w:link w:val="32"/>
    <w:qFormat/>
    <w:uiPriority w:val="99"/>
    <w:rPr>
      <w:rFonts w:eastAsia="宋体"/>
      <w:sz w:val="18"/>
      <w:szCs w:val="18"/>
    </w:rPr>
  </w:style>
  <w:style w:type="paragraph" w:styleId="68">
    <w:name w:val="No Spacing"/>
    <w:qFormat/>
    <w:uiPriority w:val="1"/>
    <w:pPr>
      <w:widowControl w:val="0"/>
      <w:ind w:firstLine="200" w:firstLineChars="200"/>
      <w:jc w:val="both"/>
    </w:pPr>
    <w:rPr>
      <w:rFonts w:eastAsia="宋体" w:asciiTheme="minorHAnsi" w:hAnsiTheme="minorHAnsi" w:cstheme="minorBidi"/>
      <w:kern w:val="2"/>
      <w:sz w:val="24"/>
      <w:szCs w:val="22"/>
      <w:lang w:val="en-US" w:eastAsia="zh-CN" w:bidi="ar-SA"/>
    </w:rPr>
  </w:style>
  <w:style w:type="character" w:customStyle="1" w:styleId="69">
    <w:name w:val="标题 5 字符"/>
    <w:basedOn w:val="53"/>
    <w:link w:val="7"/>
    <w:qFormat/>
    <w:uiPriority w:val="9"/>
    <w:rPr>
      <w:rFonts w:eastAsia="宋体"/>
      <w:b/>
      <w:bCs/>
      <w:sz w:val="24"/>
      <w:szCs w:val="28"/>
    </w:rPr>
  </w:style>
  <w:style w:type="character" w:customStyle="1" w:styleId="70">
    <w:name w:val="批注文字 字符"/>
    <w:basedOn w:val="53"/>
    <w:semiHidden/>
    <w:qFormat/>
    <w:uiPriority w:val="99"/>
    <w:rPr>
      <w:rFonts w:eastAsia="宋体"/>
      <w:sz w:val="24"/>
    </w:rPr>
  </w:style>
  <w:style w:type="character" w:customStyle="1" w:styleId="71">
    <w:name w:val="批注文字 字符1"/>
    <w:link w:val="18"/>
    <w:qFormat/>
    <w:uiPriority w:val="99"/>
    <w:rPr>
      <w:rFonts w:ascii="Calibri" w:hAnsi="Calibri" w:eastAsia="宋体" w:cs="Times New Roman"/>
      <w:lang w:val="zh-CN" w:eastAsia="zh-CN"/>
    </w:rPr>
  </w:style>
  <w:style w:type="character" w:customStyle="1" w:styleId="72">
    <w:name w:val="批注框文本 字符"/>
    <w:basedOn w:val="53"/>
    <w:link w:val="31"/>
    <w:qFormat/>
    <w:uiPriority w:val="99"/>
    <w:rPr>
      <w:rFonts w:eastAsia="宋体"/>
      <w:sz w:val="18"/>
      <w:szCs w:val="18"/>
    </w:rPr>
  </w:style>
  <w:style w:type="character" w:customStyle="1" w:styleId="73">
    <w:name w:val="标题 7 字符"/>
    <w:basedOn w:val="53"/>
    <w:link w:val="9"/>
    <w:qFormat/>
    <w:uiPriority w:val="9"/>
    <w:rPr>
      <w:rFonts w:eastAsia="仿宋_GB2312" w:asciiTheme="minorHAnsi" w:hAnsiTheme="minorHAnsi" w:cstheme="minorBidi"/>
      <w:b/>
      <w:bCs/>
      <w:kern w:val="2"/>
      <w:sz w:val="24"/>
      <w:szCs w:val="24"/>
    </w:rPr>
  </w:style>
  <w:style w:type="character" w:customStyle="1" w:styleId="74">
    <w:name w:val="批注主题 字符"/>
    <w:basedOn w:val="71"/>
    <w:link w:val="48"/>
    <w:qFormat/>
    <w:uiPriority w:val="99"/>
    <w:rPr>
      <w:rFonts w:ascii="Calibri" w:hAnsi="Calibri" w:eastAsia="宋体" w:cs="Times New Roman"/>
      <w:b/>
      <w:bCs/>
      <w:sz w:val="24"/>
      <w:lang w:val="zh-CN" w:eastAsia="zh-CN"/>
    </w:rPr>
  </w:style>
  <w:style w:type="paragraph" w:customStyle="1" w:styleId="75">
    <w:name w:val="图表内容"/>
    <w:link w:val="76"/>
    <w:qFormat/>
    <w:uiPriority w:val="0"/>
    <w:pPr>
      <w:jc w:val="center"/>
    </w:pPr>
    <w:rPr>
      <w:rFonts w:eastAsia="仿宋" w:asciiTheme="minorHAnsi" w:hAnsiTheme="minorHAnsi" w:cstheme="minorBidi"/>
      <w:kern w:val="2"/>
      <w:sz w:val="21"/>
      <w:szCs w:val="21"/>
      <w:lang w:val="en-US" w:eastAsia="zh-CN" w:bidi="ar-SA"/>
    </w:rPr>
  </w:style>
  <w:style w:type="character" w:customStyle="1" w:styleId="76">
    <w:name w:val="图表内容 Char"/>
    <w:basedOn w:val="53"/>
    <w:link w:val="75"/>
    <w:qFormat/>
    <w:uiPriority w:val="0"/>
    <w:rPr>
      <w:rFonts w:eastAsia="仿宋" w:asciiTheme="minorHAnsi" w:hAnsiTheme="minorHAnsi" w:cstheme="minorBidi"/>
      <w:kern w:val="2"/>
      <w:sz w:val="21"/>
      <w:szCs w:val="21"/>
    </w:rPr>
  </w:style>
  <w:style w:type="paragraph" w:styleId="77">
    <w:name w:val="List Paragraph"/>
    <w:basedOn w:val="1"/>
    <w:qFormat/>
    <w:uiPriority w:val="34"/>
    <w:pPr>
      <w:ind w:firstLine="420"/>
    </w:pPr>
  </w:style>
  <w:style w:type="character" w:customStyle="1" w:styleId="78">
    <w:name w:val="标题 6 字符"/>
    <w:basedOn w:val="53"/>
    <w:link w:val="8"/>
    <w:qFormat/>
    <w:uiPriority w:val="9"/>
    <w:rPr>
      <w:rFonts w:eastAsia="仿宋_GB2312" w:asciiTheme="majorHAnsi" w:hAnsiTheme="majorHAnsi" w:cstheme="majorBidi"/>
      <w:b/>
      <w:bCs/>
      <w:kern w:val="2"/>
      <w:sz w:val="24"/>
      <w:szCs w:val="24"/>
    </w:rPr>
  </w:style>
  <w:style w:type="character" w:customStyle="1" w:styleId="79">
    <w:name w:val="正文文本首行缩进 字符1"/>
    <w:basedOn w:val="53"/>
    <w:link w:val="49"/>
    <w:semiHidden/>
    <w:qFormat/>
    <w:uiPriority w:val="99"/>
    <w:rPr>
      <w:rFonts w:asciiTheme="minorHAnsi" w:hAnsiTheme="minorHAnsi" w:cstheme="minorBidi"/>
      <w:kern w:val="2"/>
      <w:sz w:val="24"/>
      <w:szCs w:val="22"/>
    </w:rPr>
  </w:style>
  <w:style w:type="character" w:customStyle="1" w:styleId="80">
    <w:name w:val="章标题 Char"/>
    <w:link w:val="81"/>
    <w:qFormat/>
    <w:uiPriority w:val="0"/>
    <w:rPr>
      <w:rFonts w:eastAsia="方正小标宋简体"/>
      <w:sz w:val="32"/>
      <w:szCs w:val="44"/>
    </w:rPr>
  </w:style>
  <w:style w:type="paragraph" w:customStyle="1" w:styleId="81">
    <w:name w:val="章标题"/>
    <w:basedOn w:val="3"/>
    <w:next w:val="1"/>
    <w:link w:val="80"/>
    <w:qFormat/>
    <w:uiPriority w:val="0"/>
    <w:pPr>
      <w:spacing w:before="50" w:after="50" w:line="480" w:lineRule="exact"/>
    </w:pPr>
    <w:rPr>
      <w:rFonts w:cs="Times New Roman"/>
      <w:b/>
      <w:bCs w:val="0"/>
      <w:kern w:val="0"/>
    </w:rPr>
  </w:style>
  <w:style w:type="paragraph" w:customStyle="1" w:styleId="82">
    <w:name w:val="（一）"/>
    <w:basedOn w:val="6"/>
    <w:qFormat/>
    <w:uiPriority w:val="0"/>
    <w:pPr>
      <w:numPr>
        <w:ilvl w:val="0"/>
        <w:numId w:val="1"/>
      </w:numPr>
      <w:spacing w:line="480" w:lineRule="exact"/>
      <w:ind w:firstLine="1041"/>
    </w:pPr>
    <w:rPr>
      <w:rFonts w:hint="eastAsia" w:ascii="Cambria" w:hAnsi="Cambria" w:cs="Times New Roman"/>
    </w:rPr>
  </w:style>
  <w:style w:type="paragraph" w:customStyle="1" w:styleId="83">
    <w:name w:val="节标题"/>
    <w:basedOn w:val="4"/>
    <w:qFormat/>
    <w:uiPriority w:val="0"/>
    <w:pPr>
      <w:spacing w:before="100" w:beforeLines="100" w:after="260"/>
      <w:ind w:firstLine="643" w:firstLineChars="200"/>
    </w:pPr>
    <w:rPr>
      <w:rFonts w:hint="eastAsia" w:ascii="Arial" w:hAnsi="Arial" w:cs="Times New Roman"/>
    </w:rPr>
  </w:style>
  <w:style w:type="paragraph" w:customStyle="1" w:styleId="84">
    <w:name w:val="一"/>
    <w:basedOn w:val="5"/>
    <w:next w:val="1"/>
    <w:qFormat/>
    <w:uiPriority w:val="0"/>
    <w:pPr>
      <w:numPr>
        <w:ilvl w:val="0"/>
        <w:numId w:val="2"/>
      </w:numPr>
      <w:spacing w:before="50" w:after="50" w:line="480" w:lineRule="exact"/>
      <w:jc w:val="left"/>
      <w:outlineLvl w:val="0"/>
    </w:pPr>
    <w:rPr>
      <w:rFonts w:hint="eastAsia" w:eastAsia="仿宋 GB2312" w:cs="Times New Roman"/>
      <w:color w:val="000000"/>
      <w:kern w:val="44"/>
      <w:szCs w:val="44"/>
    </w:rPr>
  </w:style>
  <w:style w:type="character" w:customStyle="1" w:styleId="85">
    <w:name w:val="尾注文本 字符"/>
    <w:link w:val="30"/>
    <w:qFormat/>
    <w:uiPriority w:val="99"/>
    <w:rPr>
      <w:kern w:val="2"/>
      <w:sz w:val="21"/>
      <w:szCs w:val="24"/>
    </w:rPr>
  </w:style>
  <w:style w:type="character" w:customStyle="1" w:styleId="86">
    <w:name w:val="题注 字符"/>
    <w:link w:val="14"/>
    <w:qFormat/>
    <w:uiPriority w:val="35"/>
    <w:rPr>
      <w:rFonts w:ascii="Cambria" w:hAnsi="Cambria" w:eastAsia="黑体"/>
      <w:kern w:val="2"/>
    </w:rPr>
  </w:style>
  <w:style w:type="character" w:customStyle="1" w:styleId="87">
    <w:name w:val="正文文本缩进 字符"/>
    <w:link w:val="21"/>
    <w:qFormat/>
    <w:uiPriority w:val="99"/>
    <w:rPr>
      <w:color w:val="FF0000"/>
      <w:kern w:val="2"/>
      <w:sz w:val="28"/>
      <w:szCs w:val="28"/>
    </w:rPr>
  </w:style>
  <w:style w:type="character" w:customStyle="1" w:styleId="88">
    <w:name w:val="正文文本首行缩进 字符"/>
    <w:link w:val="89"/>
    <w:qFormat/>
    <w:uiPriority w:val="99"/>
    <w:rPr>
      <w:kern w:val="2"/>
      <w:sz w:val="21"/>
      <w:szCs w:val="22"/>
    </w:rPr>
  </w:style>
  <w:style w:type="paragraph" w:customStyle="1" w:styleId="89">
    <w:name w:val="3"/>
    <w:basedOn w:val="1"/>
    <w:next w:val="77"/>
    <w:link w:val="88"/>
    <w:qFormat/>
    <w:uiPriority w:val="99"/>
    <w:pPr>
      <w:spacing w:line="240" w:lineRule="auto"/>
      <w:ind w:firstLine="420"/>
    </w:pPr>
    <w:rPr>
      <w:rFonts w:cs="Times New Roman"/>
      <w:sz w:val="21"/>
    </w:rPr>
  </w:style>
  <w:style w:type="character" w:customStyle="1" w:styleId="90">
    <w:name w:val="脚注文本 字符"/>
    <w:link w:val="39"/>
    <w:qFormat/>
    <w:uiPriority w:val="99"/>
    <w:rPr>
      <w:kern w:val="2"/>
      <w:sz w:val="18"/>
      <w:szCs w:val="18"/>
    </w:rPr>
  </w:style>
  <w:style w:type="character" w:styleId="91">
    <w:name w:val="Placeholder Text"/>
    <w:semiHidden/>
    <w:qFormat/>
    <w:uiPriority w:val="99"/>
    <w:rPr>
      <w:color w:val="808080"/>
    </w:rPr>
  </w:style>
  <w:style w:type="character" w:customStyle="1" w:styleId="92">
    <w:name w:val="纯文本 字符"/>
    <w:link w:val="25"/>
    <w:qFormat/>
    <w:uiPriority w:val="0"/>
    <w:rPr>
      <w:rFonts w:ascii="宋体" w:hAnsi="Courier New"/>
      <w:szCs w:val="21"/>
    </w:rPr>
  </w:style>
  <w:style w:type="character" w:customStyle="1" w:styleId="93">
    <w:name w:val="副标题 字符"/>
    <w:link w:val="38"/>
    <w:qFormat/>
    <w:uiPriority w:val="11"/>
    <w:rPr>
      <w:rFonts w:ascii="Cambria" w:hAnsi="Cambria"/>
      <w:b/>
      <w:bCs/>
      <w:kern w:val="28"/>
      <w:sz w:val="32"/>
      <w:szCs w:val="32"/>
    </w:rPr>
  </w:style>
  <w:style w:type="character" w:customStyle="1" w:styleId="94">
    <w:name w:val="Subtle Emphasis"/>
    <w:qFormat/>
    <w:uiPriority w:val="19"/>
    <w:rPr>
      <w:i/>
      <w:iCs/>
      <w:color w:val="808080"/>
    </w:rPr>
  </w:style>
  <w:style w:type="character" w:customStyle="1" w:styleId="95">
    <w:name w:val="正文文本缩进 2 字符"/>
    <w:link w:val="29"/>
    <w:semiHidden/>
    <w:qFormat/>
    <w:uiPriority w:val="0"/>
    <w:rPr>
      <w:kern w:val="2"/>
      <w:sz w:val="28"/>
      <w:szCs w:val="28"/>
    </w:rPr>
  </w:style>
  <w:style w:type="character" w:customStyle="1" w:styleId="96">
    <w:name w:val="文档结构图 字符"/>
    <w:link w:val="16"/>
    <w:qFormat/>
    <w:uiPriority w:val="99"/>
    <w:rPr>
      <w:rFonts w:ascii="宋体"/>
      <w:kern w:val="2"/>
      <w:sz w:val="18"/>
      <w:szCs w:val="18"/>
    </w:rPr>
  </w:style>
  <w:style w:type="character" w:customStyle="1" w:styleId="97">
    <w:name w:val="日期 字符"/>
    <w:link w:val="28"/>
    <w:qFormat/>
    <w:uiPriority w:val="0"/>
    <w:rPr>
      <w:kern w:val="2"/>
      <w:sz w:val="21"/>
      <w:szCs w:val="22"/>
    </w:rPr>
  </w:style>
  <w:style w:type="character" w:customStyle="1" w:styleId="98">
    <w:name w:val="尾注文本 Char1"/>
    <w:semiHidden/>
    <w:qFormat/>
    <w:uiPriority w:val="99"/>
    <w:rPr>
      <w:rFonts w:ascii="Calibri" w:hAnsi="Calibri" w:eastAsia="宋体" w:cs="Times New Roman"/>
    </w:rPr>
  </w:style>
  <w:style w:type="character" w:customStyle="1" w:styleId="99">
    <w:name w:val="纯文本 字符1"/>
    <w:basedOn w:val="53"/>
    <w:semiHidden/>
    <w:qFormat/>
    <w:uiPriority w:val="99"/>
    <w:rPr>
      <w:rFonts w:hAnsi="Courier New" w:cs="Courier New" w:asciiTheme="minorEastAsia" w:eastAsiaTheme="minorEastAsia"/>
      <w:kern w:val="2"/>
      <w:sz w:val="24"/>
      <w:szCs w:val="22"/>
    </w:rPr>
  </w:style>
  <w:style w:type="character" w:customStyle="1" w:styleId="100">
    <w:name w:val="副标题 字符1"/>
    <w:basedOn w:val="53"/>
    <w:qFormat/>
    <w:uiPriority w:val="11"/>
    <w:rPr>
      <w:rFonts w:asciiTheme="minorHAnsi" w:hAnsiTheme="minorHAnsi" w:eastAsiaTheme="minorEastAsia" w:cstheme="minorBidi"/>
      <w:b/>
      <w:bCs/>
      <w:kern w:val="28"/>
      <w:sz w:val="32"/>
      <w:szCs w:val="32"/>
    </w:rPr>
  </w:style>
  <w:style w:type="character" w:customStyle="1" w:styleId="101">
    <w:name w:val="日期 字符1"/>
    <w:basedOn w:val="53"/>
    <w:semiHidden/>
    <w:qFormat/>
    <w:uiPriority w:val="99"/>
    <w:rPr>
      <w:rFonts w:asciiTheme="minorHAnsi" w:hAnsiTheme="minorHAnsi" w:cstheme="minorBidi"/>
      <w:kern w:val="2"/>
      <w:sz w:val="24"/>
      <w:szCs w:val="22"/>
    </w:rPr>
  </w:style>
  <w:style w:type="character" w:customStyle="1" w:styleId="102">
    <w:name w:val="尾注文本 字符1"/>
    <w:basedOn w:val="53"/>
    <w:semiHidden/>
    <w:qFormat/>
    <w:uiPriority w:val="99"/>
    <w:rPr>
      <w:rFonts w:asciiTheme="minorHAnsi" w:hAnsiTheme="minorHAnsi" w:cstheme="minorBidi"/>
      <w:kern w:val="2"/>
      <w:sz w:val="24"/>
      <w:szCs w:val="22"/>
    </w:rPr>
  </w:style>
  <w:style w:type="paragraph" w:customStyle="1" w:styleId="10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tLeast"/>
      <w:ind w:firstLine="0" w:firstLineChars="0"/>
      <w:jc w:val="left"/>
    </w:pPr>
    <w:rPr>
      <w:rFonts w:ascii="Arial Unicode MS" w:hAnsi="Arial Unicode MS" w:eastAsia="Arial Unicode MS" w:cs="Arial Unicode MS"/>
      <w:kern w:val="0"/>
      <w:szCs w:val="24"/>
    </w:rPr>
  </w:style>
  <w:style w:type="paragraph" w:customStyle="1" w:styleId="104">
    <w:name w:val="引用1"/>
    <w:basedOn w:val="1"/>
    <w:next w:val="1"/>
    <w:qFormat/>
    <w:uiPriority w:val="29"/>
    <w:pPr>
      <w:spacing w:line="240" w:lineRule="auto"/>
      <w:ind w:firstLine="0" w:firstLineChars="0"/>
    </w:pPr>
    <w:rPr>
      <w:rFonts w:ascii="Calibri" w:hAnsi="Calibri" w:cs="Times New Roman"/>
      <w:i/>
      <w:iCs/>
      <w:color w:val="000000"/>
    </w:rPr>
  </w:style>
  <w:style w:type="character" w:customStyle="1" w:styleId="105">
    <w:name w:val="正文文本缩进 3 字符1"/>
    <w:basedOn w:val="53"/>
    <w:semiHidden/>
    <w:qFormat/>
    <w:uiPriority w:val="99"/>
    <w:rPr>
      <w:rFonts w:asciiTheme="minorHAnsi" w:hAnsiTheme="minorHAnsi" w:cstheme="minorBidi"/>
      <w:kern w:val="2"/>
      <w:sz w:val="16"/>
      <w:szCs w:val="16"/>
    </w:rPr>
  </w:style>
  <w:style w:type="character" w:customStyle="1" w:styleId="106">
    <w:name w:val="脚注文本 字符1"/>
    <w:basedOn w:val="53"/>
    <w:semiHidden/>
    <w:qFormat/>
    <w:uiPriority w:val="99"/>
    <w:rPr>
      <w:rFonts w:asciiTheme="minorHAnsi" w:hAnsiTheme="minorHAnsi" w:cstheme="minorBidi"/>
      <w:kern w:val="2"/>
      <w:sz w:val="18"/>
      <w:szCs w:val="18"/>
    </w:rPr>
  </w:style>
  <w:style w:type="character" w:customStyle="1" w:styleId="107">
    <w:name w:val="正文文本缩进 2 字符1"/>
    <w:basedOn w:val="53"/>
    <w:semiHidden/>
    <w:qFormat/>
    <w:uiPriority w:val="99"/>
    <w:rPr>
      <w:rFonts w:asciiTheme="minorHAnsi" w:hAnsiTheme="minorHAnsi" w:cstheme="minorBidi"/>
      <w:kern w:val="2"/>
      <w:sz w:val="24"/>
      <w:szCs w:val="22"/>
    </w:rPr>
  </w:style>
  <w:style w:type="character" w:customStyle="1" w:styleId="108">
    <w:name w:val="正文文本缩进 字符1"/>
    <w:basedOn w:val="53"/>
    <w:semiHidden/>
    <w:qFormat/>
    <w:uiPriority w:val="99"/>
    <w:rPr>
      <w:rFonts w:asciiTheme="minorHAnsi" w:hAnsiTheme="minorHAnsi" w:cstheme="minorBidi"/>
      <w:kern w:val="2"/>
      <w:sz w:val="24"/>
      <w:szCs w:val="22"/>
    </w:rPr>
  </w:style>
  <w:style w:type="character" w:customStyle="1" w:styleId="109">
    <w:name w:val="文档结构图 字符1"/>
    <w:basedOn w:val="53"/>
    <w:semiHidden/>
    <w:qFormat/>
    <w:uiPriority w:val="99"/>
    <w:rPr>
      <w:rFonts w:ascii="Microsoft YaHei UI" w:eastAsia="Microsoft YaHei UI" w:hAnsiTheme="minorHAnsi" w:cstheme="minorBidi"/>
      <w:kern w:val="2"/>
      <w:sz w:val="18"/>
      <w:szCs w:val="18"/>
    </w:rPr>
  </w:style>
  <w:style w:type="paragraph" w:customStyle="1" w:styleId="110">
    <w:name w:val="Char Char Char Char"/>
    <w:basedOn w:val="1"/>
    <w:qFormat/>
    <w:uiPriority w:val="0"/>
    <w:pPr>
      <w:spacing w:line="240" w:lineRule="auto"/>
      <w:ind w:firstLine="0" w:firstLineChars="0"/>
    </w:pPr>
    <w:rPr>
      <w:rFonts w:cs="Times New Roman"/>
      <w:szCs w:val="20"/>
    </w:rPr>
  </w:style>
  <w:style w:type="paragraph" w:customStyle="1" w:styleId="111">
    <w:name w:val="Text"/>
    <w:basedOn w:val="1"/>
    <w:qFormat/>
    <w:uiPriority w:val="99"/>
    <w:pPr>
      <w:widowControl/>
      <w:spacing w:line="260" w:lineRule="exact"/>
    </w:pPr>
    <w:rPr>
      <w:rFonts w:cs="Times New Roman"/>
      <w:kern w:val="0"/>
      <w:sz w:val="20"/>
      <w:szCs w:val="20"/>
      <w:lang w:eastAsia="en-US"/>
    </w:rPr>
  </w:style>
  <w:style w:type="paragraph" w:customStyle="1" w:styleId="112">
    <w:name w:val="font5"/>
    <w:basedOn w:val="1"/>
    <w:qFormat/>
    <w:uiPriority w:val="0"/>
    <w:pPr>
      <w:widowControl/>
      <w:spacing w:before="100" w:beforeAutospacing="1" w:after="100" w:afterAutospacing="1" w:line="240" w:lineRule="atLeast"/>
      <w:ind w:firstLine="0" w:firstLineChars="0"/>
      <w:jc w:val="left"/>
    </w:pPr>
    <w:rPr>
      <w:rFonts w:ascii="宋体" w:hAnsi="宋体" w:cs="Arial Unicode MS"/>
      <w:kern w:val="0"/>
      <w:szCs w:val="24"/>
    </w:rPr>
  </w:style>
  <w:style w:type="paragraph" w:customStyle="1" w:styleId="113">
    <w:name w:val="样式4"/>
    <w:basedOn w:val="6"/>
    <w:qFormat/>
    <w:uiPriority w:val="0"/>
    <w:pPr>
      <w:spacing w:before="120" w:after="120" w:line="360" w:lineRule="auto"/>
      <w:ind w:firstLine="0" w:firstLineChars="0"/>
      <w:jc w:val="left"/>
    </w:pPr>
    <w:rPr>
      <w:rFonts w:ascii="宋体" w:hAnsi="宋体" w:eastAsia="仿宋_GB2312" w:cs="Times New Roman"/>
      <w:kern w:val="0"/>
      <w:sz w:val="24"/>
    </w:rPr>
  </w:style>
  <w:style w:type="paragraph" w:customStyle="1" w:styleId="114">
    <w:name w:val="样式1"/>
    <w:basedOn w:val="1"/>
    <w:qFormat/>
    <w:uiPriority w:val="0"/>
    <w:pPr>
      <w:spacing w:line="240" w:lineRule="atLeast"/>
    </w:pPr>
    <w:rPr>
      <w:rFonts w:ascii="宋体" w:hAnsi="宋体" w:cs="Times New Roman"/>
      <w:color w:val="333333"/>
      <w:szCs w:val="28"/>
    </w:rPr>
  </w:style>
  <w:style w:type="paragraph" w:customStyle="1" w:styleId="115">
    <w:name w:val="表1"/>
    <w:basedOn w:val="49"/>
    <w:qFormat/>
    <w:uiPriority w:val="0"/>
    <w:pPr>
      <w:keepLines/>
      <w:spacing w:before="240" w:after="0" w:line="360" w:lineRule="exact"/>
      <w:ind w:firstLine="0" w:firstLineChars="0"/>
      <w:jc w:val="center"/>
    </w:pPr>
    <w:rPr>
      <w:rFonts w:cs="Times New Roman"/>
      <w:b/>
      <w:szCs w:val="20"/>
    </w:rPr>
  </w:style>
  <w:style w:type="paragraph" w:customStyle="1" w:styleId="116">
    <w:name w:val="xl31"/>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tLeast"/>
      <w:ind w:firstLine="0" w:firstLineChars="0"/>
      <w:jc w:val="left"/>
    </w:pPr>
    <w:rPr>
      <w:rFonts w:ascii="Arial Unicode MS" w:hAnsi="Arial Unicode MS" w:eastAsia="Arial Unicode MS" w:cs="Arial Unicode MS"/>
      <w:kern w:val="0"/>
      <w:sz w:val="20"/>
      <w:szCs w:val="20"/>
    </w:rPr>
  </w:style>
  <w:style w:type="paragraph" w:customStyle="1" w:styleId="117">
    <w:name w:val="xl34"/>
    <w:basedOn w:val="1"/>
    <w:qFormat/>
    <w:uiPriority w:val="0"/>
    <w:pPr>
      <w:widowControl/>
      <w:pBdr>
        <w:left w:val="single" w:color="auto" w:sz="4" w:space="0"/>
        <w:right w:val="single" w:color="auto" w:sz="4" w:space="0"/>
      </w:pBdr>
      <w:spacing w:before="100" w:beforeAutospacing="1" w:after="100" w:afterAutospacing="1" w:line="240" w:lineRule="atLeast"/>
      <w:ind w:firstLine="0" w:firstLineChars="0"/>
      <w:jc w:val="center"/>
    </w:pPr>
    <w:rPr>
      <w:rFonts w:ascii="Arial Unicode MS" w:hAnsi="Arial Unicode MS" w:eastAsia="Arial Unicode MS" w:cs="Arial Unicode MS"/>
      <w:kern w:val="0"/>
      <w:sz w:val="20"/>
      <w:szCs w:val="20"/>
    </w:rPr>
  </w:style>
  <w:style w:type="paragraph" w:customStyle="1" w:styleId="118">
    <w:name w:val="章首领文段"/>
    <w:qFormat/>
    <w:uiPriority w:val="0"/>
    <w:pPr>
      <w:spacing w:line="480" w:lineRule="exact"/>
      <w:ind w:firstLine="200" w:firstLineChars="200"/>
      <w:jc w:val="both"/>
    </w:pPr>
    <w:rPr>
      <w:rFonts w:ascii="Times New Roman" w:hAnsi="Times New Roman" w:eastAsia="楷体" w:cs="Times New Roman"/>
      <w:sz w:val="28"/>
      <w:lang w:val="en-US" w:eastAsia="zh-CN" w:bidi="ar-SA"/>
    </w:rPr>
  </w:style>
  <w:style w:type="paragraph" w:customStyle="1" w:styleId="119">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tLeast"/>
      <w:ind w:firstLine="0" w:firstLineChars="0"/>
      <w:jc w:val="center"/>
    </w:pPr>
    <w:rPr>
      <w:rFonts w:ascii="Arial Unicode MS" w:hAnsi="Arial Unicode MS" w:eastAsia="Arial Unicode MS" w:cs="Arial Unicode MS"/>
      <w:kern w:val="0"/>
      <w:sz w:val="20"/>
      <w:szCs w:val="20"/>
    </w:rPr>
  </w:style>
  <w:style w:type="paragraph" w:customStyle="1" w:styleId="120">
    <w:name w:val="xl33"/>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tLeast"/>
      <w:ind w:firstLine="0" w:firstLineChars="0"/>
      <w:jc w:val="center"/>
    </w:pPr>
    <w:rPr>
      <w:rFonts w:ascii="Arial Unicode MS" w:hAnsi="Arial Unicode MS" w:eastAsia="Arial Unicode MS" w:cs="Arial Unicode MS"/>
      <w:kern w:val="0"/>
      <w:sz w:val="20"/>
      <w:szCs w:val="20"/>
    </w:rPr>
  </w:style>
  <w:style w:type="paragraph" w:customStyle="1" w:styleId="121">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22">
    <w:name w:val="1"/>
    <w:basedOn w:val="1"/>
    <w:next w:val="1"/>
    <w:unhideWhenUsed/>
    <w:qFormat/>
    <w:uiPriority w:val="99"/>
    <w:pPr>
      <w:spacing w:line="240" w:lineRule="auto"/>
      <w:ind w:firstLine="0" w:firstLineChars="0"/>
    </w:pPr>
    <w:rPr>
      <w:rFonts w:ascii="Calibri" w:hAnsi="Calibri" w:cs="Times New Roman"/>
    </w:rPr>
  </w:style>
  <w:style w:type="paragraph" w:customStyle="1" w:styleId="123">
    <w:name w:val="font8"/>
    <w:basedOn w:val="1"/>
    <w:qFormat/>
    <w:uiPriority w:val="0"/>
    <w:pPr>
      <w:widowControl/>
      <w:spacing w:before="100" w:beforeAutospacing="1" w:after="100" w:afterAutospacing="1" w:line="240" w:lineRule="atLeast"/>
      <w:ind w:firstLine="0" w:firstLineChars="0"/>
      <w:jc w:val="left"/>
    </w:pPr>
    <w:rPr>
      <w:rFonts w:eastAsia="Arial Unicode MS" w:cs="Times New Roman"/>
      <w:kern w:val="0"/>
      <w:szCs w:val="28"/>
    </w:rPr>
  </w:style>
  <w:style w:type="paragraph" w:customStyle="1" w:styleId="124">
    <w:name w:val="p0"/>
    <w:basedOn w:val="1"/>
    <w:qFormat/>
    <w:uiPriority w:val="0"/>
    <w:pPr>
      <w:widowControl/>
      <w:spacing w:line="240" w:lineRule="auto"/>
      <w:ind w:firstLine="0" w:firstLineChars="0"/>
    </w:pPr>
    <w:rPr>
      <w:rFonts w:cs="Times New Roman"/>
      <w:kern w:val="0"/>
      <w:szCs w:val="21"/>
    </w:rPr>
  </w:style>
  <w:style w:type="paragraph" w:customStyle="1" w:styleId="125">
    <w:name w:val="xl32"/>
    <w:basedOn w:val="1"/>
    <w:qFormat/>
    <w:uiPriority w:val="0"/>
    <w:pPr>
      <w:widowControl/>
      <w:spacing w:before="100" w:beforeAutospacing="1" w:after="100" w:afterAutospacing="1" w:line="240" w:lineRule="atLeast"/>
      <w:ind w:firstLine="0" w:firstLineChars="0"/>
      <w:jc w:val="center"/>
    </w:pPr>
    <w:rPr>
      <w:rFonts w:ascii="Arial Unicode MS" w:hAnsi="Arial Unicode MS" w:eastAsia="Arial Unicode MS" w:cs="Arial Unicode MS"/>
      <w:kern w:val="0"/>
      <w:szCs w:val="28"/>
    </w:rPr>
  </w:style>
  <w:style w:type="paragraph" w:customStyle="1" w:styleId="126">
    <w:name w:val="图名-中"/>
    <w:basedOn w:val="14"/>
    <w:qFormat/>
    <w:uiPriority w:val="0"/>
    <w:pPr>
      <w:widowControl/>
      <w:spacing w:line="240" w:lineRule="exact"/>
      <w:jc w:val="center"/>
    </w:pPr>
    <w:rPr>
      <w:rFonts w:ascii="Times New Roman" w:hAnsi="宋体" w:eastAsia="宋体"/>
      <w:b/>
      <w:kern w:val="0"/>
      <w:sz w:val="21"/>
      <w:szCs w:val="18"/>
      <w:lang w:bidi="en-US"/>
    </w:rPr>
  </w:style>
  <w:style w:type="paragraph" w:customStyle="1" w:styleId="127">
    <w:name w:val="TOC Heading"/>
    <w:basedOn w:val="3"/>
    <w:next w:val="1"/>
    <w:qFormat/>
    <w:uiPriority w:val="39"/>
    <w:pPr>
      <w:widowControl/>
      <w:spacing w:before="480" w:after="0" w:line="276" w:lineRule="auto"/>
      <w:jc w:val="left"/>
      <w:outlineLvl w:val="9"/>
    </w:pPr>
    <w:rPr>
      <w:rFonts w:ascii="Cambria" w:hAnsi="Cambria" w:eastAsia="仿宋_GB2312" w:cs="Times New Roman"/>
      <w:color w:val="365F91"/>
      <w:kern w:val="0"/>
      <w:sz w:val="28"/>
      <w:szCs w:val="28"/>
    </w:rPr>
  </w:style>
  <w:style w:type="paragraph" w:customStyle="1" w:styleId="128">
    <w:name w:val="font9"/>
    <w:basedOn w:val="1"/>
    <w:qFormat/>
    <w:uiPriority w:val="0"/>
    <w:pPr>
      <w:widowControl/>
      <w:spacing w:before="100" w:beforeAutospacing="1" w:after="100" w:afterAutospacing="1" w:line="240" w:lineRule="atLeast"/>
      <w:ind w:firstLine="0" w:firstLineChars="0"/>
      <w:jc w:val="left"/>
    </w:pPr>
    <w:rPr>
      <w:rFonts w:ascii="宋体" w:hAnsi="宋体" w:cs="Arial Unicode MS"/>
      <w:kern w:val="0"/>
      <w:sz w:val="20"/>
      <w:szCs w:val="20"/>
    </w:rPr>
  </w:style>
  <w:style w:type="paragraph" w:customStyle="1" w:styleId="129">
    <w:name w:val="font6"/>
    <w:basedOn w:val="1"/>
    <w:qFormat/>
    <w:uiPriority w:val="0"/>
    <w:pPr>
      <w:widowControl/>
      <w:spacing w:before="100" w:beforeAutospacing="1" w:after="100" w:afterAutospacing="1" w:line="240" w:lineRule="atLeast"/>
      <w:ind w:firstLine="0" w:firstLineChars="0"/>
      <w:jc w:val="left"/>
    </w:pPr>
    <w:rPr>
      <w:rFonts w:ascii="宋体" w:hAnsi="宋体" w:cs="Arial Unicode MS"/>
      <w:kern w:val="0"/>
      <w:sz w:val="18"/>
      <w:szCs w:val="18"/>
    </w:rPr>
  </w:style>
  <w:style w:type="paragraph" w:customStyle="1" w:styleId="130">
    <w:name w:val="font7"/>
    <w:basedOn w:val="1"/>
    <w:qFormat/>
    <w:uiPriority w:val="0"/>
    <w:pPr>
      <w:widowControl/>
      <w:spacing w:before="100" w:beforeAutospacing="1" w:after="100" w:afterAutospacing="1" w:line="240" w:lineRule="atLeast"/>
      <w:ind w:firstLine="0" w:firstLineChars="0"/>
      <w:jc w:val="left"/>
    </w:pPr>
    <w:rPr>
      <w:rFonts w:ascii="宋体" w:hAnsi="宋体" w:cs="Arial Unicode MS"/>
      <w:kern w:val="0"/>
      <w:szCs w:val="28"/>
    </w:rPr>
  </w:style>
  <w:style w:type="paragraph" w:customStyle="1" w:styleId="131">
    <w:name w:val="font10"/>
    <w:basedOn w:val="1"/>
    <w:qFormat/>
    <w:uiPriority w:val="0"/>
    <w:pPr>
      <w:widowControl/>
      <w:spacing w:before="100" w:beforeAutospacing="1" w:after="100" w:afterAutospacing="1" w:line="240" w:lineRule="atLeast"/>
      <w:ind w:firstLine="0" w:firstLineChars="0"/>
      <w:jc w:val="left"/>
    </w:pPr>
    <w:rPr>
      <w:rFonts w:eastAsia="Arial Unicode MS" w:cs="Times New Roman"/>
      <w:kern w:val="0"/>
      <w:sz w:val="20"/>
      <w:szCs w:val="20"/>
    </w:rPr>
  </w:style>
  <w:style w:type="paragraph" w:customStyle="1" w:styleId="132">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tLeast"/>
      <w:ind w:firstLine="0" w:firstLineChars="0"/>
      <w:jc w:val="left"/>
    </w:pPr>
    <w:rPr>
      <w:rFonts w:ascii="Arial Unicode MS" w:hAnsi="Arial Unicode MS" w:eastAsia="Arial Unicode MS" w:cs="Arial Unicode MS"/>
      <w:kern w:val="0"/>
      <w:sz w:val="20"/>
      <w:szCs w:val="20"/>
    </w:rPr>
  </w:style>
  <w:style w:type="paragraph" w:customStyle="1" w:styleId="13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tLeast"/>
      <w:ind w:firstLine="0" w:firstLineChars="0"/>
      <w:jc w:val="center"/>
    </w:pPr>
    <w:rPr>
      <w:rFonts w:ascii="Arial Unicode MS" w:hAnsi="Arial Unicode MS" w:eastAsia="Arial Unicode MS" w:cs="Arial Unicode MS"/>
      <w:kern w:val="0"/>
      <w:sz w:val="20"/>
      <w:szCs w:val="20"/>
    </w:rPr>
  </w:style>
  <w:style w:type="paragraph" w:customStyle="1" w:styleId="13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tLeast"/>
      <w:ind w:firstLine="0" w:firstLineChars="0"/>
      <w:jc w:val="left"/>
    </w:pPr>
    <w:rPr>
      <w:rFonts w:ascii="Arial Unicode MS" w:hAnsi="Arial Unicode MS" w:eastAsia="Arial Unicode MS" w:cs="Arial Unicode MS"/>
      <w:kern w:val="0"/>
      <w:sz w:val="20"/>
      <w:szCs w:val="20"/>
    </w:rPr>
  </w:style>
  <w:style w:type="paragraph" w:customStyle="1" w:styleId="135">
    <w:name w:val="1."/>
    <w:basedOn w:val="23"/>
    <w:qFormat/>
    <w:uiPriority w:val="0"/>
    <w:pPr>
      <w:spacing w:line="480" w:lineRule="exact"/>
      <w:ind w:left="0" w:leftChars="0" w:firstLine="482"/>
      <w:jc w:val="left"/>
    </w:pPr>
    <w:rPr>
      <w:rFonts w:hint="eastAsia" w:ascii="Calibri" w:hAnsi="Calibri" w:cs="Times New Roman"/>
      <w:b/>
    </w:rPr>
  </w:style>
  <w:style w:type="paragraph" w:customStyle="1" w:styleId="13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tLeast"/>
      <w:ind w:firstLine="0" w:firstLineChars="0"/>
      <w:jc w:val="left"/>
    </w:pPr>
    <w:rPr>
      <w:rFonts w:ascii="Arial Unicode MS" w:hAnsi="Arial Unicode MS" w:eastAsia="Arial Unicode MS" w:cs="Arial Unicode MS"/>
      <w:kern w:val="0"/>
      <w:szCs w:val="28"/>
    </w:rPr>
  </w:style>
  <w:style w:type="paragraph" w:customStyle="1" w:styleId="13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tLeast"/>
      <w:ind w:firstLine="0" w:firstLineChars="0"/>
      <w:jc w:val="left"/>
    </w:pPr>
    <w:rPr>
      <w:rFonts w:ascii="Arial Unicode MS" w:hAnsi="Arial Unicode MS" w:eastAsia="Arial Unicode MS" w:cs="Arial Unicode MS"/>
      <w:kern w:val="0"/>
      <w:sz w:val="32"/>
      <w:szCs w:val="32"/>
    </w:rPr>
  </w:style>
  <w:style w:type="paragraph" w:customStyle="1" w:styleId="138">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tLeast"/>
      <w:ind w:firstLine="0" w:firstLineChars="0"/>
      <w:jc w:val="left"/>
    </w:pPr>
    <w:rPr>
      <w:rFonts w:ascii="Arial Unicode MS" w:hAnsi="Arial Unicode MS" w:eastAsia="Arial Unicode MS" w:cs="Arial Unicode MS"/>
      <w:kern w:val="0"/>
      <w:sz w:val="20"/>
      <w:szCs w:val="20"/>
    </w:rPr>
  </w:style>
  <w:style w:type="paragraph" w:customStyle="1" w:styleId="139">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tLeast"/>
      <w:ind w:firstLine="0" w:firstLineChars="0"/>
      <w:jc w:val="center"/>
    </w:pPr>
    <w:rPr>
      <w:rFonts w:ascii="Arial Unicode MS" w:hAnsi="Arial Unicode MS" w:eastAsia="Arial Unicode MS" w:cs="Arial Unicode MS"/>
      <w:kern w:val="0"/>
      <w:sz w:val="20"/>
      <w:szCs w:val="20"/>
    </w:rPr>
  </w:style>
  <w:style w:type="table" w:customStyle="1" w:styleId="140">
    <w:name w:val="浅色底纹1"/>
    <w:basedOn w:val="50"/>
    <w:qFormat/>
    <w:uiPriority w:val="60"/>
    <w:rPr>
      <w:rFonts w:ascii="Calibri" w:hAnsi="Calibri"/>
      <w:color w:val="00000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character" w:customStyle="1" w:styleId="141">
    <w:name w:val="未处理的提及1"/>
    <w:semiHidden/>
    <w:unhideWhenUsed/>
    <w:qFormat/>
    <w:uiPriority w:val="99"/>
    <w:rPr>
      <w:color w:val="605E5C"/>
      <w:shd w:val="clear" w:color="auto" w:fill="E1DFDD"/>
    </w:rPr>
  </w:style>
  <w:style w:type="paragraph" w:customStyle="1" w:styleId="142">
    <w:name w:val="2"/>
    <w:basedOn w:val="1"/>
    <w:next w:val="77"/>
    <w:qFormat/>
    <w:uiPriority w:val="34"/>
    <w:pPr>
      <w:spacing w:line="240" w:lineRule="auto"/>
      <w:ind w:firstLine="420"/>
    </w:pPr>
    <w:rPr>
      <w:rFonts w:ascii="Calibri" w:hAnsi="Calibri" w:cs="Times New Roman"/>
    </w:rPr>
  </w:style>
  <w:style w:type="table" w:customStyle="1" w:styleId="143">
    <w:name w:val="网格型1"/>
    <w:basedOn w:val="50"/>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4">
    <w:name w:val="未处理的提及2"/>
    <w:basedOn w:val="53"/>
    <w:semiHidden/>
    <w:unhideWhenUsed/>
    <w:qFormat/>
    <w:uiPriority w:val="99"/>
    <w:rPr>
      <w:color w:val="605E5C"/>
      <w:shd w:val="clear" w:color="auto" w:fill="E1DFDD"/>
    </w:rPr>
  </w:style>
  <w:style w:type="character" w:customStyle="1" w:styleId="145">
    <w:name w:val="未处理的提及3"/>
    <w:semiHidden/>
    <w:unhideWhenUsed/>
    <w:qFormat/>
    <w:uiPriority w:val="99"/>
    <w:rPr>
      <w:color w:val="605E5C"/>
      <w:shd w:val="clear" w:color="auto" w:fill="E1DFDD"/>
    </w:rPr>
  </w:style>
  <w:style w:type="table" w:customStyle="1" w:styleId="146">
    <w:name w:val="Grid Table 1 Light"/>
    <w:basedOn w:val="50"/>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147">
    <w:name w:val="未处理的提及4"/>
    <w:basedOn w:val="53"/>
    <w:semiHidden/>
    <w:unhideWhenUsed/>
    <w:qFormat/>
    <w:uiPriority w:val="99"/>
    <w:rPr>
      <w:color w:val="605E5C"/>
      <w:shd w:val="clear" w:color="auto" w:fill="E1DFDD"/>
    </w:rPr>
  </w:style>
  <w:style w:type="paragraph" w:customStyle="1" w:styleId="148">
    <w:name w:val="Revision"/>
    <w:hidden/>
    <w:semiHidden/>
    <w:qFormat/>
    <w:uiPriority w:val="99"/>
    <w:rPr>
      <w:rFonts w:eastAsia="仿宋_GB2312" w:asciiTheme="minorHAnsi" w:hAnsiTheme="minorHAnsi" w:cstheme="minorBidi"/>
      <w:kern w:val="2"/>
      <w:sz w:val="28"/>
      <w:szCs w:val="22"/>
      <w:lang w:val="en-US" w:eastAsia="zh-CN" w:bidi="ar-SA"/>
    </w:rPr>
  </w:style>
  <w:style w:type="table" w:customStyle="1" w:styleId="149">
    <w:name w:val="网格型2"/>
    <w:basedOn w:val="50"/>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0">
    <w:name w:val="msonormal"/>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151">
    <w:name w:val="xl60"/>
    <w:basedOn w:val="1"/>
    <w:qFormat/>
    <w:uiPriority w:val="0"/>
    <w:pPr>
      <w:widowControl/>
      <w:spacing w:before="100" w:beforeAutospacing="1" w:after="100" w:afterAutospacing="1" w:line="240" w:lineRule="auto"/>
      <w:ind w:firstLine="0" w:firstLineChars="0"/>
      <w:jc w:val="left"/>
      <w:textAlignment w:val="bottom"/>
    </w:pPr>
    <w:rPr>
      <w:rFonts w:ascii="宋体" w:hAnsi="宋体" w:eastAsia="宋体" w:cs="宋体"/>
      <w:kern w:val="0"/>
      <w:sz w:val="24"/>
      <w:szCs w:val="24"/>
    </w:rPr>
  </w:style>
  <w:style w:type="paragraph" w:customStyle="1" w:styleId="152">
    <w:name w:val="xl62"/>
    <w:basedOn w:val="1"/>
    <w:qFormat/>
    <w:uiPriority w:val="0"/>
    <w:pPr>
      <w:widowControl/>
      <w:shd w:val="clear" w:color="000000" w:fill="C0C0C0"/>
      <w:spacing w:before="100" w:beforeAutospacing="1" w:after="100" w:afterAutospacing="1" w:line="240" w:lineRule="auto"/>
      <w:ind w:firstLine="0" w:firstLineChars="0"/>
      <w:jc w:val="center"/>
      <w:textAlignment w:val="bottom"/>
    </w:pPr>
    <w:rPr>
      <w:rFonts w:ascii="宋体" w:hAnsi="宋体" w:eastAsia="宋体" w:cs="宋体"/>
      <w:b/>
      <w:bCs/>
      <w:kern w:val="0"/>
      <w:sz w:val="24"/>
      <w:szCs w:val="24"/>
    </w:rPr>
  </w:style>
  <w:style w:type="paragraph" w:customStyle="1" w:styleId="153">
    <w:name w:val="xl63"/>
    <w:basedOn w:val="1"/>
    <w:qFormat/>
    <w:uiPriority w:val="0"/>
    <w:pPr>
      <w:widowControl/>
      <w:spacing w:before="100" w:beforeAutospacing="1" w:after="100" w:afterAutospacing="1" w:line="240" w:lineRule="auto"/>
      <w:ind w:firstLine="0" w:firstLineChars="0"/>
      <w:jc w:val="left"/>
      <w:textAlignment w:val="bottom"/>
    </w:pPr>
    <w:rPr>
      <w:rFonts w:ascii="宋体" w:hAnsi="宋体" w:eastAsia="宋体" w:cs="宋体"/>
      <w:kern w:val="0"/>
      <w:sz w:val="24"/>
      <w:szCs w:val="24"/>
    </w:rPr>
  </w:style>
  <w:style w:type="paragraph" w:customStyle="1" w:styleId="154">
    <w:name w:val="xl64"/>
    <w:basedOn w:val="1"/>
    <w:qFormat/>
    <w:uiPriority w:val="0"/>
    <w:pPr>
      <w:widowControl/>
      <w:spacing w:before="100" w:beforeAutospacing="1" w:after="100" w:afterAutospacing="1" w:line="240" w:lineRule="auto"/>
      <w:ind w:firstLine="0" w:firstLineChars="0"/>
      <w:jc w:val="left"/>
      <w:textAlignment w:val="bottom"/>
    </w:pPr>
    <w:rPr>
      <w:rFonts w:ascii="宋体" w:hAnsi="宋体" w:eastAsia="宋体" w:cs="宋体"/>
      <w:kern w:val="0"/>
      <w:sz w:val="24"/>
      <w:szCs w:val="24"/>
    </w:rPr>
  </w:style>
  <w:style w:type="paragraph" w:customStyle="1" w:styleId="155">
    <w:name w:val="xl65"/>
    <w:basedOn w:val="1"/>
    <w:qFormat/>
    <w:uiPriority w:val="0"/>
    <w:pPr>
      <w:widowControl/>
      <w:spacing w:before="100" w:beforeAutospacing="1" w:after="100" w:afterAutospacing="1" w:line="240" w:lineRule="auto"/>
      <w:ind w:firstLine="0" w:firstLineChars="0"/>
      <w:jc w:val="left"/>
      <w:textAlignment w:val="bottom"/>
    </w:pPr>
    <w:rPr>
      <w:rFonts w:ascii="宋体" w:hAnsi="宋体" w:eastAsia="宋体" w:cs="宋体"/>
      <w:kern w:val="0"/>
      <w:sz w:val="24"/>
      <w:szCs w:val="24"/>
    </w:rPr>
  </w:style>
  <w:style w:type="paragraph" w:customStyle="1" w:styleId="156">
    <w:name w:val="xl66"/>
    <w:basedOn w:val="1"/>
    <w:qFormat/>
    <w:uiPriority w:val="0"/>
    <w:pPr>
      <w:widowControl/>
      <w:spacing w:before="100" w:beforeAutospacing="1" w:after="100" w:afterAutospacing="1" w:line="240" w:lineRule="auto"/>
      <w:ind w:firstLine="0" w:firstLineChars="0"/>
      <w:jc w:val="left"/>
      <w:textAlignment w:val="bottom"/>
    </w:pPr>
    <w:rPr>
      <w:rFonts w:ascii="宋体" w:hAnsi="宋体" w:eastAsia="宋体" w:cs="宋体"/>
      <w:kern w:val="0"/>
      <w:sz w:val="24"/>
      <w:szCs w:val="24"/>
    </w:rPr>
  </w:style>
  <w:style w:type="paragraph" w:customStyle="1" w:styleId="157">
    <w:name w:val="xl67"/>
    <w:basedOn w:val="1"/>
    <w:qFormat/>
    <w:uiPriority w:val="0"/>
    <w:pPr>
      <w:widowControl/>
      <w:spacing w:before="100" w:beforeAutospacing="1" w:after="100" w:afterAutospacing="1" w:line="240" w:lineRule="auto"/>
      <w:ind w:firstLine="0" w:firstLineChars="0"/>
      <w:jc w:val="left"/>
      <w:textAlignment w:val="bottom"/>
    </w:pPr>
    <w:rPr>
      <w:rFonts w:ascii="宋体" w:hAnsi="宋体" w:eastAsia="宋体" w:cs="宋体"/>
      <w:kern w:val="0"/>
      <w:sz w:val="24"/>
      <w:szCs w:val="24"/>
    </w:rPr>
  </w:style>
  <w:style w:type="paragraph" w:customStyle="1" w:styleId="158">
    <w:name w:val="xl68"/>
    <w:basedOn w:val="1"/>
    <w:qFormat/>
    <w:uiPriority w:val="0"/>
    <w:pPr>
      <w:widowControl/>
      <w:spacing w:before="100" w:beforeAutospacing="1" w:after="100" w:afterAutospacing="1" w:line="240" w:lineRule="auto"/>
      <w:ind w:firstLine="0" w:firstLineChars="0"/>
      <w:jc w:val="left"/>
      <w:textAlignment w:val="bottom"/>
    </w:pPr>
    <w:rPr>
      <w:rFonts w:ascii="宋体" w:hAnsi="宋体" w:eastAsia="宋体" w:cs="宋体"/>
      <w:kern w:val="0"/>
      <w:sz w:val="24"/>
      <w:szCs w:val="24"/>
    </w:rPr>
  </w:style>
  <w:style w:type="paragraph" w:customStyle="1" w:styleId="159">
    <w:name w:val="xl69"/>
    <w:basedOn w:val="1"/>
    <w:qFormat/>
    <w:uiPriority w:val="0"/>
    <w:pPr>
      <w:widowControl/>
      <w:shd w:val="clear" w:color="000000" w:fill="C0C0C0"/>
      <w:spacing w:before="100" w:beforeAutospacing="1" w:after="100" w:afterAutospacing="1" w:line="240" w:lineRule="auto"/>
      <w:ind w:firstLine="0" w:firstLineChars="0"/>
      <w:jc w:val="center"/>
      <w:textAlignment w:val="bottom"/>
    </w:pPr>
    <w:rPr>
      <w:rFonts w:ascii="宋体" w:hAnsi="宋体" w:eastAsia="宋体" w:cs="宋体"/>
      <w:b/>
      <w:bCs/>
      <w:kern w:val="0"/>
      <w:sz w:val="24"/>
      <w:szCs w:val="24"/>
    </w:rPr>
  </w:style>
  <w:style w:type="paragraph" w:customStyle="1" w:styleId="160">
    <w:name w:val="xl70"/>
    <w:basedOn w:val="1"/>
    <w:qFormat/>
    <w:uiPriority w:val="0"/>
    <w:pPr>
      <w:widowControl/>
      <w:spacing w:before="100" w:beforeAutospacing="1" w:after="100" w:afterAutospacing="1" w:line="240" w:lineRule="auto"/>
      <w:ind w:firstLine="0" w:firstLineChars="0"/>
      <w:jc w:val="center"/>
      <w:textAlignment w:val="bottom"/>
    </w:pPr>
    <w:rPr>
      <w:rFonts w:eastAsia="宋体" w:cs="Times New Roman"/>
      <w:color w:val="000000"/>
      <w:kern w:val="0"/>
      <w:sz w:val="22"/>
    </w:rPr>
  </w:style>
  <w:style w:type="paragraph" w:customStyle="1" w:styleId="161">
    <w:name w:val="b63ee27f-4cf3-414c-9275-d88e3f90795e"/>
    <w:basedOn w:val="5"/>
    <w:next w:val="162"/>
    <w:link w:val="163"/>
    <w:qFormat/>
    <w:uiPriority w:val="0"/>
    <w:pPr>
      <w:adjustRightInd w:val="0"/>
      <w:spacing w:before="0" w:after="0" w:line="288" w:lineRule="auto"/>
      <w:jc w:val="left"/>
    </w:pPr>
    <w:rPr>
      <w:rFonts w:ascii="微软雅黑" w:hAnsi="微软雅黑" w:eastAsia="微软雅黑"/>
      <w:b/>
      <w:color w:val="000000"/>
      <w:sz w:val="26"/>
    </w:rPr>
  </w:style>
  <w:style w:type="paragraph" w:customStyle="1" w:styleId="162">
    <w:name w:val="acbfdd8b-e11b-4d36-88ff-6049b138f862"/>
    <w:basedOn w:val="1"/>
    <w:link w:val="164"/>
    <w:qFormat/>
    <w:uiPriority w:val="0"/>
    <w:pPr>
      <w:adjustRightInd w:val="0"/>
      <w:spacing w:line="288" w:lineRule="auto"/>
      <w:ind w:firstLine="0"/>
      <w:jc w:val="left"/>
    </w:pPr>
    <w:rPr>
      <w:rFonts w:ascii="微软雅黑" w:hAnsi="微软雅黑" w:eastAsia="微软雅黑"/>
      <w:color w:val="000000"/>
      <w:sz w:val="22"/>
    </w:rPr>
  </w:style>
  <w:style w:type="character" w:customStyle="1" w:styleId="163">
    <w:name w:val="b63ee27f-4cf3-414c-9275-d88e3f90795e 字符"/>
    <w:basedOn w:val="53"/>
    <w:link w:val="161"/>
    <w:qFormat/>
    <w:uiPriority w:val="0"/>
    <w:rPr>
      <w:rFonts w:ascii="微软雅黑" w:hAnsi="微软雅黑" w:eastAsia="微软雅黑" w:cstheme="minorBidi"/>
      <w:b/>
      <w:bCs/>
      <w:color w:val="000000"/>
      <w:kern w:val="2"/>
      <w:sz w:val="26"/>
      <w:szCs w:val="32"/>
    </w:rPr>
  </w:style>
  <w:style w:type="character" w:customStyle="1" w:styleId="164">
    <w:name w:val="acbfdd8b-e11b-4d36-88ff-6049b138f862 字符"/>
    <w:basedOn w:val="53"/>
    <w:link w:val="162"/>
    <w:qFormat/>
    <w:uiPriority w:val="0"/>
    <w:rPr>
      <w:rFonts w:ascii="微软雅黑" w:hAnsi="微软雅黑" w:eastAsia="微软雅黑" w:cstheme="minorBidi"/>
      <w:color w:val="000000"/>
      <w:kern w:val="2"/>
      <w:sz w:val="22"/>
      <w:szCs w:val="22"/>
    </w:rPr>
  </w:style>
  <w:style w:type="character" w:customStyle="1" w:styleId="165">
    <w:name w:val="不明显强调1"/>
    <w:qFormat/>
    <w:uiPriority w:val="19"/>
    <w:rPr>
      <w:i/>
      <w:iCs/>
      <w:color w:val="808080"/>
    </w:rPr>
  </w:style>
  <w:style w:type="paragraph" w:customStyle="1" w:styleId="166">
    <w:name w:val="TOC 标题1"/>
    <w:basedOn w:val="3"/>
    <w:next w:val="1"/>
    <w:qFormat/>
    <w:uiPriority w:val="39"/>
    <w:pPr>
      <w:widowControl/>
      <w:spacing w:before="480" w:after="0" w:line="276" w:lineRule="auto"/>
      <w:jc w:val="left"/>
      <w:outlineLvl w:val="9"/>
    </w:pPr>
    <w:rPr>
      <w:rFonts w:ascii="Cambria" w:hAnsi="Cambria" w:eastAsia="仿宋_GB2312" w:cs="Times New Roman"/>
      <w:color w:val="365F91"/>
      <w:kern w:val="0"/>
      <w:sz w:val="28"/>
      <w:szCs w:val="28"/>
    </w:rPr>
  </w:style>
  <w:style w:type="table" w:customStyle="1" w:styleId="167">
    <w:name w:val="浅色底纹11"/>
    <w:basedOn w:val="50"/>
    <w:qFormat/>
    <w:uiPriority w:val="60"/>
    <w:rPr>
      <w:rFonts w:ascii="Calibri" w:hAnsi="Calibri"/>
      <w:color w:val="00000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table" w:customStyle="1" w:styleId="168">
    <w:name w:val="网格表 1 浅色1"/>
    <w:basedOn w:val="50"/>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69">
    <w:name w:val="修订1"/>
    <w:hidden/>
    <w:semiHidden/>
    <w:qFormat/>
    <w:uiPriority w:val="99"/>
    <w:rPr>
      <w:rFonts w:eastAsia="仿宋_GB2312" w:asciiTheme="minorHAnsi" w:hAnsiTheme="minorHAnsi" w:cstheme="minorBidi"/>
      <w:kern w:val="2"/>
      <w:sz w:val="28"/>
      <w:szCs w:val="22"/>
      <w:lang w:val="en-US" w:eastAsia="zh-CN" w:bidi="ar-SA"/>
    </w:rPr>
  </w:style>
  <w:style w:type="paragraph" w:customStyle="1" w:styleId="170">
    <w:name w:val="表格2"/>
    <w:basedOn w:val="1"/>
    <w:qFormat/>
    <w:uiPriority w:val="0"/>
    <w:pPr>
      <w:widowControl/>
      <w:spacing w:line="240" w:lineRule="auto"/>
      <w:ind w:firstLine="0" w:firstLineChars="0"/>
      <w:jc w:val="center"/>
    </w:pPr>
    <w:rPr>
      <w:rFonts w:hint="eastAsia" w:cs="宋体"/>
      <w:kern w:val="0"/>
      <w:sz w:val="21"/>
      <w:szCs w:val="21"/>
    </w:rPr>
  </w:style>
  <w:style w:type="table" w:customStyle="1" w:styleId="171">
    <w:name w:val="浅色底纹12"/>
    <w:basedOn w:val="50"/>
    <w:qFormat/>
    <w:uiPriority w:val="60"/>
    <w:rPr>
      <w:rFonts w:ascii="Calibri" w:hAnsi="Calibri"/>
      <w:color w:val="00000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character" w:customStyle="1" w:styleId="172">
    <w:name w:val="标题 8 字符"/>
    <w:basedOn w:val="53"/>
    <w:link w:val="10"/>
    <w:semiHidden/>
    <w:qFormat/>
    <w:uiPriority w:val="9"/>
    <w:rPr>
      <w:rFonts w:asciiTheme="minorHAnsi" w:hAnsiTheme="minorHAnsi" w:eastAsiaTheme="minorEastAsia" w:cstheme="majorBidi"/>
      <w:color w:val="595959" w:themeColor="text1" w:themeTint="A6"/>
      <w:kern w:val="2"/>
      <w:sz w:val="28"/>
      <w:szCs w:val="22"/>
      <w14:textFill>
        <w14:solidFill>
          <w14:schemeClr w14:val="tx1">
            <w14:lumMod w14:val="65000"/>
            <w14:lumOff w14:val="35000"/>
          </w14:schemeClr>
        </w14:solidFill>
      </w14:textFill>
    </w:rPr>
  </w:style>
  <w:style w:type="character" w:customStyle="1" w:styleId="173">
    <w:name w:val="标题 9 字符"/>
    <w:basedOn w:val="53"/>
    <w:link w:val="11"/>
    <w:semiHidden/>
    <w:qFormat/>
    <w:uiPriority w:val="9"/>
    <w:rPr>
      <w:rFonts w:asciiTheme="minorHAnsi" w:hAnsiTheme="minorHAnsi" w:eastAsiaTheme="majorEastAsia" w:cstheme="majorBidi"/>
      <w:color w:val="595959" w:themeColor="text1" w:themeTint="A6"/>
      <w:kern w:val="2"/>
      <w:sz w:val="28"/>
      <w:szCs w:val="22"/>
      <w14:textFill>
        <w14:solidFill>
          <w14:schemeClr w14:val="tx1">
            <w14:lumMod w14:val="65000"/>
            <w14:lumOff w14:val="35000"/>
          </w14:schemeClr>
        </w14:solidFill>
      </w14:textFill>
    </w:rPr>
  </w:style>
  <w:style w:type="paragraph" w:customStyle="1" w:styleId="174">
    <w:name w:val="附表内容"/>
    <w:basedOn w:val="1"/>
    <w:next w:val="1"/>
    <w:link w:val="175"/>
    <w:qFormat/>
    <w:uiPriority w:val="0"/>
    <w:pPr>
      <w:widowControl/>
      <w:jc w:val="center"/>
    </w:pPr>
    <w:rPr>
      <w:rFonts w:cs="Arial"/>
      <w:bCs/>
      <w:color w:val="000000"/>
      <w:kern w:val="0"/>
      <w:szCs w:val="32"/>
    </w:rPr>
  </w:style>
  <w:style w:type="character" w:customStyle="1" w:styleId="175">
    <w:name w:val="附表内容 字符"/>
    <w:basedOn w:val="53"/>
    <w:link w:val="174"/>
    <w:qFormat/>
    <w:uiPriority w:val="0"/>
    <w:rPr>
      <w:rFonts w:eastAsia="仿宋_GB2312" w:cs="Arial"/>
      <w:bCs/>
      <w:color w:val="000000"/>
      <w:sz w:val="28"/>
      <w:szCs w:val="32"/>
    </w:rPr>
  </w:style>
  <w:style w:type="paragraph" w:customStyle="1" w:styleId="176">
    <w:name w:val="文本正文格式"/>
    <w:basedOn w:val="1"/>
    <w:link w:val="177"/>
    <w:qFormat/>
    <w:uiPriority w:val="0"/>
    <w:pPr>
      <w:adjustRightInd w:val="0"/>
      <w:snapToGrid w:val="0"/>
      <w:spacing w:before="50" w:beforeLines="50" w:after="50" w:afterLines="50" w:line="520" w:lineRule="exact"/>
    </w:pPr>
    <w:rPr>
      <w:rFonts w:asciiTheme="minorHAnsi" w:hAnsiTheme="minorHAnsi"/>
      <w:bCs/>
      <w:sz w:val="30"/>
      <w:szCs w:val="30"/>
    </w:rPr>
  </w:style>
  <w:style w:type="character" w:customStyle="1" w:styleId="177">
    <w:name w:val="文本正文格式 字符"/>
    <w:basedOn w:val="53"/>
    <w:link w:val="176"/>
    <w:qFormat/>
    <w:uiPriority w:val="0"/>
    <w:rPr>
      <w:rFonts w:eastAsia="仿宋_GB2312" w:asciiTheme="minorHAnsi" w:hAnsiTheme="minorHAnsi" w:cstheme="minorBidi"/>
      <w:bCs/>
      <w:kern w:val="2"/>
      <w:sz w:val="30"/>
      <w:szCs w:val="30"/>
    </w:rPr>
  </w:style>
  <w:style w:type="paragraph" w:styleId="178">
    <w:name w:val="Quote"/>
    <w:basedOn w:val="1"/>
    <w:next w:val="1"/>
    <w:link w:val="17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179">
    <w:name w:val="引用 字符"/>
    <w:basedOn w:val="53"/>
    <w:link w:val="178"/>
    <w:qFormat/>
    <w:uiPriority w:val="29"/>
    <w:rPr>
      <w:rFonts w:eastAsia="仿宋_GB2312" w:cstheme="minorBidi"/>
      <w:i/>
      <w:iCs/>
      <w:color w:val="404040" w:themeColor="text1" w:themeTint="BF"/>
      <w:kern w:val="2"/>
      <w:sz w:val="28"/>
      <w:szCs w:val="22"/>
      <w14:textFill>
        <w14:solidFill>
          <w14:schemeClr w14:val="tx1">
            <w14:lumMod w14:val="75000"/>
            <w14:lumOff w14:val="25000"/>
          </w14:schemeClr>
        </w14:solidFill>
      </w14:textFill>
    </w:rPr>
  </w:style>
  <w:style w:type="character" w:customStyle="1" w:styleId="180">
    <w:name w:val="Intense Emphasis"/>
    <w:basedOn w:val="53"/>
    <w:qFormat/>
    <w:uiPriority w:val="21"/>
    <w:rPr>
      <w:i/>
      <w:iCs/>
      <w:color w:val="2E75B6" w:themeColor="accent1" w:themeShade="BF"/>
    </w:rPr>
  </w:style>
  <w:style w:type="paragraph" w:styleId="181">
    <w:name w:val="Intense Quote"/>
    <w:basedOn w:val="1"/>
    <w:next w:val="1"/>
    <w:link w:val="182"/>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182">
    <w:name w:val="明显引用 字符"/>
    <w:basedOn w:val="53"/>
    <w:link w:val="181"/>
    <w:qFormat/>
    <w:uiPriority w:val="30"/>
    <w:rPr>
      <w:rFonts w:eastAsia="仿宋_GB2312" w:cstheme="minorBidi"/>
      <w:i/>
      <w:iCs/>
      <w:color w:val="2E75B6" w:themeColor="accent1" w:themeShade="BF"/>
      <w:kern w:val="2"/>
      <w:sz w:val="28"/>
      <w:szCs w:val="22"/>
    </w:rPr>
  </w:style>
  <w:style w:type="character" w:customStyle="1" w:styleId="183">
    <w:name w:val="Intense Reference"/>
    <w:basedOn w:val="53"/>
    <w:qFormat/>
    <w:uiPriority w:val="32"/>
    <w:rPr>
      <w:b/>
      <w:bCs/>
      <w:smallCaps/>
      <w:color w:val="2E75B6"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5854BB-984E-42DA-8EE7-54F89F95D49D}">
  <ds:schemaRefs/>
</ds:datastoreItem>
</file>

<file path=docProps/app.xml><?xml version="1.0" encoding="utf-8"?>
<Properties xmlns="http://schemas.openxmlformats.org/officeDocument/2006/extended-properties" xmlns:vt="http://schemas.openxmlformats.org/officeDocument/2006/docPropsVTypes">
  <Template>Normal</Template>
  <Pages>86</Pages>
  <Words>20485</Words>
  <Characters>23968</Characters>
  <Lines>4793</Lines>
  <Paragraphs>4041</Paragraphs>
  <TotalTime>551</TotalTime>
  <ScaleCrop>false</ScaleCrop>
  <LinksUpToDate>false</LinksUpToDate>
  <CharactersWithSpaces>40412</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2025-11-27T09:59:00Z</dcterms:created>
  <dc:creator>guihua</dc:creator>
  <cp:lastModifiedBy>lenovo</cp:lastModifiedBy>
  <cp:lastPrinted>2026-02-03T08:15:00Z</cp:lastPrinted>
  <dcterms:modified xsi:type="dcterms:W3CDTF">2026-04-13T06:15:43Z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C4CC62A495A341DF85575A8BDE210DFC</vt:lpwstr>
  </property>
</Properties>
</file>