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5C232">
      <w:pPr>
        <w:keepNext w:val="0"/>
        <w:keepLines w:val="0"/>
        <w:pageBreakBefore w:val="0"/>
        <w:widowControl w:val="0"/>
        <w:wordWrap/>
        <w:overflowPunct/>
        <w:topLinePunct w:val="0"/>
        <w:bidi w:val="0"/>
        <w:spacing w:line="579" w:lineRule="exact"/>
        <w:jc w:val="left"/>
        <w:rPr>
          <w:rFonts w:hint="default" w:ascii="Times New Roman" w:hAnsi="Times New Roman" w:eastAsia="黑体" w:cs="Times New Roman"/>
          <w:color w:val="auto"/>
          <w:sz w:val="28"/>
          <w:szCs w:val="28"/>
          <w:lang w:val="en-US" w:eastAsia="zh-CN"/>
        </w:rPr>
      </w:pPr>
      <w:r>
        <w:rPr>
          <w:rFonts w:hint="default" w:ascii="Times New Roman" w:hAnsi="Times New Roman" w:eastAsia="黑体" w:cs="Times New Roman"/>
          <w:color w:val="auto"/>
          <w:sz w:val="28"/>
          <w:szCs w:val="28"/>
          <w:lang w:eastAsia="zh-CN"/>
        </w:rPr>
        <w:t>附件</w:t>
      </w:r>
      <w:r>
        <w:rPr>
          <w:rFonts w:hint="eastAsia" w:ascii="Times New Roman" w:hAnsi="Times New Roman" w:eastAsia="黑体" w:cs="Times New Roman"/>
          <w:color w:val="auto"/>
          <w:sz w:val="28"/>
          <w:szCs w:val="28"/>
          <w:lang w:val="en-US" w:eastAsia="zh-CN"/>
        </w:rPr>
        <w:t>4</w:t>
      </w:r>
    </w:p>
    <w:p w14:paraId="49632902">
      <w:pPr>
        <w:keepNext w:val="0"/>
        <w:keepLines w:val="0"/>
        <w:pageBreakBefore w:val="0"/>
        <w:widowControl w:val="0"/>
        <w:wordWrap/>
        <w:overflowPunct/>
        <w:topLinePunct w:val="0"/>
        <w:bidi w:val="0"/>
        <w:spacing w:line="579" w:lineRule="exact"/>
        <w:jc w:val="center"/>
        <w:rPr>
          <w:rFonts w:hint="default" w:ascii="Times New Roman" w:hAnsi="Times New Roman" w:eastAsia="方正小标宋简体" w:cs="Times New Roman"/>
          <w:color w:val="auto"/>
          <w:sz w:val="44"/>
          <w:szCs w:val="44"/>
        </w:rPr>
      </w:pPr>
    </w:p>
    <w:p w14:paraId="05AA848D">
      <w:pPr>
        <w:keepNext w:val="0"/>
        <w:keepLines w:val="0"/>
        <w:pageBreakBefore w:val="0"/>
        <w:widowControl w:val="0"/>
        <w:kinsoku/>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方正小标宋简体" w:cs="Times New Roman"/>
          <w:color w:val="auto"/>
          <w:sz w:val="44"/>
          <w:szCs w:val="44"/>
          <w:highlight w:val="none"/>
        </w:rPr>
      </w:pPr>
      <w:r>
        <w:rPr>
          <w:rFonts w:hint="default" w:ascii="Times New Roman" w:hAnsi="Times New Roman" w:eastAsia="方正小标宋简体" w:cs="Times New Roman"/>
          <w:color w:val="auto"/>
          <w:sz w:val="44"/>
          <w:szCs w:val="44"/>
          <w:highlight w:val="none"/>
          <w:lang w:eastAsia="zh-CN"/>
        </w:rPr>
        <w:t>广州市</w:t>
      </w:r>
      <w:r>
        <w:rPr>
          <w:rFonts w:hint="default" w:ascii="Times New Roman" w:hAnsi="Times New Roman" w:eastAsia="方正小标宋简体" w:cs="Times New Roman"/>
          <w:color w:val="auto"/>
          <w:sz w:val="44"/>
          <w:szCs w:val="44"/>
          <w:highlight w:val="none"/>
          <w:lang w:val="en-US" w:eastAsia="zh-CN"/>
        </w:rPr>
        <w:t>白江湖</w:t>
      </w:r>
      <w:r>
        <w:rPr>
          <w:rFonts w:hint="default" w:ascii="Times New Roman" w:hAnsi="Times New Roman" w:eastAsia="方正小标宋简体" w:cs="Times New Roman"/>
          <w:color w:val="auto"/>
          <w:sz w:val="44"/>
          <w:szCs w:val="44"/>
          <w:highlight w:val="none"/>
          <w:lang w:eastAsia="zh-CN"/>
        </w:rPr>
        <w:t>森林公园</w:t>
      </w:r>
      <w:r>
        <w:rPr>
          <w:rFonts w:hint="default" w:ascii="Times New Roman" w:hAnsi="Times New Roman" w:eastAsia="方正小标宋简体" w:cs="Times New Roman"/>
          <w:color w:val="auto"/>
          <w:sz w:val="44"/>
          <w:szCs w:val="44"/>
          <w:highlight w:val="none"/>
          <w:lang w:val="en-US" w:eastAsia="zh-CN"/>
        </w:rPr>
        <w:t>园内</w:t>
      </w:r>
      <w:r>
        <w:rPr>
          <w:rFonts w:hint="default" w:ascii="Times New Roman" w:hAnsi="Times New Roman" w:eastAsia="方正小标宋简体" w:cs="Times New Roman"/>
          <w:color w:val="auto"/>
          <w:sz w:val="44"/>
          <w:szCs w:val="44"/>
          <w:highlight w:val="none"/>
        </w:rPr>
        <w:t>观光车票价</w:t>
      </w:r>
    </w:p>
    <w:p w14:paraId="1B00A335">
      <w:pPr>
        <w:keepNext w:val="0"/>
        <w:keepLines w:val="0"/>
        <w:pageBreakBefore w:val="0"/>
        <w:widowControl w:val="0"/>
        <w:kinsoku/>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方正小标宋简体" w:cs="Times New Roman"/>
          <w:color w:val="auto"/>
          <w:sz w:val="44"/>
          <w:szCs w:val="44"/>
          <w:highlight w:val="none"/>
          <w:lang w:eastAsia="zh-CN"/>
        </w:rPr>
      </w:pPr>
      <w:r>
        <w:rPr>
          <w:rFonts w:hint="default" w:ascii="Times New Roman" w:hAnsi="Times New Roman" w:eastAsia="方正小标宋简体" w:cs="Times New Roman"/>
          <w:color w:val="auto"/>
          <w:sz w:val="44"/>
          <w:szCs w:val="44"/>
          <w:highlight w:val="none"/>
        </w:rPr>
        <w:t>定价方案</w:t>
      </w:r>
    </w:p>
    <w:p w14:paraId="32DDE794">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default" w:ascii="Times New Roman" w:hAnsi="Times New Roman" w:eastAsia="仿宋_GB2312" w:cs="Times New Roman"/>
          <w:snapToGrid/>
          <w:color w:val="000000"/>
          <w:kern w:val="2"/>
          <w:sz w:val="32"/>
          <w:szCs w:val="32"/>
          <w:highlight w:val="none"/>
          <w:lang w:eastAsia="zh-CN"/>
        </w:rPr>
      </w:pPr>
      <w:r>
        <w:rPr>
          <w:rFonts w:hint="default" w:ascii="Times New Roman" w:hAnsi="Times New Roman" w:eastAsia="仿宋_GB2312" w:cs="Times New Roman"/>
          <w:snapToGrid/>
          <w:color w:val="000000"/>
          <w:kern w:val="2"/>
          <w:sz w:val="32"/>
          <w:szCs w:val="32"/>
          <w:highlight w:val="none"/>
          <w:lang w:eastAsia="zh-CN"/>
        </w:rPr>
        <w:t>（征求意见稿）</w:t>
      </w:r>
    </w:p>
    <w:p w14:paraId="31AD0E26">
      <w:pPr>
        <w:keepNext w:val="0"/>
        <w:keepLines w:val="0"/>
        <w:pageBreakBefore w:val="0"/>
        <w:widowControl w:val="0"/>
        <w:kinsoku/>
        <w:wordWrap/>
        <w:overflowPunct/>
        <w:topLinePunct w:val="0"/>
        <w:autoSpaceDE w:val="0"/>
        <w:autoSpaceDN w:val="0"/>
        <w:bidi w:val="0"/>
        <w:adjustRightInd w:val="0"/>
        <w:snapToGrid w:val="0"/>
        <w:spacing w:line="560" w:lineRule="exact"/>
        <w:jc w:val="both"/>
        <w:textAlignment w:val="baseline"/>
        <w:rPr>
          <w:rFonts w:hint="default" w:ascii="Times New Roman" w:hAnsi="Times New Roman" w:eastAsia="仿宋_GB2312" w:cs="Times New Roman"/>
          <w:color w:val="auto"/>
          <w:sz w:val="32"/>
          <w:szCs w:val="32"/>
          <w:highlight w:val="none"/>
        </w:rPr>
      </w:pPr>
    </w:p>
    <w:p w14:paraId="6622ED4D">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为</w:t>
      </w:r>
      <w:r>
        <w:rPr>
          <w:rFonts w:hint="default" w:ascii="Times New Roman" w:hAnsi="Times New Roman" w:eastAsia="仿宋_GB2312" w:cs="Times New Roman"/>
          <w:color w:val="auto"/>
          <w:sz w:val="32"/>
          <w:szCs w:val="32"/>
          <w:highlight w:val="none"/>
        </w:rPr>
        <w:t>进一步加强资源保护</w:t>
      </w:r>
      <w:r>
        <w:rPr>
          <w:rFonts w:hint="default" w:ascii="Times New Roman" w:hAnsi="Times New Roman" w:eastAsia="仿宋_GB2312" w:cs="Times New Roman"/>
          <w:color w:val="auto"/>
          <w:sz w:val="32"/>
          <w:szCs w:val="32"/>
          <w:highlight w:val="none"/>
          <w:lang w:eastAsia="zh-CN"/>
        </w:rPr>
        <w:t>、优化</w:t>
      </w:r>
      <w:r>
        <w:rPr>
          <w:rFonts w:hint="default" w:ascii="Times New Roman" w:hAnsi="Times New Roman" w:eastAsia="仿宋_GB2312" w:cs="Times New Roman"/>
          <w:color w:val="auto"/>
          <w:sz w:val="32"/>
          <w:szCs w:val="32"/>
          <w:highlight w:val="none"/>
          <w:lang w:val="en-US" w:eastAsia="zh-CN"/>
        </w:rPr>
        <w:t>公园管理效率</w:t>
      </w:r>
      <w:r>
        <w:rPr>
          <w:rFonts w:hint="default" w:ascii="Times New Roman" w:hAnsi="Times New Roman" w:eastAsia="仿宋_GB2312" w:cs="Times New Roman"/>
          <w:color w:val="auto"/>
          <w:sz w:val="32"/>
          <w:szCs w:val="32"/>
          <w:highlight w:val="none"/>
          <w:lang w:eastAsia="zh-CN"/>
        </w:rPr>
        <w:t>，深入</w:t>
      </w:r>
      <w:r>
        <w:rPr>
          <w:rFonts w:hint="default" w:ascii="Times New Roman" w:hAnsi="Times New Roman" w:eastAsia="仿宋_GB2312" w:cs="Times New Roman"/>
          <w:color w:val="auto"/>
          <w:sz w:val="32"/>
          <w:szCs w:val="32"/>
          <w:highlight w:val="none"/>
        </w:rPr>
        <w:t>挖掘</w:t>
      </w:r>
      <w:r>
        <w:rPr>
          <w:rFonts w:hint="default" w:ascii="Times New Roman" w:hAnsi="Times New Roman" w:eastAsia="仿宋_GB2312" w:cs="Times New Roman"/>
          <w:color w:val="auto"/>
          <w:sz w:val="32"/>
          <w:szCs w:val="32"/>
          <w:highlight w:val="none"/>
          <w:lang w:eastAsia="zh-CN"/>
        </w:rPr>
        <w:t>和</w:t>
      </w:r>
      <w:r>
        <w:rPr>
          <w:rFonts w:hint="default" w:ascii="Times New Roman" w:hAnsi="Times New Roman" w:eastAsia="仿宋_GB2312" w:cs="Times New Roman"/>
          <w:color w:val="auto"/>
          <w:sz w:val="32"/>
          <w:szCs w:val="32"/>
          <w:highlight w:val="none"/>
        </w:rPr>
        <w:t>提升森林公园的生态</w:t>
      </w:r>
      <w:r>
        <w:rPr>
          <w:rFonts w:hint="default" w:ascii="Times New Roman" w:hAnsi="Times New Roman" w:eastAsia="仿宋_GB2312" w:cs="Times New Roman"/>
          <w:color w:val="auto"/>
          <w:sz w:val="32"/>
          <w:szCs w:val="32"/>
          <w:highlight w:val="none"/>
          <w:lang w:eastAsia="zh-CN"/>
        </w:rPr>
        <w:t>价值</w:t>
      </w:r>
      <w:r>
        <w:rPr>
          <w:rFonts w:hint="default" w:ascii="Times New Roman" w:hAnsi="Times New Roman" w:eastAsia="仿宋_GB2312" w:cs="Times New Roman"/>
          <w:color w:val="auto"/>
          <w:sz w:val="32"/>
          <w:szCs w:val="32"/>
          <w:highlight w:val="none"/>
        </w:rPr>
        <w:t>、文化</w:t>
      </w:r>
      <w:r>
        <w:rPr>
          <w:rFonts w:hint="default" w:ascii="Times New Roman" w:hAnsi="Times New Roman" w:eastAsia="仿宋_GB2312" w:cs="Times New Roman"/>
          <w:color w:val="auto"/>
          <w:sz w:val="32"/>
          <w:szCs w:val="32"/>
          <w:highlight w:val="none"/>
          <w:lang w:eastAsia="zh-CN"/>
        </w:rPr>
        <w:t>内涵和旅游功能，</w:t>
      </w:r>
      <w:r>
        <w:rPr>
          <w:rFonts w:hint="default" w:ascii="Times New Roman" w:hAnsi="Times New Roman" w:eastAsia="仿宋_GB2312" w:cs="Times New Roman"/>
          <w:sz w:val="32"/>
          <w:szCs w:val="32"/>
          <w:highlight w:val="none"/>
          <w:lang w:val="en-US" w:eastAsia="zh-CN"/>
        </w:rPr>
        <w:t>广州市白江湖森林公园（以下简称“白江湖公园”）</w:t>
      </w:r>
      <w:r>
        <w:rPr>
          <w:rFonts w:hint="default" w:ascii="Times New Roman" w:hAnsi="Times New Roman" w:eastAsia="仿宋_GB2312" w:cs="Times New Roman"/>
          <w:color w:val="auto"/>
          <w:sz w:val="32"/>
          <w:szCs w:val="32"/>
          <w:highlight w:val="none"/>
          <w:lang w:eastAsia="zh-CN"/>
        </w:rPr>
        <w:t>以增设园内观光车为契机完善旅游服务配套、提升景区运营服务水平，为游客提供多元化的游览出行选择。</w:t>
      </w:r>
      <w:r>
        <w:rPr>
          <w:rFonts w:hint="default" w:ascii="Times New Roman" w:hAnsi="Times New Roman" w:eastAsia="仿宋_GB2312" w:cs="Times New Roman"/>
          <w:color w:val="auto"/>
          <w:sz w:val="32"/>
          <w:szCs w:val="32"/>
          <w:highlight w:val="none"/>
          <w:lang w:val="en-US" w:eastAsia="zh-CN"/>
        </w:rPr>
        <w:t>根据</w:t>
      </w:r>
      <w:r>
        <w:rPr>
          <w:rFonts w:hint="default" w:ascii="Times New Roman" w:hAnsi="Times New Roman" w:eastAsia="仿宋_GB2312" w:cs="Times New Roman"/>
          <w:color w:val="auto"/>
          <w:sz w:val="32"/>
          <w:szCs w:val="32"/>
          <w:highlight w:val="none"/>
          <w:lang w:eastAsia="zh-CN"/>
        </w:rPr>
        <w:t>《广东省发展改革委关于印发广东省景区门票及景区内交通运输服</w:t>
      </w:r>
      <w:r>
        <w:rPr>
          <w:rFonts w:hint="default" w:ascii="Times New Roman" w:hAnsi="Times New Roman" w:eastAsia="仿宋_GB2312" w:cs="Times New Roman"/>
          <w:color w:val="auto"/>
          <w:sz w:val="32"/>
          <w:szCs w:val="32"/>
          <w:highlight w:val="none"/>
        </w:rPr>
        <w:t>务价格管理办法的通知》（粤发改规〔2024〕6号）</w:t>
      </w:r>
      <w:r>
        <w:rPr>
          <w:rFonts w:hint="default" w:ascii="Times New Roman" w:hAnsi="Times New Roman" w:eastAsia="仿宋_GB2312" w:cs="Times New Roman"/>
          <w:color w:val="auto"/>
          <w:sz w:val="32"/>
          <w:szCs w:val="32"/>
          <w:highlight w:val="none"/>
          <w:lang w:eastAsia="zh-CN"/>
        </w:rPr>
        <w:t>等文件精神</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lang w:val="en-US" w:eastAsia="zh-CN"/>
        </w:rPr>
        <w:t>研究提出了</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eastAsia="zh-CN"/>
        </w:rPr>
        <w:t>广州市</w:t>
      </w:r>
      <w:r>
        <w:rPr>
          <w:rFonts w:hint="default" w:ascii="Times New Roman" w:hAnsi="Times New Roman" w:eastAsia="仿宋_GB2312" w:cs="Times New Roman"/>
          <w:color w:val="auto"/>
          <w:sz w:val="32"/>
          <w:szCs w:val="32"/>
          <w:highlight w:val="none"/>
          <w:lang w:val="en-US" w:eastAsia="zh-CN"/>
        </w:rPr>
        <w:t>白江湖</w:t>
      </w:r>
      <w:r>
        <w:rPr>
          <w:rFonts w:hint="default" w:ascii="Times New Roman" w:hAnsi="Times New Roman" w:eastAsia="仿宋_GB2312" w:cs="Times New Roman"/>
          <w:color w:val="auto"/>
          <w:sz w:val="32"/>
          <w:szCs w:val="32"/>
          <w:highlight w:val="none"/>
          <w:lang w:eastAsia="zh-CN"/>
        </w:rPr>
        <w:t>森林公园</w:t>
      </w:r>
      <w:r>
        <w:rPr>
          <w:rFonts w:hint="default" w:ascii="Times New Roman" w:hAnsi="Times New Roman" w:eastAsia="仿宋_GB2312" w:cs="Times New Roman"/>
          <w:color w:val="auto"/>
          <w:sz w:val="32"/>
          <w:szCs w:val="32"/>
          <w:highlight w:val="none"/>
          <w:lang w:val="en-US" w:eastAsia="zh-CN"/>
        </w:rPr>
        <w:t>园内</w:t>
      </w:r>
      <w:r>
        <w:rPr>
          <w:rFonts w:hint="default" w:ascii="Times New Roman" w:hAnsi="Times New Roman" w:eastAsia="仿宋_GB2312" w:cs="Times New Roman"/>
          <w:color w:val="auto"/>
          <w:sz w:val="32"/>
          <w:szCs w:val="32"/>
          <w:highlight w:val="none"/>
        </w:rPr>
        <w:t>观光车票价定价方案》</w:t>
      </w:r>
      <w:r>
        <w:rPr>
          <w:rFonts w:hint="default" w:ascii="Times New Roman" w:hAnsi="Times New Roman" w:eastAsia="仿宋_GB2312" w:cs="Times New Roman"/>
          <w:i w:val="0"/>
          <w:caps w:val="0"/>
          <w:color w:val="auto"/>
          <w:spacing w:val="0"/>
          <w:sz w:val="32"/>
          <w:szCs w:val="32"/>
          <w:highlight w:val="none"/>
        </w:rPr>
        <w:t>。</w:t>
      </w:r>
    </w:p>
    <w:p w14:paraId="688629B0">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黑体" w:cs="Times New Roman"/>
          <w:color w:val="auto"/>
          <w:sz w:val="32"/>
          <w:szCs w:val="32"/>
          <w:highlight w:val="none"/>
          <w:lang w:eastAsia="zh-CN"/>
        </w:rPr>
      </w:pPr>
      <w:r>
        <w:rPr>
          <w:rFonts w:hint="default" w:ascii="Times New Roman" w:hAnsi="Times New Roman" w:eastAsia="黑体" w:cs="Times New Roman"/>
          <w:color w:val="auto"/>
          <w:sz w:val="32"/>
          <w:szCs w:val="32"/>
          <w:highlight w:val="none"/>
        </w:rPr>
        <w:t>一、</w:t>
      </w:r>
      <w:r>
        <w:rPr>
          <w:rFonts w:hint="default" w:ascii="Times New Roman" w:hAnsi="Times New Roman" w:eastAsia="黑体" w:cs="Times New Roman"/>
          <w:color w:val="auto"/>
          <w:sz w:val="32"/>
          <w:szCs w:val="32"/>
          <w:highlight w:val="none"/>
          <w:lang w:eastAsia="zh-CN"/>
        </w:rPr>
        <w:t>基本情况</w:t>
      </w:r>
    </w:p>
    <w:p w14:paraId="0DB40C49">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auto"/>
          <w:sz w:val="32"/>
          <w:szCs w:val="32"/>
          <w:highlight w:val="none"/>
          <w:lang w:val="en-US" w:eastAsia="en-US"/>
        </w:rPr>
      </w:pPr>
      <w:r>
        <w:rPr>
          <w:rFonts w:hint="default" w:ascii="Times New Roman" w:hAnsi="Times New Roman" w:eastAsia="仿宋_GB2312" w:cs="Times New Roman"/>
          <w:color w:val="auto"/>
          <w:sz w:val="32"/>
          <w:szCs w:val="32"/>
          <w:highlight w:val="none"/>
          <w:lang w:val="en-US" w:eastAsia="en-US"/>
        </w:rPr>
        <w:t>白江湖公园</w:t>
      </w:r>
      <w:r>
        <w:rPr>
          <w:rFonts w:hint="default" w:ascii="Times New Roman" w:hAnsi="Times New Roman" w:eastAsia="仿宋_GB2312" w:cs="Times New Roman"/>
          <w:color w:val="auto"/>
          <w:sz w:val="32"/>
          <w:szCs w:val="32"/>
          <w:highlight w:val="none"/>
          <w:lang w:val="en-US" w:eastAsia="zh-CN"/>
        </w:rPr>
        <w:t>是</w:t>
      </w:r>
      <w:r>
        <w:rPr>
          <w:rFonts w:hint="default" w:ascii="Times New Roman" w:hAnsi="Times New Roman" w:eastAsia="仿宋_GB2312" w:cs="Times New Roman"/>
          <w:color w:val="auto"/>
          <w:sz w:val="32"/>
          <w:szCs w:val="32"/>
          <w:highlight w:val="none"/>
          <w:lang w:val="en-US" w:eastAsia="en-US"/>
        </w:rPr>
        <w:t>国家3A级旅游景区，地处广州市东部门户位置，</w:t>
      </w:r>
      <w:r>
        <w:rPr>
          <w:rFonts w:hint="default" w:ascii="Times New Roman" w:hAnsi="Times New Roman" w:eastAsia="仿宋_GB2312" w:cs="Times New Roman"/>
          <w:color w:val="auto"/>
          <w:sz w:val="32"/>
          <w:szCs w:val="32"/>
          <w:highlight w:val="none"/>
          <w:lang w:val="en-US" w:eastAsia="zh-CN"/>
        </w:rPr>
        <w:t>坐落于</w:t>
      </w:r>
      <w:r>
        <w:rPr>
          <w:rFonts w:hint="default" w:ascii="Times New Roman" w:hAnsi="Times New Roman" w:eastAsia="仿宋_GB2312" w:cs="Times New Roman"/>
          <w:color w:val="auto"/>
          <w:sz w:val="32"/>
          <w:szCs w:val="32"/>
          <w:highlight w:val="none"/>
          <w:lang w:val="en-US" w:eastAsia="en-US"/>
        </w:rPr>
        <w:t>千年古镇——增城区正果镇，距增城城区25km，距广州市区75km。公园总面积2.47万亩，森林覆盖率约96%，负氧离子浓度高达10000个/立方厘米以上，空气质量为A级，山顶白江湖湖面2万平方米，最高峰神山海拔684米。公园地属南亚热带季风气候，终年气候温和、雨量充沛，园内林海浩瀚、万木葱茏、鸟语花香，生态植被丰富，拥有大量珍稀动植物资源，是一颗镶嵌在南岭山系九连山脉的绿色明珠。</w:t>
      </w:r>
    </w:p>
    <w:p w14:paraId="4ADB9938">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公园依托长约4公里的主溪流进行整体旅游开发建设，</w:t>
      </w:r>
      <w:r>
        <w:rPr>
          <w:rFonts w:hint="eastAsia" w:ascii="Times New Roman" w:hAnsi="Times New Roman" w:eastAsia="仿宋_GB2312" w:cs="Times New Roman"/>
          <w:color w:val="auto"/>
          <w:sz w:val="32"/>
          <w:szCs w:val="32"/>
          <w:highlight w:val="none"/>
          <w:lang w:val="en-US" w:eastAsia="zh-CN"/>
        </w:rPr>
        <w:t>以</w:t>
      </w:r>
      <w:r>
        <w:rPr>
          <w:rFonts w:hint="default" w:ascii="Times New Roman" w:hAnsi="Times New Roman" w:eastAsia="仿宋_GB2312" w:cs="Times New Roman"/>
          <w:color w:val="auto"/>
          <w:sz w:val="32"/>
          <w:szCs w:val="32"/>
          <w:highlight w:val="none"/>
          <w:lang w:val="en-US" w:eastAsia="zh-CN"/>
        </w:rPr>
        <w:t>4.0公里溯溪步道、3.5公里山顶绿道和14公里观光车道三条精品路线，串联起神山幽谷、试剑石、百丈飞瀑、天然浴缸、白江湖、丛花谷、打鼓潭、转运水车、呐喊喷泉、玉龙嗥等特色景点，打造成集观光旅游、运动健身、科普教育、森林康养等于一体的多功能绿美生态空间，近年年均接待游客量约30万人次。</w:t>
      </w:r>
    </w:p>
    <w:p w14:paraId="34458DB3">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lang w:val="en-US" w:eastAsia="zh-CN"/>
        </w:rPr>
        <w:t>二</w:t>
      </w:r>
      <w:r>
        <w:rPr>
          <w:rFonts w:hint="default" w:ascii="Times New Roman" w:hAnsi="Times New Roman" w:eastAsia="黑体" w:cs="Times New Roman"/>
          <w:color w:val="auto"/>
          <w:sz w:val="32"/>
          <w:szCs w:val="32"/>
          <w:highlight w:val="none"/>
        </w:rPr>
        <w:t>、政策依据与基本原则</w:t>
      </w:r>
    </w:p>
    <w:p w14:paraId="0B778DC6">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楷体_GB2312" w:cs="Times New Roman"/>
          <w:color w:val="auto"/>
          <w:sz w:val="32"/>
          <w:szCs w:val="32"/>
          <w:highlight w:val="none"/>
        </w:rPr>
      </w:pPr>
      <w:r>
        <w:rPr>
          <w:rFonts w:hint="default" w:ascii="Times New Roman" w:hAnsi="Times New Roman" w:eastAsia="楷体_GB2312" w:cs="Times New Roman"/>
          <w:color w:val="auto"/>
          <w:sz w:val="32"/>
          <w:szCs w:val="32"/>
          <w:highlight w:val="none"/>
        </w:rPr>
        <w:t>（一）制定观光车</w:t>
      </w:r>
      <w:r>
        <w:rPr>
          <w:rFonts w:hint="default" w:ascii="Times New Roman" w:hAnsi="Times New Roman" w:eastAsia="楷体_GB2312" w:cs="Times New Roman"/>
          <w:color w:val="auto"/>
          <w:sz w:val="32"/>
          <w:szCs w:val="32"/>
          <w:highlight w:val="none"/>
          <w:lang w:eastAsia="zh-CN"/>
        </w:rPr>
        <w:t>票价</w:t>
      </w:r>
      <w:r>
        <w:rPr>
          <w:rFonts w:hint="default" w:ascii="Times New Roman" w:hAnsi="Times New Roman" w:eastAsia="楷体_GB2312" w:cs="Times New Roman"/>
          <w:color w:val="auto"/>
          <w:sz w:val="32"/>
          <w:szCs w:val="32"/>
          <w:highlight w:val="none"/>
        </w:rPr>
        <w:t>政策依据</w:t>
      </w:r>
    </w:p>
    <w:p w14:paraId="667F10D5">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1.《中华人民共和国价格法》；</w:t>
      </w:r>
    </w:p>
    <w:p w14:paraId="17518046">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2.《政府制定价格听证办法》；</w:t>
      </w:r>
    </w:p>
    <w:p w14:paraId="4BF43446">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val="en-US" w:eastAsia="zh-CN"/>
        </w:rPr>
        <w:t>3</w:t>
      </w:r>
      <w:r>
        <w:rPr>
          <w:rFonts w:hint="default" w:ascii="Times New Roman" w:hAnsi="Times New Roman" w:eastAsia="仿宋_GB2312" w:cs="Times New Roman"/>
          <w:color w:val="auto"/>
          <w:sz w:val="32"/>
          <w:szCs w:val="32"/>
          <w:highlight w:val="none"/>
        </w:rPr>
        <w:t>.《广东省发展改革委转发国家发展改革委关于完善国有景区门票价格形成机制降低重点国有景区门票价格指导意见的通知》（粤发改价格函〔2018〕3556号）；</w:t>
      </w:r>
    </w:p>
    <w:p w14:paraId="3167E8E1">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rPr>
        <w:t>.《国家发展改革委办公厅关于持续推进完善国有景区门票价格形成机制的通知》（发改办价格〔2020〕568号）</w:t>
      </w:r>
      <w:r>
        <w:rPr>
          <w:rFonts w:hint="default" w:ascii="Times New Roman" w:hAnsi="Times New Roman" w:eastAsia="仿宋_GB2312" w:cs="Times New Roman"/>
          <w:color w:val="auto"/>
          <w:sz w:val="32"/>
          <w:szCs w:val="32"/>
          <w:highlight w:val="none"/>
          <w:lang w:eastAsia="zh-CN"/>
        </w:rPr>
        <w:t>；</w:t>
      </w:r>
    </w:p>
    <w:p w14:paraId="25FBEF41">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auto"/>
          <w:sz w:val="32"/>
          <w:szCs w:val="32"/>
          <w:highlight w:val="none"/>
          <w:lang w:eastAsia="zh-CN"/>
        </w:rPr>
      </w:pPr>
      <w:r>
        <w:rPr>
          <w:rFonts w:hint="eastAsia" w:ascii="Times New Roman" w:hAnsi="Times New Roman" w:eastAsia="仿宋_GB2312" w:cs="Times New Roman"/>
          <w:color w:val="auto"/>
          <w:sz w:val="32"/>
          <w:szCs w:val="32"/>
          <w:highlight w:val="none"/>
          <w:lang w:val="en-US" w:eastAsia="zh-CN"/>
        </w:rPr>
        <w:t>5</w:t>
      </w:r>
      <w:r>
        <w:rPr>
          <w:rFonts w:hint="default" w:ascii="Times New Roman" w:hAnsi="Times New Roman" w:eastAsia="仿宋_GB2312" w:cs="Times New Roman"/>
          <w:color w:val="auto"/>
          <w:sz w:val="32"/>
          <w:szCs w:val="32"/>
          <w:highlight w:val="none"/>
        </w:rPr>
        <w:t>.《广东省发展改革委关于印发&lt;广东省价格听证目录（20</w:t>
      </w:r>
      <w:r>
        <w:rPr>
          <w:rFonts w:hint="default" w:ascii="Times New Roman" w:hAnsi="Times New Roman" w:eastAsia="仿宋_GB2312" w:cs="Times New Roman"/>
          <w:color w:val="auto"/>
          <w:sz w:val="32"/>
          <w:szCs w:val="32"/>
          <w:highlight w:val="none"/>
          <w:lang w:val="en-US" w:eastAsia="zh-CN"/>
        </w:rPr>
        <w:t>22</w:t>
      </w:r>
      <w:r>
        <w:rPr>
          <w:rFonts w:hint="default" w:ascii="Times New Roman" w:hAnsi="Times New Roman" w:eastAsia="仿宋_GB2312" w:cs="Times New Roman"/>
          <w:color w:val="auto"/>
          <w:sz w:val="32"/>
          <w:szCs w:val="32"/>
          <w:highlight w:val="none"/>
        </w:rPr>
        <w:t>年版）&gt;的通知》（粤发改规〔20</w:t>
      </w:r>
      <w:r>
        <w:rPr>
          <w:rFonts w:hint="default" w:ascii="Times New Roman" w:hAnsi="Times New Roman" w:eastAsia="仿宋_GB2312" w:cs="Times New Roman"/>
          <w:color w:val="auto"/>
          <w:sz w:val="32"/>
          <w:szCs w:val="32"/>
          <w:highlight w:val="none"/>
          <w:lang w:val="en-US" w:eastAsia="zh-CN"/>
        </w:rPr>
        <w:t>22</w:t>
      </w:r>
      <w:r>
        <w:rPr>
          <w:rFonts w:hint="default" w:ascii="Times New Roman" w:hAnsi="Times New Roman" w:eastAsia="仿宋_GB2312" w:cs="Times New Roman"/>
          <w:color w:val="auto"/>
          <w:sz w:val="32"/>
          <w:szCs w:val="32"/>
          <w:highlight w:val="none"/>
        </w:rPr>
        <w:t>〕13号）；</w:t>
      </w:r>
    </w:p>
    <w:p w14:paraId="3EB55BFE">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rPr>
        <w:t>《广东省发展改革委关于印发广东省景区门票及景区内交通运输服务价格管理办法的通知》（粤发改规〔2024〕6号）</w:t>
      </w:r>
      <w:r>
        <w:rPr>
          <w:rFonts w:hint="default" w:ascii="Times New Roman" w:hAnsi="Times New Roman" w:eastAsia="仿宋_GB2312" w:cs="Times New Roman"/>
          <w:color w:val="auto"/>
          <w:sz w:val="32"/>
          <w:szCs w:val="32"/>
          <w:highlight w:val="none"/>
          <w:lang w:eastAsia="zh-CN"/>
        </w:rPr>
        <w:t>。</w:t>
      </w:r>
    </w:p>
    <w:p w14:paraId="1B0D3ECF">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楷体_GB2312" w:cs="Times New Roman"/>
          <w:color w:val="auto"/>
          <w:sz w:val="32"/>
          <w:szCs w:val="32"/>
          <w:highlight w:val="none"/>
        </w:rPr>
      </w:pPr>
      <w:r>
        <w:rPr>
          <w:rFonts w:hint="default" w:ascii="Times New Roman" w:hAnsi="Times New Roman" w:eastAsia="楷体_GB2312" w:cs="Times New Roman"/>
          <w:color w:val="auto"/>
          <w:sz w:val="32"/>
          <w:szCs w:val="32"/>
          <w:highlight w:val="none"/>
        </w:rPr>
        <w:t>（二）定价基本原则</w:t>
      </w:r>
    </w:p>
    <w:p w14:paraId="4EC50497">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1.坚持公益导向原则。坚定不移贯彻以人民为中心的发展思想，秉持旅游为民</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旅游惠民理念，充分体现公共资源建设的国有景区公益属性，促进大众旅游消费，增强人民群众获得感、幸福感。</w:t>
      </w:r>
    </w:p>
    <w:p w14:paraId="6CD408F8">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2.坚持科学定价原则。以规范成本构成为核心，建立主要补偿景区服务和生态环境保护合理成本并适当反映景区价值的价格形成机制。</w:t>
      </w:r>
    </w:p>
    <w:p w14:paraId="223CB3B8">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3.坚持统筹兼顾原则。充分考虑各层次游客的承受能力，并有利于旅游事业的健康发展。</w:t>
      </w:r>
    </w:p>
    <w:p w14:paraId="323BC632">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黑体" w:cs="Times New Roman"/>
          <w:color w:val="auto"/>
          <w:sz w:val="32"/>
          <w:szCs w:val="32"/>
          <w:highlight w:val="none"/>
          <w:lang w:eastAsia="zh-CN"/>
        </w:rPr>
      </w:pPr>
      <w:r>
        <w:rPr>
          <w:rFonts w:hint="default" w:ascii="Times New Roman" w:hAnsi="Times New Roman" w:eastAsia="黑体" w:cs="Times New Roman"/>
          <w:color w:val="auto"/>
          <w:sz w:val="32"/>
          <w:szCs w:val="32"/>
          <w:highlight w:val="none"/>
          <w:lang w:val="en-US" w:eastAsia="zh-CN"/>
        </w:rPr>
        <w:t>三</w:t>
      </w:r>
      <w:r>
        <w:rPr>
          <w:rFonts w:hint="default" w:ascii="Times New Roman" w:hAnsi="Times New Roman" w:eastAsia="黑体" w:cs="Times New Roman"/>
          <w:color w:val="auto"/>
          <w:sz w:val="32"/>
          <w:szCs w:val="32"/>
          <w:highlight w:val="none"/>
          <w:lang w:eastAsia="zh-CN"/>
        </w:rPr>
        <w:t>、</w:t>
      </w:r>
      <w:r>
        <w:rPr>
          <w:rFonts w:hint="default" w:ascii="Times New Roman" w:hAnsi="Times New Roman" w:eastAsia="黑体" w:cs="Times New Roman"/>
          <w:color w:val="auto"/>
          <w:sz w:val="32"/>
          <w:szCs w:val="32"/>
          <w:highlight w:val="none"/>
        </w:rPr>
        <w:t>开设观光车的必要性</w:t>
      </w:r>
    </w:p>
    <w:p w14:paraId="07B567D1">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楷体_GB2312" w:cs="Times New Roman"/>
          <w:color w:val="auto"/>
          <w:sz w:val="32"/>
          <w:szCs w:val="32"/>
          <w:highlight w:val="none"/>
          <w:lang w:val="en-US" w:eastAsia="zh-CN"/>
        </w:rPr>
      </w:pPr>
      <w:r>
        <w:rPr>
          <w:rFonts w:hint="default" w:ascii="Times New Roman" w:hAnsi="Times New Roman" w:eastAsia="楷体_GB2312" w:cs="Times New Roman"/>
          <w:color w:val="auto"/>
          <w:sz w:val="32"/>
          <w:szCs w:val="32"/>
          <w:highlight w:val="none"/>
        </w:rPr>
        <w:t>（一）升级游览体验，适配多元需求</w:t>
      </w:r>
    </w:p>
    <w:p w14:paraId="019D3090">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白江湖森林公园总面积达 2.47 万亩，园区内步道跨度大、入口至核心景区存在一定海拔落差，步行单程耗时 1.5-2 小时，对老年、儿童、体弱者等特殊群体，以及携行装备、时间有限的游客形成游览制约。增设观光车可大幅缩短景区通达时间，规避游客迷路、错线等问题，提升游览效率，同时丰富景区游览业态，为不同层次、不同需求的游客提供多样化选择，从根本上提升游览舒适度与体验感，夯实景区高质量发展的服务基础。</w:t>
      </w:r>
    </w:p>
    <w:p w14:paraId="4AD5B495">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楷体_GB2312" w:cs="Times New Roman"/>
          <w:color w:val="auto"/>
          <w:sz w:val="32"/>
          <w:szCs w:val="32"/>
          <w:highlight w:val="none"/>
          <w:lang w:val="en-US" w:eastAsia="zh-CN"/>
        </w:rPr>
      </w:pPr>
      <w:r>
        <w:rPr>
          <w:rFonts w:hint="default" w:ascii="Times New Roman" w:hAnsi="Times New Roman" w:eastAsia="楷体_GB2312" w:cs="Times New Roman"/>
          <w:snapToGrid w:val="0"/>
          <w:color w:val="auto"/>
          <w:kern w:val="0"/>
          <w:sz w:val="32"/>
          <w:szCs w:val="32"/>
          <w:lang w:val="en-US" w:eastAsia="zh-CN" w:bidi="ar-SA"/>
        </w:rPr>
        <w:t>（二）</w:t>
      </w:r>
      <w:r>
        <w:rPr>
          <w:rFonts w:hint="default" w:ascii="Times New Roman" w:hAnsi="Times New Roman" w:eastAsia="楷体_GB2312" w:cs="Times New Roman"/>
          <w:color w:val="auto"/>
          <w:sz w:val="32"/>
          <w:szCs w:val="32"/>
          <w:highlight w:val="none"/>
          <w:lang w:val="en-US" w:eastAsia="zh-CN"/>
        </w:rPr>
        <w:t>优化景区管理，筑牢安全防线</w:t>
      </w:r>
    </w:p>
    <w:p w14:paraId="7C2C6D0E">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园区内交通线路狭窄、坡度较大，社会车辆入园易引发交通隐患，且节假日游客高峰期易出现步道拥挤、人流无序等问题。观光车由专业驾驶员运营，熟悉园区道路路况与通行规则，相较游客自驾交通工具，通行安全性更高，能有效降低交通事故发生率。同时，观光车可科学引导游客有序流动，疏解热门步道客流压力，从运营管理层面消除安全隐患，提升景区整体安全管控能力。</w:t>
      </w:r>
    </w:p>
    <w:p w14:paraId="35570E8B">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楷体_GB2312" w:cs="Times New Roman"/>
          <w:color w:val="auto"/>
          <w:sz w:val="32"/>
          <w:szCs w:val="32"/>
          <w:highlight w:val="none"/>
          <w:lang w:val="en-US" w:eastAsia="zh-CN"/>
        </w:rPr>
      </w:pPr>
      <w:r>
        <w:rPr>
          <w:rFonts w:hint="default" w:ascii="Times New Roman" w:hAnsi="Times New Roman" w:eastAsia="楷体_GB2312" w:cs="Times New Roman"/>
          <w:color w:val="auto"/>
          <w:sz w:val="32"/>
          <w:szCs w:val="32"/>
          <w:highlight w:val="none"/>
        </w:rPr>
        <w:t>（</w:t>
      </w:r>
      <w:r>
        <w:rPr>
          <w:rFonts w:hint="default" w:ascii="Times New Roman" w:hAnsi="Times New Roman" w:eastAsia="楷体_GB2312" w:cs="Times New Roman"/>
          <w:color w:val="auto"/>
          <w:sz w:val="32"/>
          <w:szCs w:val="32"/>
          <w:highlight w:val="none"/>
          <w:lang w:eastAsia="zh-CN"/>
        </w:rPr>
        <w:t>三</w:t>
      </w:r>
      <w:r>
        <w:rPr>
          <w:rFonts w:hint="default" w:ascii="Times New Roman" w:hAnsi="Times New Roman" w:eastAsia="楷体_GB2312" w:cs="Times New Roman"/>
          <w:color w:val="auto"/>
          <w:sz w:val="32"/>
          <w:szCs w:val="32"/>
          <w:highlight w:val="none"/>
        </w:rPr>
        <w:t>）践行绿色发展，促进生态保护</w:t>
      </w:r>
    </w:p>
    <w:p w14:paraId="50B7E3D8">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val="en-US" w:eastAsia="zh-CN"/>
        </w:rPr>
        <w:t>大量的燃油车和社会车辆进入园区会产生尾气、噪音污染，破坏园区生态环境与自然静谧的游览氛围，与森林公园生态保护的核心定位相悖。观光车采用电力、天然气等环保能源，可从源头上减少尾气排放与噪音污染，契合生态保护理念。通过引入观光车逐步管控社会车辆入园，既能提升市民游览趣味性与舒适性，也能实现生态保护与旅游开发的良性互动，推动景区生态效益、社会效益与经济效益协同发展。</w:t>
      </w:r>
    </w:p>
    <w:p w14:paraId="65544A56">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黑体" w:cs="Times New Roman"/>
          <w:color w:val="auto"/>
          <w:sz w:val="32"/>
          <w:szCs w:val="32"/>
          <w:highlight w:val="none"/>
          <w:lang w:eastAsia="zh-CN"/>
        </w:rPr>
      </w:pPr>
      <w:r>
        <w:rPr>
          <w:rFonts w:hint="default" w:ascii="Times New Roman" w:hAnsi="Times New Roman" w:eastAsia="黑体" w:cs="Times New Roman"/>
          <w:color w:val="auto"/>
          <w:sz w:val="32"/>
          <w:szCs w:val="32"/>
          <w:highlight w:val="none"/>
          <w:lang w:eastAsia="zh-CN"/>
        </w:rPr>
        <w:t>四、成本监审概况</w:t>
      </w:r>
    </w:p>
    <w:p w14:paraId="466A8770">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区发改局于2025年5月至2026</w:t>
      </w:r>
      <w:r>
        <w:rPr>
          <w:rFonts w:hint="eastAsia" w:ascii="Times New Roman" w:hAnsi="Times New Roman" w:eastAsia="仿宋_GB2312" w:cs="Times New Roman"/>
          <w:color w:val="auto"/>
          <w:sz w:val="32"/>
          <w:szCs w:val="32"/>
          <w:highlight w:val="none"/>
          <w:lang w:eastAsia="zh-CN"/>
        </w:rPr>
        <w:t>年</w:t>
      </w:r>
      <w:r>
        <w:rPr>
          <w:rFonts w:hint="default" w:ascii="Times New Roman" w:hAnsi="Times New Roman" w:eastAsia="仿宋_GB2312" w:cs="Times New Roman"/>
          <w:color w:val="auto"/>
          <w:sz w:val="32"/>
          <w:szCs w:val="32"/>
          <w:highlight w:val="none"/>
        </w:rPr>
        <w:t>2</w:t>
      </w:r>
      <w:r>
        <w:rPr>
          <w:rFonts w:hint="eastAsia" w:ascii="Times New Roman" w:hAnsi="Times New Roman" w:eastAsia="仿宋_GB2312" w:cs="Times New Roman"/>
          <w:color w:val="auto"/>
          <w:sz w:val="32"/>
          <w:szCs w:val="32"/>
          <w:highlight w:val="none"/>
          <w:lang w:eastAsia="zh-CN"/>
        </w:rPr>
        <w:t>月</w:t>
      </w:r>
      <w:r>
        <w:rPr>
          <w:rFonts w:hint="default" w:ascii="Times New Roman" w:hAnsi="Times New Roman" w:eastAsia="仿宋_GB2312" w:cs="Times New Roman"/>
          <w:color w:val="auto"/>
          <w:sz w:val="32"/>
          <w:szCs w:val="32"/>
          <w:highlight w:val="none"/>
        </w:rPr>
        <w:t>期间对该公园的观光车运营成本情况进行</w:t>
      </w:r>
      <w:r>
        <w:rPr>
          <w:rFonts w:hint="default" w:ascii="Times New Roman" w:hAnsi="Times New Roman" w:eastAsia="仿宋_GB2312" w:cs="Times New Roman"/>
          <w:color w:val="auto"/>
          <w:sz w:val="32"/>
          <w:szCs w:val="32"/>
          <w:highlight w:val="none"/>
          <w:lang w:eastAsia="zh-CN"/>
        </w:rPr>
        <w:t>成本</w:t>
      </w:r>
      <w:r>
        <w:rPr>
          <w:rFonts w:hint="default" w:ascii="Times New Roman" w:hAnsi="Times New Roman" w:eastAsia="仿宋_GB2312" w:cs="Times New Roman"/>
          <w:color w:val="auto"/>
          <w:sz w:val="32"/>
          <w:szCs w:val="32"/>
          <w:highlight w:val="none"/>
        </w:rPr>
        <w:t>监审，核定年运营总成本为</w:t>
      </w:r>
      <w:r>
        <w:rPr>
          <w:rFonts w:hint="default" w:ascii="Times New Roman" w:hAnsi="Times New Roman" w:eastAsia="仿宋_GB2312" w:cs="Times New Roman"/>
          <w:color w:val="auto"/>
          <w:sz w:val="32"/>
          <w:szCs w:val="32"/>
          <w:highlight w:val="none"/>
          <w:lang w:eastAsia="zh-CN"/>
        </w:rPr>
        <w:t>1,892,867.14</w:t>
      </w:r>
      <w:r>
        <w:rPr>
          <w:rFonts w:hint="default" w:ascii="Times New Roman" w:hAnsi="Times New Roman" w:eastAsia="仿宋_GB2312" w:cs="Times New Roman"/>
          <w:color w:val="auto"/>
          <w:sz w:val="32"/>
          <w:szCs w:val="32"/>
          <w:highlight w:val="none"/>
        </w:rPr>
        <w:t>元</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其中，人员薪酬</w:t>
      </w:r>
      <w:r>
        <w:rPr>
          <w:rFonts w:hint="default" w:ascii="Times New Roman" w:hAnsi="Times New Roman" w:eastAsia="仿宋_GB2312" w:cs="Times New Roman"/>
          <w:color w:val="auto"/>
          <w:sz w:val="32"/>
          <w:szCs w:val="32"/>
          <w:highlight w:val="none"/>
          <w:lang w:eastAsia="zh-CN"/>
        </w:rPr>
        <w:t>1,365,480.33</w:t>
      </w:r>
      <w:r>
        <w:rPr>
          <w:rFonts w:hint="default" w:ascii="Times New Roman" w:hAnsi="Times New Roman" w:eastAsia="仿宋_GB2312" w:cs="Times New Roman"/>
          <w:color w:val="auto"/>
          <w:sz w:val="32"/>
          <w:szCs w:val="32"/>
          <w:highlight w:val="none"/>
          <w:lang w:val="en-US" w:eastAsia="zh-CN"/>
        </w:rPr>
        <w:t>元、运营费用</w:t>
      </w:r>
      <w:r>
        <w:rPr>
          <w:rFonts w:hint="default" w:ascii="Times New Roman" w:hAnsi="Times New Roman" w:eastAsia="仿宋_GB2312" w:cs="Times New Roman"/>
          <w:color w:val="auto"/>
          <w:sz w:val="32"/>
          <w:szCs w:val="32"/>
          <w:highlight w:val="none"/>
          <w:lang w:eastAsia="zh-CN"/>
        </w:rPr>
        <w:t>344,173.32</w:t>
      </w:r>
      <w:r>
        <w:rPr>
          <w:rFonts w:hint="default" w:ascii="Times New Roman" w:hAnsi="Times New Roman" w:eastAsia="仿宋_GB2312" w:cs="Times New Roman"/>
          <w:color w:val="auto"/>
          <w:sz w:val="32"/>
          <w:szCs w:val="32"/>
          <w:highlight w:val="none"/>
          <w:lang w:val="en-US" w:eastAsia="zh-CN"/>
        </w:rPr>
        <w:t>元、</w:t>
      </w:r>
      <w:r>
        <w:rPr>
          <w:rFonts w:hint="default" w:ascii="Times New Roman" w:hAnsi="Times New Roman" w:eastAsia="仿宋_GB2312" w:cs="Times New Roman"/>
          <w:color w:val="auto"/>
          <w:sz w:val="32"/>
          <w:szCs w:val="32"/>
          <w:highlight w:val="none"/>
          <w:lang w:eastAsia="zh-CN"/>
        </w:rPr>
        <w:t>管理费用112,435.45元</w:t>
      </w:r>
      <w:r>
        <w:rPr>
          <w:rFonts w:hint="default" w:ascii="Times New Roman" w:hAnsi="Times New Roman" w:eastAsia="仿宋_GB2312" w:cs="Times New Roman"/>
          <w:color w:val="auto"/>
          <w:sz w:val="32"/>
          <w:szCs w:val="32"/>
          <w:highlight w:val="none"/>
          <w:lang w:val="en-US" w:eastAsia="zh-CN"/>
        </w:rPr>
        <w:t>、财务费用1200元、税金</w:t>
      </w:r>
      <w:r>
        <w:rPr>
          <w:rFonts w:hint="default" w:ascii="Times New Roman" w:hAnsi="Times New Roman" w:eastAsia="仿宋_GB2312" w:cs="Times New Roman"/>
          <w:color w:val="auto"/>
          <w:sz w:val="32"/>
          <w:szCs w:val="32"/>
          <w:highlight w:val="none"/>
          <w:lang w:eastAsia="zh-CN"/>
        </w:rPr>
        <w:t>69,578.04元）</w:t>
      </w:r>
      <w:r>
        <w:rPr>
          <w:rFonts w:hint="default" w:ascii="Times New Roman" w:hAnsi="Times New Roman" w:eastAsia="仿宋_GB2312" w:cs="Times New Roman"/>
          <w:color w:val="auto"/>
          <w:sz w:val="32"/>
          <w:szCs w:val="32"/>
          <w:highlight w:val="none"/>
          <w:lang w:val="en-US" w:eastAsia="zh-CN"/>
        </w:rPr>
        <w:t>；白江湖公园观光车全程10公里，按2025年实际乘坐观光车的人数为76289人次测算，核定人均每次全程乘坐观光车成本为24.81元/人次，每人每公里观光车单位成本为2.48元。</w:t>
      </w:r>
    </w:p>
    <w:p w14:paraId="3E5D9E5C">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黑体" w:cs="Times New Roman"/>
          <w:color w:val="auto"/>
          <w:sz w:val="32"/>
          <w:szCs w:val="32"/>
          <w:highlight w:val="yellow"/>
          <w:lang w:eastAsia="zh-CN"/>
        </w:rPr>
      </w:pPr>
      <w:r>
        <w:rPr>
          <w:rFonts w:hint="default" w:ascii="Times New Roman" w:hAnsi="Times New Roman" w:eastAsia="黑体" w:cs="Times New Roman"/>
          <w:color w:val="auto"/>
          <w:sz w:val="32"/>
          <w:szCs w:val="32"/>
          <w:highlight w:val="none"/>
          <w:lang w:val="en-US" w:eastAsia="zh-CN"/>
        </w:rPr>
        <w:t>五</w:t>
      </w:r>
      <w:r>
        <w:rPr>
          <w:rFonts w:hint="default" w:ascii="Times New Roman" w:hAnsi="Times New Roman" w:eastAsia="黑体" w:cs="Times New Roman"/>
          <w:color w:val="auto"/>
          <w:sz w:val="32"/>
          <w:szCs w:val="32"/>
          <w:highlight w:val="none"/>
        </w:rPr>
        <w:t>、定价方案</w:t>
      </w:r>
    </w:p>
    <w:p w14:paraId="5A10D349">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依据《广州市景区门票及景区内相关服务价格管理实施办法》（穗发改规字〔2025〕7号），秉持“公益优先、合理补偿、可持续运营”原则，结合成本监审结果，参考行业利润率标准制定两个比选方案，具体如下：</w:t>
      </w:r>
    </w:p>
    <w:p w14:paraId="5AE4363D">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ind w:firstLine="643" w:firstLineChars="200"/>
        <w:jc w:val="both"/>
        <w:textAlignment w:val="baseline"/>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b/>
          <w:bCs/>
          <w:color w:val="auto"/>
          <w:sz w:val="32"/>
          <w:szCs w:val="32"/>
          <w:highlight w:val="none"/>
          <w:lang w:val="en-US" w:eastAsia="zh-CN"/>
        </w:rPr>
        <w:t>方案一：</w:t>
      </w:r>
      <w:r>
        <w:rPr>
          <w:rFonts w:hint="default" w:ascii="Times New Roman" w:hAnsi="Times New Roman" w:eastAsia="仿宋_GB2312" w:cs="Times New Roman"/>
          <w:color w:val="auto"/>
          <w:sz w:val="32"/>
          <w:szCs w:val="32"/>
          <w:highlight w:val="none"/>
          <w:lang w:val="en-US" w:eastAsia="zh-CN"/>
        </w:rPr>
        <w:t>按照“保本微利、普惠于民”原则，参照5%行业利润率制定计价标准，每公里票价2.60元，全程10公里26元，分段票价上山13元、下山13元。</w:t>
      </w:r>
    </w:p>
    <w:p w14:paraId="71AA3FB5">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ind w:firstLine="643" w:firstLineChars="200"/>
        <w:jc w:val="both"/>
        <w:textAlignment w:val="baseline"/>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eastAsia="zh-CN"/>
        </w:rPr>
        <w:t>方案二</w:t>
      </w:r>
      <w:r>
        <w:rPr>
          <w:rFonts w:hint="default" w:ascii="Times New Roman" w:hAnsi="Times New Roman" w:eastAsia="仿宋_GB2312" w:cs="Times New Roman"/>
          <w:b/>
          <w:bCs/>
          <w:color w:val="auto"/>
          <w:sz w:val="32"/>
          <w:szCs w:val="32"/>
          <w:highlight w:val="none"/>
          <w:lang w:val="en-US" w:eastAsia="zh-CN"/>
        </w:rPr>
        <w:t>：</w:t>
      </w:r>
      <w:r>
        <w:rPr>
          <w:rFonts w:hint="default" w:ascii="Times New Roman" w:hAnsi="Times New Roman" w:eastAsia="仿宋_GB2312" w:cs="Times New Roman"/>
          <w:color w:val="auto"/>
          <w:sz w:val="32"/>
          <w:szCs w:val="32"/>
          <w:highlight w:val="none"/>
        </w:rPr>
        <w:t>按照“合理补偿、适度发展”原则，参照10%行业利润率制定计价标准，</w:t>
      </w:r>
      <w:r>
        <w:rPr>
          <w:rFonts w:hint="default" w:ascii="Times New Roman" w:hAnsi="Times New Roman" w:eastAsia="仿宋_GB2312" w:cs="Times New Roman"/>
          <w:color w:val="auto"/>
          <w:sz w:val="32"/>
          <w:szCs w:val="32"/>
          <w:highlight w:val="none"/>
          <w:lang w:val="en-US" w:eastAsia="zh-CN"/>
        </w:rPr>
        <w:t>每公里票价2.73元，全程10公里27.2元，分段票价上山13.6元、下山13.6元。</w:t>
      </w:r>
    </w:p>
    <w:p w14:paraId="4DAFB2C5">
      <w:pPr>
        <w:keepNext w:val="0"/>
        <w:keepLines w:val="0"/>
        <w:pageBreakBefore w:val="0"/>
        <w:widowControl w:val="0"/>
        <w:kinsoku/>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color w:val="auto"/>
          <w:sz w:val="28"/>
          <w:szCs w:val="28"/>
          <w:highlight w:val="none"/>
          <w:lang w:val="en-US" w:eastAsia="zh-CN"/>
        </w:rPr>
        <w:t xml:space="preserve">表1 </w:t>
      </w:r>
      <w:r>
        <w:rPr>
          <w:rFonts w:hint="eastAsia" w:ascii="Times New Roman" w:hAnsi="Times New Roman" w:eastAsia="仿宋_GB2312" w:cs="Times New Roman"/>
          <w:color w:val="auto"/>
          <w:sz w:val="28"/>
          <w:szCs w:val="28"/>
          <w:highlight w:val="none"/>
          <w:lang w:val="en-US" w:eastAsia="zh-CN"/>
        </w:rPr>
        <w:t xml:space="preserve"> </w:t>
      </w:r>
      <w:r>
        <w:rPr>
          <w:rFonts w:hint="default" w:ascii="Times New Roman" w:hAnsi="Times New Roman" w:eastAsia="仿宋_GB2312" w:cs="Times New Roman"/>
          <w:color w:val="auto"/>
          <w:sz w:val="28"/>
          <w:szCs w:val="28"/>
          <w:highlight w:val="none"/>
          <w:lang w:val="en-US" w:eastAsia="zh-CN"/>
        </w:rPr>
        <w:t>广州市白江湖森林公园观光车票价定价方案对比表</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76"/>
        <w:gridCol w:w="2150"/>
        <w:gridCol w:w="1068"/>
        <w:gridCol w:w="2162"/>
        <w:gridCol w:w="1060"/>
      </w:tblGrid>
      <w:tr w14:paraId="768FD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2076" w:type="dxa"/>
            <w:vAlign w:val="center"/>
          </w:tcPr>
          <w:p w14:paraId="49028009">
            <w:pPr>
              <w:keepNext w:val="0"/>
              <w:keepLines w:val="0"/>
              <w:pageBreakBefore w:val="0"/>
              <w:widowControl w:val="0"/>
              <w:kinsoku/>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仿宋_GB2312" w:cs="Times New Roman"/>
                <w:color w:val="auto"/>
                <w:sz w:val="28"/>
                <w:szCs w:val="28"/>
                <w:highlight w:val="none"/>
                <w:vertAlign w:val="baseline"/>
                <w:lang w:val="en-US" w:eastAsia="zh-CN"/>
              </w:rPr>
            </w:pPr>
            <w:r>
              <w:rPr>
                <w:rFonts w:hint="default" w:ascii="Times New Roman" w:hAnsi="Times New Roman" w:eastAsia="仿宋_GB2312" w:cs="Times New Roman"/>
                <w:color w:val="auto"/>
                <w:sz w:val="28"/>
                <w:szCs w:val="28"/>
                <w:highlight w:val="none"/>
                <w:vertAlign w:val="baseline"/>
                <w:lang w:val="en-US" w:eastAsia="zh-CN"/>
              </w:rPr>
              <w:t>项目</w:t>
            </w:r>
          </w:p>
        </w:tc>
        <w:tc>
          <w:tcPr>
            <w:tcW w:w="3218" w:type="dxa"/>
            <w:gridSpan w:val="2"/>
            <w:vAlign w:val="center"/>
          </w:tcPr>
          <w:p w14:paraId="1504046C">
            <w:pPr>
              <w:keepNext w:val="0"/>
              <w:keepLines w:val="0"/>
              <w:pageBreakBefore w:val="0"/>
              <w:widowControl w:val="0"/>
              <w:kinsoku/>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仿宋_GB2312" w:cs="Times New Roman"/>
                <w:color w:val="auto"/>
                <w:sz w:val="28"/>
                <w:szCs w:val="28"/>
                <w:highlight w:val="none"/>
                <w:vertAlign w:val="baseline"/>
                <w:lang w:val="en-US" w:eastAsia="zh-CN"/>
              </w:rPr>
            </w:pPr>
            <w:r>
              <w:rPr>
                <w:rFonts w:hint="default" w:ascii="Times New Roman" w:hAnsi="Times New Roman" w:eastAsia="仿宋_GB2312" w:cs="Times New Roman"/>
                <w:color w:val="auto"/>
                <w:sz w:val="28"/>
                <w:szCs w:val="28"/>
                <w:highlight w:val="none"/>
                <w:vertAlign w:val="baseline"/>
                <w:lang w:val="en-US" w:eastAsia="zh-CN"/>
              </w:rPr>
              <w:t>方案一</w:t>
            </w:r>
          </w:p>
        </w:tc>
        <w:tc>
          <w:tcPr>
            <w:tcW w:w="3222" w:type="dxa"/>
            <w:gridSpan w:val="2"/>
            <w:vAlign w:val="center"/>
          </w:tcPr>
          <w:p w14:paraId="2C8ACE65">
            <w:pPr>
              <w:keepNext w:val="0"/>
              <w:keepLines w:val="0"/>
              <w:pageBreakBefore w:val="0"/>
              <w:widowControl w:val="0"/>
              <w:kinsoku/>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仿宋_GB2312" w:cs="Times New Roman"/>
                <w:color w:val="auto"/>
                <w:sz w:val="28"/>
                <w:szCs w:val="28"/>
                <w:highlight w:val="none"/>
                <w:vertAlign w:val="baseline"/>
                <w:lang w:val="en-US" w:eastAsia="zh-CN"/>
              </w:rPr>
            </w:pPr>
            <w:r>
              <w:rPr>
                <w:rFonts w:hint="default" w:ascii="Times New Roman" w:hAnsi="Times New Roman" w:eastAsia="仿宋_GB2312" w:cs="Times New Roman"/>
                <w:color w:val="auto"/>
                <w:sz w:val="28"/>
                <w:szCs w:val="28"/>
                <w:highlight w:val="none"/>
                <w:vertAlign w:val="baseline"/>
                <w:lang w:val="en-US" w:eastAsia="zh-CN"/>
              </w:rPr>
              <w:t>方案二</w:t>
            </w:r>
          </w:p>
        </w:tc>
      </w:tr>
      <w:tr w14:paraId="76C9C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6" w:type="dxa"/>
            <w:vAlign w:val="center"/>
          </w:tcPr>
          <w:p w14:paraId="07729653">
            <w:pPr>
              <w:keepNext w:val="0"/>
              <w:keepLines w:val="0"/>
              <w:pageBreakBefore w:val="0"/>
              <w:widowControl w:val="0"/>
              <w:kinsoku/>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仿宋_GB2312" w:cs="Times New Roman"/>
                <w:color w:val="auto"/>
                <w:sz w:val="28"/>
                <w:szCs w:val="28"/>
                <w:highlight w:val="none"/>
                <w:vertAlign w:val="baseline"/>
                <w:lang w:val="en-US" w:eastAsia="zh-CN"/>
              </w:rPr>
            </w:pPr>
            <w:r>
              <w:rPr>
                <w:rFonts w:hint="default" w:ascii="Times New Roman" w:hAnsi="Times New Roman" w:eastAsia="仿宋_GB2312" w:cs="Times New Roman"/>
                <w:color w:val="auto"/>
                <w:sz w:val="28"/>
                <w:szCs w:val="28"/>
                <w:highlight w:val="none"/>
                <w:vertAlign w:val="baseline"/>
                <w:lang w:val="en-US" w:eastAsia="zh-CN"/>
              </w:rPr>
              <w:t>全程公里数</w:t>
            </w:r>
          </w:p>
        </w:tc>
        <w:tc>
          <w:tcPr>
            <w:tcW w:w="3218" w:type="dxa"/>
            <w:gridSpan w:val="2"/>
            <w:vAlign w:val="center"/>
          </w:tcPr>
          <w:p w14:paraId="76918370">
            <w:pPr>
              <w:keepNext w:val="0"/>
              <w:keepLines w:val="0"/>
              <w:pageBreakBefore w:val="0"/>
              <w:widowControl w:val="0"/>
              <w:kinsoku/>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仿宋_GB2312" w:cs="Times New Roman"/>
                <w:color w:val="auto"/>
                <w:sz w:val="28"/>
                <w:szCs w:val="28"/>
                <w:highlight w:val="none"/>
                <w:vertAlign w:val="baseline"/>
                <w:lang w:val="en-US" w:eastAsia="zh-CN"/>
              </w:rPr>
            </w:pPr>
            <w:r>
              <w:rPr>
                <w:rFonts w:hint="default" w:ascii="Times New Roman" w:hAnsi="Times New Roman" w:eastAsia="仿宋_GB2312" w:cs="Times New Roman"/>
                <w:color w:val="auto"/>
                <w:sz w:val="28"/>
                <w:szCs w:val="28"/>
                <w:highlight w:val="none"/>
                <w:vertAlign w:val="baseline"/>
                <w:lang w:val="en-US" w:eastAsia="zh-CN"/>
              </w:rPr>
              <w:t>10公里</w:t>
            </w:r>
          </w:p>
        </w:tc>
        <w:tc>
          <w:tcPr>
            <w:tcW w:w="3222" w:type="dxa"/>
            <w:gridSpan w:val="2"/>
            <w:vAlign w:val="center"/>
          </w:tcPr>
          <w:p w14:paraId="07466162">
            <w:pPr>
              <w:keepNext w:val="0"/>
              <w:keepLines w:val="0"/>
              <w:pageBreakBefore w:val="0"/>
              <w:widowControl w:val="0"/>
              <w:kinsoku/>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仿宋_GB2312" w:cs="Times New Roman"/>
                <w:color w:val="auto"/>
                <w:sz w:val="28"/>
                <w:szCs w:val="28"/>
                <w:highlight w:val="none"/>
                <w:vertAlign w:val="baseline"/>
                <w:lang w:val="en-US" w:eastAsia="zh-CN"/>
              </w:rPr>
            </w:pPr>
            <w:r>
              <w:rPr>
                <w:rFonts w:hint="default" w:ascii="Times New Roman" w:hAnsi="Times New Roman" w:eastAsia="仿宋_GB2312" w:cs="Times New Roman"/>
                <w:color w:val="auto"/>
                <w:sz w:val="28"/>
                <w:szCs w:val="28"/>
                <w:highlight w:val="none"/>
                <w:vertAlign w:val="baseline"/>
                <w:lang w:val="en-US" w:eastAsia="zh-CN"/>
              </w:rPr>
              <w:t>10公里</w:t>
            </w:r>
          </w:p>
        </w:tc>
      </w:tr>
      <w:tr w14:paraId="0AB73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6" w:type="dxa"/>
            <w:vAlign w:val="center"/>
          </w:tcPr>
          <w:p w14:paraId="1FF02D18">
            <w:pPr>
              <w:keepNext w:val="0"/>
              <w:keepLines w:val="0"/>
              <w:pageBreakBefore w:val="0"/>
              <w:widowControl w:val="0"/>
              <w:kinsoku/>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仿宋_GB2312" w:cs="Times New Roman"/>
                <w:color w:val="auto"/>
                <w:sz w:val="28"/>
                <w:szCs w:val="28"/>
                <w:highlight w:val="none"/>
                <w:vertAlign w:val="baseline"/>
                <w:lang w:val="en-US" w:eastAsia="zh-CN"/>
              </w:rPr>
            </w:pPr>
            <w:r>
              <w:rPr>
                <w:rFonts w:hint="default" w:ascii="Times New Roman" w:hAnsi="Times New Roman" w:eastAsia="仿宋_GB2312" w:cs="Times New Roman"/>
                <w:color w:val="auto"/>
                <w:sz w:val="28"/>
                <w:szCs w:val="28"/>
                <w:highlight w:val="none"/>
                <w:vertAlign w:val="baseline"/>
                <w:lang w:val="en-US" w:eastAsia="zh-CN"/>
              </w:rPr>
              <w:t>线路站点设置</w:t>
            </w:r>
          </w:p>
        </w:tc>
        <w:tc>
          <w:tcPr>
            <w:tcW w:w="3218" w:type="dxa"/>
            <w:gridSpan w:val="2"/>
            <w:vAlign w:val="center"/>
          </w:tcPr>
          <w:p w14:paraId="13E443C4">
            <w:pPr>
              <w:keepNext w:val="0"/>
              <w:keepLines w:val="0"/>
              <w:pageBreakBefore w:val="0"/>
              <w:widowControl w:val="0"/>
              <w:kinsoku/>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仿宋_GB2312" w:cs="Times New Roman"/>
                <w:color w:val="auto"/>
                <w:sz w:val="28"/>
                <w:szCs w:val="28"/>
                <w:highlight w:val="none"/>
                <w:vertAlign w:val="baseline"/>
                <w:lang w:val="en-US"/>
              </w:rPr>
            </w:pPr>
            <w:r>
              <w:rPr>
                <w:rFonts w:hint="default" w:ascii="Times New Roman" w:hAnsi="Times New Roman" w:eastAsia="仿宋_GB2312" w:cs="Times New Roman"/>
                <w:color w:val="auto"/>
                <w:sz w:val="28"/>
                <w:szCs w:val="28"/>
                <w:highlight w:val="none"/>
                <w:lang w:val="en-US" w:eastAsia="zh-CN"/>
              </w:rPr>
              <w:t>东门-神山幽谷-山顶广场-从花谷-环湖停靠点-南门，全程共10公里。</w:t>
            </w:r>
          </w:p>
        </w:tc>
        <w:tc>
          <w:tcPr>
            <w:tcW w:w="3222" w:type="dxa"/>
            <w:gridSpan w:val="2"/>
            <w:vAlign w:val="center"/>
          </w:tcPr>
          <w:p w14:paraId="791EC1B4">
            <w:pPr>
              <w:keepNext w:val="0"/>
              <w:keepLines w:val="0"/>
              <w:pageBreakBefore w:val="0"/>
              <w:widowControl w:val="0"/>
              <w:kinsoku/>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仿宋_GB2312" w:cs="Times New Roman"/>
                <w:color w:val="auto"/>
                <w:sz w:val="28"/>
                <w:szCs w:val="28"/>
                <w:highlight w:val="none"/>
                <w:vertAlign w:val="baseline"/>
              </w:rPr>
            </w:pPr>
            <w:r>
              <w:rPr>
                <w:rFonts w:hint="default" w:ascii="Times New Roman" w:hAnsi="Times New Roman" w:eastAsia="仿宋_GB2312" w:cs="Times New Roman"/>
                <w:color w:val="auto"/>
                <w:sz w:val="28"/>
                <w:szCs w:val="28"/>
                <w:highlight w:val="none"/>
                <w:lang w:val="en-US" w:eastAsia="zh-CN"/>
              </w:rPr>
              <w:t>东门-神山幽谷-山顶广场-从花谷-环湖停靠点-南门，全程共10公里。</w:t>
            </w:r>
          </w:p>
        </w:tc>
      </w:tr>
      <w:tr w14:paraId="00DA9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6" w:type="dxa"/>
            <w:vAlign w:val="center"/>
          </w:tcPr>
          <w:p w14:paraId="32FF696C">
            <w:pPr>
              <w:keepNext w:val="0"/>
              <w:keepLines w:val="0"/>
              <w:pageBreakBefore w:val="0"/>
              <w:widowControl w:val="0"/>
              <w:kinsoku/>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仿宋_GB2312" w:cs="Times New Roman"/>
                <w:color w:val="auto"/>
                <w:sz w:val="28"/>
                <w:szCs w:val="28"/>
                <w:highlight w:val="none"/>
                <w:vertAlign w:val="baseline"/>
                <w:lang w:val="en-US" w:eastAsia="zh-CN"/>
              </w:rPr>
            </w:pPr>
            <w:r>
              <w:rPr>
                <w:rFonts w:hint="default" w:ascii="Times New Roman" w:hAnsi="Times New Roman" w:eastAsia="仿宋_GB2312" w:cs="Times New Roman"/>
                <w:color w:val="auto"/>
                <w:sz w:val="28"/>
                <w:szCs w:val="28"/>
                <w:highlight w:val="none"/>
                <w:vertAlign w:val="baseline"/>
                <w:lang w:val="en-US" w:eastAsia="zh-CN"/>
              </w:rPr>
              <w:t>定价成本</w:t>
            </w:r>
          </w:p>
        </w:tc>
        <w:tc>
          <w:tcPr>
            <w:tcW w:w="3218" w:type="dxa"/>
            <w:gridSpan w:val="2"/>
            <w:vAlign w:val="center"/>
          </w:tcPr>
          <w:p w14:paraId="43E09DA9">
            <w:pPr>
              <w:keepNext w:val="0"/>
              <w:keepLines w:val="0"/>
              <w:pageBreakBefore w:val="0"/>
              <w:widowControl w:val="0"/>
              <w:kinsoku/>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仿宋_GB2312" w:cs="Times New Roman"/>
                <w:color w:val="auto"/>
                <w:sz w:val="28"/>
                <w:szCs w:val="28"/>
                <w:highlight w:val="none"/>
                <w:vertAlign w:val="baseline"/>
                <w:lang w:val="en-US" w:eastAsia="zh-CN"/>
              </w:rPr>
            </w:pPr>
            <w:r>
              <w:rPr>
                <w:rFonts w:hint="default" w:ascii="Times New Roman" w:hAnsi="Times New Roman" w:eastAsia="仿宋_GB2312" w:cs="Times New Roman"/>
                <w:color w:val="auto"/>
                <w:sz w:val="28"/>
                <w:szCs w:val="28"/>
                <w:highlight w:val="none"/>
                <w:vertAlign w:val="baseline"/>
                <w:lang w:val="en-US" w:eastAsia="zh-CN"/>
              </w:rPr>
              <w:t>2.48 元/人·公里</w:t>
            </w:r>
          </w:p>
        </w:tc>
        <w:tc>
          <w:tcPr>
            <w:tcW w:w="3222" w:type="dxa"/>
            <w:gridSpan w:val="2"/>
            <w:vAlign w:val="center"/>
          </w:tcPr>
          <w:p w14:paraId="722D1E7D">
            <w:pPr>
              <w:keepNext w:val="0"/>
              <w:keepLines w:val="0"/>
              <w:pageBreakBefore w:val="0"/>
              <w:widowControl w:val="0"/>
              <w:kinsoku/>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仿宋_GB2312" w:cs="Times New Roman"/>
                <w:color w:val="auto"/>
                <w:sz w:val="28"/>
                <w:szCs w:val="28"/>
                <w:highlight w:val="none"/>
                <w:vertAlign w:val="baseline"/>
              </w:rPr>
            </w:pPr>
            <w:r>
              <w:rPr>
                <w:rFonts w:hint="default" w:ascii="Times New Roman" w:hAnsi="Times New Roman" w:eastAsia="仿宋_GB2312" w:cs="Times New Roman"/>
                <w:color w:val="auto"/>
                <w:sz w:val="28"/>
                <w:szCs w:val="28"/>
                <w:highlight w:val="none"/>
                <w:vertAlign w:val="baseline"/>
                <w:lang w:val="en-US" w:eastAsia="zh-CN"/>
              </w:rPr>
              <w:t>2.48元/人·公里</w:t>
            </w:r>
          </w:p>
        </w:tc>
      </w:tr>
      <w:tr w14:paraId="7A9B5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6" w:type="dxa"/>
            <w:vAlign w:val="center"/>
          </w:tcPr>
          <w:p w14:paraId="1BA6E3FD">
            <w:pPr>
              <w:keepNext w:val="0"/>
              <w:keepLines w:val="0"/>
              <w:pageBreakBefore w:val="0"/>
              <w:widowControl w:val="0"/>
              <w:kinsoku/>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仿宋_GB2312" w:cs="Times New Roman"/>
                <w:color w:val="auto"/>
                <w:sz w:val="28"/>
                <w:szCs w:val="28"/>
                <w:highlight w:val="none"/>
                <w:vertAlign w:val="baseline"/>
                <w:lang w:val="en-US" w:eastAsia="zh-CN"/>
              </w:rPr>
            </w:pPr>
            <w:r>
              <w:rPr>
                <w:rFonts w:hint="default" w:ascii="Times New Roman" w:hAnsi="Times New Roman" w:eastAsia="仿宋_GB2312" w:cs="Times New Roman"/>
                <w:color w:val="auto"/>
                <w:sz w:val="28"/>
                <w:szCs w:val="28"/>
                <w:highlight w:val="none"/>
                <w:vertAlign w:val="baseline"/>
                <w:lang w:val="en-US" w:eastAsia="zh-CN"/>
              </w:rPr>
              <w:t>利润率</w:t>
            </w:r>
          </w:p>
        </w:tc>
        <w:tc>
          <w:tcPr>
            <w:tcW w:w="3218" w:type="dxa"/>
            <w:gridSpan w:val="2"/>
            <w:vAlign w:val="center"/>
          </w:tcPr>
          <w:p w14:paraId="67691E74">
            <w:pPr>
              <w:keepNext w:val="0"/>
              <w:keepLines w:val="0"/>
              <w:pageBreakBefore w:val="0"/>
              <w:widowControl w:val="0"/>
              <w:kinsoku/>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仿宋_GB2312" w:cs="Times New Roman"/>
                <w:color w:val="auto"/>
                <w:sz w:val="28"/>
                <w:szCs w:val="28"/>
                <w:highlight w:val="none"/>
                <w:vertAlign w:val="baseline"/>
                <w:lang w:val="en-US" w:eastAsia="zh-CN"/>
              </w:rPr>
            </w:pPr>
            <w:r>
              <w:rPr>
                <w:rFonts w:hint="default" w:ascii="Times New Roman" w:hAnsi="Times New Roman" w:eastAsia="仿宋_GB2312" w:cs="Times New Roman"/>
                <w:color w:val="auto"/>
                <w:sz w:val="28"/>
                <w:szCs w:val="28"/>
                <w:highlight w:val="none"/>
                <w:vertAlign w:val="baseline"/>
                <w:lang w:val="en-US" w:eastAsia="zh-CN"/>
              </w:rPr>
              <w:t>5%</w:t>
            </w:r>
          </w:p>
        </w:tc>
        <w:tc>
          <w:tcPr>
            <w:tcW w:w="3222" w:type="dxa"/>
            <w:gridSpan w:val="2"/>
            <w:vAlign w:val="center"/>
          </w:tcPr>
          <w:p w14:paraId="5E446C12">
            <w:pPr>
              <w:keepNext w:val="0"/>
              <w:keepLines w:val="0"/>
              <w:pageBreakBefore w:val="0"/>
              <w:widowControl w:val="0"/>
              <w:kinsoku/>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仿宋_GB2312" w:cs="Times New Roman"/>
                <w:color w:val="auto"/>
                <w:sz w:val="28"/>
                <w:szCs w:val="28"/>
                <w:highlight w:val="none"/>
                <w:vertAlign w:val="baseline"/>
                <w:lang w:val="en-US" w:eastAsia="zh-CN"/>
              </w:rPr>
            </w:pPr>
            <w:r>
              <w:rPr>
                <w:rFonts w:hint="default" w:ascii="Times New Roman" w:hAnsi="Times New Roman" w:eastAsia="仿宋_GB2312" w:cs="Times New Roman"/>
                <w:color w:val="auto"/>
                <w:sz w:val="28"/>
                <w:szCs w:val="28"/>
                <w:highlight w:val="none"/>
                <w:vertAlign w:val="baseline"/>
                <w:lang w:val="en-US" w:eastAsia="zh-CN"/>
              </w:rPr>
              <w:t>10%</w:t>
            </w:r>
          </w:p>
        </w:tc>
      </w:tr>
      <w:tr w14:paraId="0BA23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2076" w:type="dxa"/>
            <w:vAlign w:val="center"/>
          </w:tcPr>
          <w:p w14:paraId="6911B33F">
            <w:pPr>
              <w:keepNext w:val="0"/>
              <w:keepLines w:val="0"/>
              <w:pageBreakBefore w:val="0"/>
              <w:widowControl w:val="0"/>
              <w:kinsoku/>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仿宋_GB2312" w:cs="Times New Roman"/>
                <w:color w:val="auto"/>
                <w:sz w:val="28"/>
                <w:szCs w:val="28"/>
                <w:highlight w:val="none"/>
                <w:vertAlign w:val="baseline"/>
                <w:lang w:val="en-US" w:eastAsia="zh-CN"/>
              </w:rPr>
            </w:pPr>
            <w:r>
              <w:rPr>
                <w:rFonts w:hint="default" w:ascii="Times New Roman" w:hAnsi="Times New Roman" w:eastAsia="仿宋_GB2312" w:cs="Times New Roman"/>
                <w:color w:val="auto"/>
                <w:sz w:val="28"/>
                <w:szCs w:val="28"/>
                <w:highlight w:val="none"/>
                <w:vertAlign w:val="baseline"/>
                <w:lang w:val="en-US" w:eastAsia="zh-CN"/>
              </w:rPr>
              <w:t>最高定价标准</w:t>
            </w:r>
          </w:p>
        </w:tc>
        <w:tc>
          <w:tcPr>
            <w:tcW w:w="3218" w:type="dxa"/>
            <w:gridSpan w:val="2"/>
            <w:vAlign w:val="center"/>
          </w:tcPr>
          <w:p w14:paraId="04A70FC8">
            <w:pPr>
              <w:keepNext w:val="0"/>
              <w:keepLines w:val="0"/>
              <w:pageBreakBefore w:val="0"/>
              <w:widowControl w:val="0"/>
              <w:kinsoku/>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仿宋_GB2312" w:cs="Times New Roman"/>
                <w:color w:val="auto"/>
                <w:sz w:val="28"/>
                <w:szCs w:val="28"/>
                <w:highlight w:val="none"/>
                <w:vertAlign w:val="baseline"/>
                <w:lang w:val="en-US" w:eastAsia="zh-CN"/>
              </w:rPr>
            </w:pPr>
            <w:r>
              <w:rPr>
                <w:rFonts w:hint="default" w:ascii="Times New Roman" w:hAnsi="Times New Roman" w:eastAsia="仿宋_GB2312" w:cs="Times New Roman"/>
                <w:color w:val="auto"/>
                <w:sz w:val="28"/>
                <w:szCs w:val="28"/>
                <w:highlight w:val="none"/>
                <w:vertAlign w:val="baseline"/>
                <w:lang w:val="en-US" w:eastAsia="zh-CN"/>
              </w:rPr>
              <w:t>2.60元/人·公里</w:t>
            </w:r>
          </w:p>
        </w:tc>
        <w:tc>
          <w:tcPr>
            <w:tcW w:w="3222" w:type="dxa"/>
            <w:gridSpan w:val="2"/>
            <w:vAlign w:val="center"/>
          </w:tcPr>
          <w:p w14:paraId="75BAAB60">
            <w:pPr>
              <w:keepNext w:val="0"/>
              <w:keepLines w:val="0"/>
              <w:pageBreakBefore w:val="0"/>
              <w:widowControl w:val="0"/>
              <w:kinsoku/>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仿宋_GB2312" w:cs="Times New Roman"/>
                <w:color w:val="auto"/>
                <w:sz w:val="28"/>
                <w:szCs w:val="28"/>
                <w:highlight w:val="none"/>
                <w:vertAlign w:val="baseline"/>
                <w:lang w:val="en-US" w:eastAsia="zh-CN"/>
              </w:rPr>
            </w:pPr>
            <w:r>
              <w:rPr>
                <w:rFonts w:hint="default" w:ascii="Times New Roman" w:hAnsi="Times New Roman" w:eastAsia="仿宋_GB2312" w:cs="Times New Roman"/>
                <w:color w:val="auto"/>
                <w:sz w:val="28"/>
                <w:szCs w:val="28"/>
                <w:highlight w:val="none"/>
                <w:vertAlign w:val="baseline"/>
                <w:lang w:val="en-US" w:eastAsia="zh-CN"/>
              </w:rPr>
              <w:t>2.73元/人·公里</w:t>
            </w:r>
          </w:p>
        </w:tc>
      </w:tr>
      <w:tr w14:paraId="185A8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6" w:type="dxa"/>
            <w:vMerge w:val="restart"/>
            <w:vAlign w:val="center"/>
          </w:tcPr>
          <w:p w14:paraId="3914CA3B">
            <w:pPr>
              <w:keepNext w:val="0"/>
              <w:keepLines w:val="0"/>
              <w:pageBreakBefore w:val="0"/>
              <w:widowControl w:val="0"/>
              <w:kinsoku/>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仿宋_GB2312" w:cs="Times New Roman"/>
                <w:color w:val="auto"/>
                <w:sz w:val="28"/>
                <w:szCs w:val="28"/>
                <w:highlight w:val="none"/>
                <w:vertAlign w:val="baseline"/>
                <w:lang w:val="en-US" w:eastAsia="zh-CN"/>
              </w:rPr>
            </w:pPr>
            <w:r>
              <w:rPr>
                <w:rFonts w:hint="default" w:ascii="Times New Roman" w:hAnsi="Times New Roman" w:eastAsia="仿宋_GB2312" w:cs="Times New Roman"/>
                <w:color w:val="auto"/>
                <w:sz w:val="28"/>
                <w:szCs w:val="28"/>
                <w:highlight w:val="none"/>
                <w:vertAlign w:val="baseline"/>
                <w:lang w:val="en-US" w:eastAsia="zh-CN"/>
              </w:rPr>
              <w:t>分段线路</w:t>
            </w:r>
          </w:p>
          <w:p w14:paraId="21210152">
            <w:pPr>
              <w:keepNext w:val="0"/>
              <w:keepLines w:val="0"/>
              <w:pageBreakBefore w:val="0"/>
              <w:widowControl w:val="0"/>
              <w:kinsoku/>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仿宋_GB2312" w:cs="Times New Roman"/>
                <w:color w:val="auto"/>
                <w:sz w:val="28"/>
                <w:szCs w:val="28"/>
                <w:highlight w:val="none"/>
                <w:vertAlign w:val="baseline"/>
                <w:lang w:val="en-US" w:eastAsia="zh-CN"/>
              </w:rPr>
            </w:pPr>
            <w:r>
              <w:rPr>
                <w:rFonts w:hint="default" w:ascii="Times New Roman" w:hAnsi="Times New Roman" w:eastAsia="仿宋_GB2312" w:cs="Times New Roman"/>
                <w:color w:val="auto"/>
                <w:sz w:val="28"/>
                <w:szCs w:val="28"/>
                <w:highlight w:val="none"/>
                <w:vertAlign w:val="baseline"/>
                <w:lang w:val="en-US" w:eastAsia="zh-CN"/>
              </w:rPr>
              <w:t>最高限价</w:t>
            </w:r>
          </w:p>
        </w:tc>
        <w:tc>
          <w:tcPr>
            <w:tcW w:w="2150" w:type="dxa"/>
            <w:vAlign w:val="center"/>
          </w:tcPr>
          <w:p w14:paraId="57DA889C">
            <w:pPr>
              <w:keepNext w:val="0"/>
              <w:keepLines w:val="0"/>
              <w:pageBreakBefore w:val="0"/>
              <w:widowControl w:val="0"/>
              <w:kinsoku/>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仿宋_GB2312" w:cs="Times New Roman"/>
                <w:color w:val="auto"/>
                <w:sz w:val="28"/>
                <w:szCs w:val="28"/>
                <w:highlight w:val="none"/>
                <w:vertAlign w:val="baseline"/>
                <w:lang w:eastAsia="zh-CN"/>
              </w:rPr>
            </w:pPr>
            <w:r>
              <w:rPr>
                <w:rFonts w:hint="default" w:ascii="Times New Roman" w:hAnsi="Times New Roman" w:eastAsia="仿宋_GB2312" w:cs="Times New Roman"/>
                <w:color w:val="auto"/>
                <w:sz w:val="28"/>
                <w:szCs w:val="28"/>
                <w:highlight w:val="none"/>
                <w:vertAlign w:val="baseline"/>
                <w:lang w:val="en-US" w:eastAsia="zh-CN"/>
              </w:rPr>
              <w:t>上山（东门-从花谷，5公里）</w:t>
            </w:r>
          </w:p>
        </w:tc>
        <w:tc>
          <w:tcPr>
            <w:tcW w:w="1068" w:type="dxa"/>
            <w:vAlign w:val="center"/>
          </w:tcPr>
          <w:p w14:paraId="1309EC1D">
            <w:pPr>
              <w:keepNext w:val="0"/>
              <w:keepLines w:val="0"/>
              <w:pageBreakBefore w:val="0"/>
              <w:widowControl w:val="0"/>
              <w:kinsoku/>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仿宋_GB2312" w:cs="Times New Roman"/>
                <w:color w:val="auto"/>
                <w:sz w:val="28"/>
                <w:szCs w:val="28"/>
                <w:highlight w:val="none"/>
                <w:vertAlign w:val="baseline"/>
                <w:lang w:val="en-US" w:eastAsia="zh-CN"/>
              </w:rPr>
            </w:pPr>
            <w:r>
              <w:rPr>
                <w:rFonts w:hint="default" w:ascii="Times New Roman" w:hAnsi="Times New Roman" w:eastAsia="仿宋_GB2312" w:cs="Times New Roman"/>
                <w:color w:val="auto"/>
                <w:sz w:val="28"/>
                <w:szCs w:val="28"/>
                <w:highlight w:val="none"/>
                <w:vertAlign w:val="baseline"/>
                <w:lang w:val="en-US" w:eastAsia="zh-CN"/>
              </w:rPr>
              <w:t>13.0元</w:t>
            </w:r>
          </w:p>
        </w:tc>
        <w:tc>
          <w:tcPr>
            <w:tcW w:w="2162" w:type="dxa"/>
            <w:shd w:val="clear" w:color="auto" w:fill="auto"/>
            <w:vAlign w:val="center"/>
          </w:tcPr>
          <w:p w14:paraId="6122B17C">
            <w:pPr>
              <w:keepNext w:val="0"/>
              <w:keepLines w:val="0"/>
              <w:pageBreakBefore w:val="0"/>
              <w:widowControl w:val="0"/>
              <w:kinsoku/>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仿宋_GB2312" w:cs="Times New Roman"/>
                <w:color w:val="auto"/>
                <w:sz w:val="28"/>
                <w:szCs w:val="28"/>
                <w:highlight w:val="none"/>
                <w:vertAlign w:val="baseline"/>
                <w:lang w:eastAsia="zh-CN"/>
              </w:rPr>
            </w:pPr>
            <w:r>
              <w:rPr>
                <w:rFonts w:hint="default" w:ascii="Times New Roman" w:hAnsi="Times New Roman" w:eastAsia="仿宋_GB2312" w:cs="Times New Roman"/>
                <w:color w:val="auto"/>
                <w:sz w:val="28"/>
                <w:szCs w:val="28"/>
                <w:highlight w:val="none"/>
                <w:vertAlign w:val="baseline"/>
                <w:lang w:val="en-US" w:eastAsia="zh-CN"/>
              </w:rPr>
              <w:t>上山（东门-从花谷，5公里）</w:t>
            </w:r>
          </w:p>
        </w:tc>
        <w:tc>
          <w:tcPr>
            <w:tcW w:w="1060" w:type="dxa"/>
            <w:shd w:val="clear" w:color="auto" w:fill="auto"/>
            <w:vAlign w:val="center"/>
          </w:tcPr>
          <w:p w14:paraId="2766CEF2">
            <w:pPr>
              <w:keepNext w:val="0"/>
              <w:keepLines w:val="0"/>
              <w:pageBreakBefore w:val="0"/>
              <w:widowControl w:val="0"/>
              <w:kinsoku/>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仿宋_GB2312" w:cs="Times New Roman"/>
                <w:snapToGrid w:val="0"/>
                <w:color w:val="auto"/>
                <w:kern w:val="0"/>
                <w:sz w:val="28"/>
                <w:szCs w:val="28"/>
                <w:highlight w:val="none"/>
                <w:vertAlign w:val="baseline"/>
                <w:lang w:val="en-US" w:eastAsia="zh-CN" w:bidi="ar-SA"/>
              </w:rPr>
            </w:pPr>
            <w:r>
              <w:rPr>
                <w:rFonts w:hint="default" w:ascii="Times New Roman" w:hAnsi="Times New Roman" w:eastAsia="仿宋_GB2312" w:cs="Times New Roman"/>
                <w:color w:val="auto"/>
                <w:sz w:val="28"/>
                <w:szCs w:val="28"/>
                <w:highlight w:val="none"/>
                <w:vertAlign w:val="baseline"/>
                <w:lang w:val="en-US" w:eastAsia="zh-CN"/>
              </w:rPr>
              <w:t>13.6元</w:t>
            </w:r>
          </w:p>
        </w:tc>
      </w:tr>
      <w:tr w14:paraId="474F8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6" w:type="dxa"/>
            <w:vMerge w:val="continue"/>
            <w:vAlign w:val="center"/>
          </w:tcPr>
          <w:p w14:paraId="67419745">
            <w:pPr>
              <w:keepNext w:val="0"/>
              <w:keepLines w:val="0"/>
              <w:pageBreakBefore w:val="0"/>
              <w:widowControl w:val="0"/>
              <w:kinsoku/>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仿宋_GB2312" w:cs="Times New Roman"/>
                <w:color w:val="auto"/>
                <w:sz w:val="28"/>
                <w:szCs w:val="28"/>
                <w:highlight w:val="none"/>
                <w:vertAlign w:val="baseline"/>
                <w:lang w:val="en-US" w:eastAsia="zh-CN"/>
              </w:rPr>
            </w:pPr>
          </w:p>
        </w:tc>
        <w:tc>
          <w:tcPr>
            <w:tcW w:w="2150" w:type="dxa"/>
            <w:vAlign w:val="center"/>
          </w:tcPr>
          <w:p w14:paraId="5D02CF03">
            <w:pPr>
              <w:keepNext w:val="0"/>
              <w:keepLines w:val="0"/>
              <w:pageBreakBefore w:val="0"/>
              <w:widowControl w:val="0"/>
              <w:kinsoku/>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仿宋_GB2312" w:cs="Times New Roman"/>
                <w:color w:val="auto"/>
                <w:sz w:val="28"/>
                <w:szCs w:val="28"/>
                <w:highlight w:val="none"/>
                <w:vertAlign w:val="baseline"/>
                <w:lang w:val="en-US" w:eastAsia="zh-CN"/>
              </w:rPr>
            </w:pPr>
            <w:r>
              <w:rPr>
                <w:rFonts w:hint="default" w:ascii="Times New Roman" w:hAnsi="Times New Roman" w:eastAsia="仿宋_GB2312" w:cs="Times New Roman"/>
                <w:color w:val="auto"/>
                <w:sz w:val="28"/>
                <w:szCs w:val="28"/>
                <w:highlight w:val="none"/>
                <w:vertAlign w:val="baseline"/>
                <w:lang w:val="en-US" w:eastAsia="zh-CN"/>
              </w:rPr>
              <w:t>下山（从花谷-南门，5公里）</w:t>
            </w:r>
          </w:p>
        </w:tc>
        <w:tc>
          <w:tcPr>
            <w:tcW w:w="1068" w:type="dxa"/>
            <w:vAlign w:val="center"/>
          </w:tcPr>
          <w:p w14:paraId="71BD3266">
            <w:pPr>
              <w:keepNext w:val="0"/>
              <w:keepLines w:val="0"/>
              <w:pageBreakBefore w:val="0"/>
              <w:widowControl w:val="0"/>
              <w:kinsoku/>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仿宋_GB2312" w:cs="Times New Roman"/>
                <w:color w:val="auto"/>
                <w:sz w:val="28"/>
                <w:szCs w:val="28"/>
                <w:highlight w:val="none"/>
                <w:vertAlign w:val="baseline"/>
                <w:lang w:val="en-US" w:eastAsia="zh-CN"/>
              </w:rPr>
            </w:pPr>
            <w:r>
              <w:rPr>
                <w:rFonts w:hint="default" w:ascii="Times New Roman" w:hAnsi="Times New Roman" w:eastAsia="仿宋_GB2312" w:cs="Times New Roman"/>
                <w:color w:val="auto"/>
                <w:sz w:val="28"/>
                <w:szCs w:val="28"/>
                <w:highlight w:val="none"/>
                <w:vertAlign w:val="baseline"/>
                <w:lang w:val="en-US" w:eastAsia="zh-CN"/>
              </w:rPr>
              <w:t>13.0元</w:t>
            </w:r>
          </w:p>
        </w:tc>
        <w:tc>
          <w:tcPr>
            <w:tcW w:w="2162" w:type="dxa"/>
            <w:shd w:val="clear" w:color="auto" w:fill="auto"/>
            <w:vAlign w:val="center"/>
          </w:tcPr>
          <w:p w14:paraId="34BCEC54">
            <w:pPr>
              <w:keepNext w:val="0"/>
              <w:keepLines w:val="0"/>
              <w:pageBreakBefore w:val="0"/>
              <w:widowControl w:val="0"/>
              <w:kinsoku/>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仿宋_GB2312" w:cs="Times New Roman"/>
                <w:snapToGrid w:val="0"/>
                <w:color w:val="auto"/>
                <w:kern w:val="0"/>
                <w:sz w:val="28"/>
                <w:szCs w:val="28"/>
                <w:highlight w:val="none"/>
                <w:vertAlign w:val="baseline"/>
                <w:lang w:val="en-US" w:eastAsia="zh-CN" w:bidi="ar-SA"/>
              </w:rPr>
            </w:pPr>
            <w:r>
              <w:rPr>
                <w:rFonts w:hint="default" w:ascii="Times New Roman" w:hAnsi="Times New Roman" w:eastAsia="仿宋_GB2312" w:cs="Times New Roman"/>
                <w:color w:val="auto"/>
                <w:sz w:val="28"/>
                <w:szCs w:val="28"/>
                <w:highlight w:val="none"/>
                <w:vertAlign w:val="baseline"/>
                <w:lang w:val="en-US" w:eastAsia="zh-CN"/>
              </w:rPr>
              <w:t>下山（从花谷-南门，5公里）</w:t>
            </w:r>
          </w:p>
        </w:tc>
        <w:tc>
          <w:tcPr>
            <w:tcW w:w="1060" w:type="dxa"/>
            <w:shd w:val="clear" w:color="auto" w:fill="auto"/>
            <w:vAlign w:val="center"/>
          </w:tcPr>
          <w:p w14:paraId="25747EC5">
            <w:pPr>
              <w:keepNext w:val="0"/>
              <w:keepLines w:val="0"/>
              <w:pageBreakBefore w:val="0"/>
              <w:widowControl w:val="0"/>
              <w:kinsoku/>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仿宋_GB2312" w:cs="Times New Roman"/>
                <w:snapToGrid w:val="0"/>
                <w:color w:val="auto"/>
                <w:kern w:val="0"/>
                <w:sz w:val="28"/>
                <w:szCs w:val="28"/>
                <w:highlight w:val="none"/>
                <w:vertAlign w:val="baseline"/>
                <w:lang w:val="en-US" w:eastAsia="zh-CN" w:bidi="ar-SA"/>
              </w:rPr>
            </w:pPr>
            <w:r>
              <w:rPr>
                <w:rFonts w:hint="default" w:ascii="Times New Roman" w:hAnsi="Times New Roman" w:eastAsia="仿宋_GB2312" w:cs="Times New Roman"/>
                <w:color w:val="auto"/>
                <w:sz w:val="28"/>
                <w:szCs w:val="28"/>
                <w:highlight w:val="none"/>
                <w:vertAlign w:val="baseline"/>
                <w:lang w:val="en-US" w:eastAsia="zh-CN"/>
              </w:rPr>
              <w:t>13.6元</w:t>
            </w:r>
          </w:p>
        </w:tc>
      </w:tr>
      <w:tr w14:paraId="5A3DB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6" w:type="dxa"/>
            <w:vMerge w:val="continue"/>
            <w:vAlign w:val="center"/>
          </w:tcPr>
          <w:p w14:paraId="725A214A">
            <w:pPr>
              <w:keepNext w:val="0"/>
              <w:keepLines w:val="0"/>
              <w:pageBreakBefore w:val="0"/>
              <w:widowControl w:val="0"/>
              <w:kinsoku/>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仿宋_GB2312" w:cs="Times New Roman"/>
                <w:color w:val="auto"/>
                <w:sz w:val="28"/>
                <w:szCs w:val="28"/>
                <w:highlight w:val="none"/>
                <w:vertAlign w:val="baseline"/>
                <w:lang w:val="en-US" w:eastAsia="zh-CN"/>
              </w:rPr>
            </w:pPr>
          </w:p>
        </w:tc>
        <w:tc>
          <w:tcPr>
            <w:tcW w:w="2150" w:type="dxa"/>
            <w:vAlign w:val="center"/>
          </w:tcPr>
          <w:p w14:paraId="10779755">
            <w:pPr>
              <w:keepNext w:val="0"/>
              <w:keepLines w:val="0"/>
              <w:pageBreakBefore w:val="0"/>
              <w:widowControl w:val="0"/>
              <w:kinsoku/>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仿宋_GB2312" w:cs="Times New Roman"/>
                <w:color w:val="auto"/>
                <w:sz w:val="28"/>
                <w:szCs w:val="28"/>
                <w:highlight w:val="none"/>
                <w:vertAlign w:val="baseline"/>
                <w:lang w:val="en-US" w:eastAsia="zh-CN"/>
              </w:rPr>
            </w:pPr>
            <w:r>
              <w:rPr>
                <w:rFonts w:hint="default" w:ascii="Times New Roman" w:hAnsi="Times New Roman" w:eastAsia="仿宋_GB2312" w:cs="Times New Roman"/>
                <w:color w:val="auto"/>
                <w:sz w:val="28"/>
                <w:szCs w:val="28"/>
                <w:highlight w:val="none"/>
                <w:vertAlign w:val="baseline"/>
                <w:lang w:val="en-US" w:eastAsia="zh-CN"/>
              </w:rPr>
              <w:t>全程</w:t>
            </w:r>
          </w:p>
        </w:tc>
        <w:tc>
          <w:tcPr>
            <w:tcW w:w="1068" w:type="dxa"/>
            <w:vAlign w:val="center"/>
          </w:tcPr>
          <w:p w14:paraId="194CA02A">
            <w:pPr>
              <w:keepNext w:val="0"/>
              <w:keepLines w:val="0"/>
              <w:pageBreakBefore w:val="0"/>
              <w:widowControl w:val="0"/>
              <w:kinsoku/>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仿宋_GB2312" w:cs="Times New Roman"/>
                <w:color w:val="auto"/>
                <w:sz w:val="28"/>
                <w:szCs w:val="28"/>
                <w:highlight w:val="none"/>
                <w:vertAlign w:val="baseline"/>
                <w:lang w:val="en-US" w:eastAsia="zh-CN"/>
              </w:rPr>
            </w:pPr>
            <w:r>
              <w:rPr>
                <w:rFonts w:hint="default" w:ascii="Times New Roman" w:hAnsi="Times New Roman" w:eastAsia="仿宋_GB2312" w:cs="Times New Roman"/>
                <w:color w:val="auto"/>
                <w:sz w:val="28"/>
                <w:szCs w:val="28"/>
                <w:highlight w:val="none"/>
                <w:vertAlign w:val="baseline"/>
                <w:lang w:val="en-US" w:eastAsia="zh-CN"/>
              </w:rPr>
              <w:t>26元</w:t>
            </w:r>
          </w:p>
        </w:tc>
        <w:tc>
          <w:tcPr>
            <w:tcW w:w="2162" w:type="dxa"/>
            <w:shd w:val="clear" w:color="auto" w:fill="auto"/>
            <w:vAlign w:val="center"/>
          </w:tcPr>
          <w:p w14:paraId="688B8C4E">
            <w:pPr>
              <w:keepNext w:val="0"/>
              <w:keepLines w:val="0"/>
              <w:pageBreakBefore w:val="0"/>
              <w:widowControl w:val="0"/>
              <w:kinsoku/>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仿宋_GB2312" w:cs="Times New Roman"/>
                <w:snapToGrid w:val="0"/>
                <w:color w:val="auto"/>
                <w:kern w:val="0"/>
                <w:sz w:val="28"/>
                <w:szCs w:val="28"/>
                <w:highlight w:val="none"/>
                <w:vertAlign w:val="baseline"/>
                <w:lang w:val="en-US" w:eastAsia="zh-CN" w:bidi="ar-SA"/>
              </w:rPr>
            </w:pPr>
            <w:r>
              <w:rPr>
                <w:rFonts w:hint="default" w:ascii="Times New Roman" w:hAnsi="Times New Roman" w:eastAsia="仿宋_GB2312" w:cs="Times New Roman"/>
                <w:color w:val="auto"/>
                <w:sz w:val="28"/>
                <w:szCs w:val="28"/>
                <w:highlight w:val="none"/>
                <w:vertAlign w:val="baseline"/>
                <w:lang w:val="en-US" w:eastAsia="zh-CN"/>
              </w:rPr>
              <w:t>全程</w:t>
            </w:r>
          </w:p>
        </w:tc>
        <w:tc>
          <w:tcPr>
            <w:tcW w:w="1060" w:type="dxa"/>
            <w:shd w:val="clear" w:color="auto" w:fill="auto"/>
            <w:vAlign w:val="center"/>
          </w:tcPr>
          <w:p w14:paraId="3D35F7EE">
            <w:pPr>
              <w:keepNext w:val="0"/>
              <w:keepLines w:val="0"/>
              <w:pageBreakBefore w:val="0"/>
              <w:widowControl w:val="0"/>
              <w:kinsoku/>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仿宋_GB2312" w:cs="Times New Roman"/>
                <w:snapToGrid w:val="0"/>
                <w:color w:val="auto"/>
                <w:kern w:val="0"/>
                <w:sz w:val="28"/>
                <w:szCs w:val="28"/>
                <w:highlight w:val="none"/>
                <w:vertAlign w:val="baseline"/>
                <w:lang w:val="en-US" w:eastAsia="zh-CN" w:bidi="ar-SA"/>
              </w:rPr>
            </w:pPr>
            <w:r>
              <w:rPr>
                <w:rFonts w:hint="default" w:ascii="Times New Roman" w:hAnsi="Times New Roman" w:eastAsia="仿宋_GB2312" w:cs="Times New Roman"/>
                <w:color w:val="auto"/>
                <w:sz w:val="28"/>
                <w:szCs w:val="28"/>
                <w:highlight w:val="none"/>
                <w:vertAlign w:val="baseline"/>
                <w:lang w:val="en-US" w:eastAsia="zh-CN"/>
              </w:rPr>
              <w:t>27.2元</w:t>
            </w:r>
          </w:p>
        </w:tc>
      </w:tr>
    </w:tbl>
    <w:p w14:paraId="19218AC8">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lang w:eastAsia="zh-CN"/>
        </w:rPr>
        <w:t>六</w:t>
      </w:r>
      <w:r>
        <w:rPr>
          <w:rFonts w:hint="default" w:ascii="Times New Roman" w:hAnsi="Times New Roman" w:eastAsia="黑体" w:cs="Times New Roman"/>
          <w:color w:val="auto"/>
          <w:sz w:val="32"/>
          <w:szCs w:val="32"/>
          <w:highlight w:val="none"/>
        </w:rPr>
        <w:t>、</w:t>
      </w:r>
      <w:r>
        <w:rPr>
          <w:rFonts w:hint="default" w:ascii="Times New Roman" w:hAnsi="Times New Roman" w:eastAsia="黑体" w:cs="Times New Roman"/>
          <w:color w:val="auto"/>
          <w:sz w:val="32"/>
          <w:szCs w:val="32"/>
          <w:highlight w:val="none"/>
          <w:lang w:eastAsia="zh-CN"/>
        </w:rPr>
        <w:t>周边</w:t>
      </w:r>
      <w:r>
        <w:rPr>
          <w:rFonts w:hint="default" w:ascii="Times New Roman" w:hAnsi="Times New Roman" w:eastAsia="黑体" w:cs="Times New Roman"/>
          <w:color w:val="auto"/>
          <w:sz w:val="32"/>
          <w:szCs w:val="32"/>
          <w:highlight w:val="none"/>
        </w:rPr>
        <w:t>知名景区观光车价格对比表</w:t>
      </w:r>
    </w:p>
    <w:p w14:paraId="521D8034">
      <w:pPr>
        <w:keepNext w:val="0"/>
        <w:keepLines w:val="0"/>
        <w:pageBreakBefore w:val="0"/>
        <w:widowControl w:val="0"/>
        <w:kinsoku/>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color w:val="auto"/>
          <w:sz w:val="28"/>
          <w:szCs w:val="28"/>
          <w:highlight w:val="none"/>
          <w:lang w:eastAsia="zh-CN"/>
        </w:rPr>
        <w:t>表</w:t>
      </w:r>
      <w:r>
        <w:rPr>
          <w:rFonts w:hint="default" w:ascii="Times New Roman" w:hAnsi="Times New Roman" w:eastAsia="仿宋_GB2312" w:cs="Times New Roman"/>
          <w:color w:val="auto"/>
          <w:sz w:val="28"/>
          <w:szCs w:val="28"/>
          <w:highlight w:val="none"/>
          <w:lang w:val="en-US" w:eastAsia="zh-CN"/>
        </w:rPr>
        <w:t xml:space="preserve">2 </w:t>
      </w:r>
      <w:r>
        <w:rPr>
          <w:rFonts w:hint="eastAsia" w:ascii="Times New Roman" w:hAnsi="Times New Roman" w:eastAsia="仿宋_GB2312" w:cs="Times New Roman"/>
          <w:color w:val="auto"/>
          <w:sz w:val="28"/>
          <w:szCs w:val="28"/>
          <w:highlight w:val="none"/>
          <w:lang w:val="en-US" w:eastAsia="zh-CN"/>
        </w:rPr>
        <w:t xml:space="preserve"> </w:t>
      </w:r>
      <w:r>
        <w:rPr>
          <w:rFonts w:hint="default" w:ascii="Times New Roman" w:hAnsi="Times New Roman" w:eastAsia="仿宋_GB2312" w:cs="Times New Roman"/>
          <w:color w:val="auto"/>
          <w:sz w:val="28"/>
          <w:szCs w:val="28"/>
          <w:highlight w:val="none"/>
          <w:lang w:eastAsia="zh-CN"/>
        </w:rPr>
        <w:t>周边知名景区观光车价格对比表</w:t>
      </w:r>
    </w:p>
    <w:tbl>
      <w:tblPr>
        <w:tblStyle w:val="10"/>
        <w:tblW w:w="851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61"/>
        <w:gridCol w:w="1088"/>
        <w:gridCol w:w="2087"/>
        <w:gridCol w:w="1463"/>
        <w:gridCol w:w="2012"/>
      </w:tblGrid>
      <w:tr w14:paraId="3E43F1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5" w:hRule="atLeast"/>
        </w:trPr>
        <w:tc>
          <w:tcPr>
            <w:tcW w:w="1861" w:type="dxa"/>
            <w:vAlign w:val="center"/>
          </w:tcPr>
          <w:p w14:paraId="57578BDC">
            <w:pPr>
              <w:keepNext w:val="0"/>
              <w:keepLines w:val="0"/>
              <w:pageBreakBefore w:val="0"/>
              <w:widowControl w:val="0"/>
              <w:kinsoku/>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景区名称</w:t>
            </w:r>
          </w:p>
        </w:tc>
        <w:tc>
          <w:tcPr>
            <w:tcW w:w="1088" w:type="dxa"/>
            <w:vAlign w:val="center"/>
          </w:tcPr>
          <w:p w14:paraId="0792B9F2">
            <w:pPr>
              <w:keepNext w:val="0"/>
              <w:keepLines w:val="0"/>
              <w:pageBreakBefore w:val="0"/>
              <w:widowControl w:val="0"/>
              <w:kinsoku/>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所在地</w:t>
            </w:r>
          </w:p>
        </w:tc>
        <w:tc>
          <w:tcPr>
            <w:tcW w:w="2087" w:type="dxa"/>
            <w:vAlign w:val="center"/>
          </w:tcPr>
          <w:p w14:paraId="442B263F">
            <w:pPr>
              <w:keepNext w:val="0"/>
              <w:keepLines w:val="0"/>
              <w:pageBreakBefore w:val="0"/>
              <w:widowControl w:val="0"/>
              <w:kinsoku/>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观光车票价</w:t>
            </w:r>
          </w:p>
        </w:tc>
        <w:tc>
          <w:tcPr>
            <w:tcW w:w="1463" w:type="dxa"/>
            <w:vAlign w:val="center"/>
          </w:tcPr>
          <w:p w14:paraId="790FFD5E">
            <w:pPr>
              <w:keepNext w:val="0"/>
              <w:keepLines w:val="0"/>
              <w:pageBreakBefore w:val="0"/>
              <w:widowControl w:val="0"/>
              <w:kinsoku/>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线路里程</w:t>
            </w:r>
          </w:p>
        </w:tc>
        <w:tc>
          <w:tcPr>
            <w:tcW w:w="2012" w:type="dxa"/>
            <w:vAlign w:val="center"/>
          </w:tcPr>
          <w:p w14:paraId="3479C963">
            <w:pPr>
              <w:keepNext w:val="0"/>
              <w:keepLines w:val="0"/>
              <w:pageBreakBefore w:val="0"/>
              <w:widowControl w:val="0"/>
              <w:kinsoku/>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每人每公里票价</w:t>
            </w:r>
          </w:p>
        </w:tc>
      </w:tr>
      <w:tr w14:paraId="3EB8F1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6" w:hRule="atLeast"/>
        </w:trPr>
        <w:tc>
          <w:tcPr>
            <w:tcW w:w="1861" w:type="dxa"/>
            <w:vMerge w:val="restart"/>
            <w:tcBorders>
              <w:bottom w:val="nil"/>
            </w:tcBorders>
            <w:vAlign w:val="center"/>
          </w:tcPr>
          <w:p w14:paraId="3D902224">
            <w:pPr>
              <w:keepNext w:val="0"/>
              <w:keepLines w:val="0"/>
              <w:pageBreakBefore w:val="0"/>
              <w:widowControl w:val="0"/>
              <w:kinsoku/>
              <w:wordWrap/>
              <w:overflowPunct/>
              <w:topLinePunct w:val="0"/>
              <w:autoSpaceDE w:val="0"/>
              <w:autoSpaceDN w:val="0"/>
              <w:bidi w:val="0"/>
              <w:adjustRightInd w:val="0"/>
              <w:snapToGrid w:val="0"/>
              <w:spacing w:line="560" w:lineRule="exact"/>
              <w:jc w:val="both"/>
              <w:textAlignment w:val="baseline"/>
              <w:rPr>
                <w:rFonts w:hint="default" w:ascii="Times New Roman" w:hAnsi="Times New Roman" w:eastAsia="仿宋_GB2312" w:cs="Times New Roman"/>
                <w:color w:val="auto"/>
                <w:sz w:val="28"/>
                <w:szCs w:val="28"/>
                <w:highlight w:val="none"/>
              </w:rPr>
            </w:pPr>
          </w:p>
          <w:p w14:paraId="6BA8275A">
            <w:pPr>
              <w:keepNext w:val="0"/>
              <w:keepLines w:val="0"/>
              <w:pageBreakBefore w:val="0"/>
              <w:widowControl w:val="0"/>
              <w:kinsoku/>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白云山风景区</w:t>
            </w:r>
          </w:p>
          <w:p w14:paraId="079E7AB2">
            <w:pPr>
              <w:keepNext w:val="0"/>
              <w:keepLines w:val="0"/>
              <w:pageBreakBefore w:val="0"/>
              <w:widowControl w:val="0"/>
              <w:kinsoku/>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（5A）</w:t>
            </w:r>
          </w:p>
        </w:tc>
        <w:tc>
          <w:tcPr>
            <w:tcW w:w="1088" w:type="dxa"/>
            <w:vMerge w:val="restart"/>
            <w:tcBorders>
              <w:bottom w:val="nil"/>
            </w:tcBorders>
            <w:vAlign w:val="center"/>
          </w:tcPr>
          <w:p w14:paraId="09E8BB14">
            <w:pPr>
              <w:keepNext w:val="0"/>
              <w:keepLines w:val="0"/>
              <w:pageBreakBefore w:val="0"/>
              <w:widowControl w:val="0"/>
              <w:kinsoku/>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广州市</w:t>
            </w:r>
          </w:p>
        </w:tc>
        <w:tc>
          <w:tcPr>
            <w:tcW w:w="2087" w:type="dxa"/>
            <w:vAlign w:val="center"/>
          </w:tcPr>
          <w:p w14:paraId="763BEC1D">
            <w:pPr>
              <w:keepNext w:val="0"/>
              <w:keepLines w:val="0"/>
              <w:pageBreakBefore w:val="0"/>
              <w:widowControl w:val="0"/>
              <w:kinsoku/>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A 线单程 25元</w:t>
            </w:r>
          </w:p>
        </w:tc>
        <w:tc>
          <w:tcPr>
            <w:tcW w:w="1463" w:type="dxa"/>
            <w:vAlign w:val="center"/>
          </w:tcPr>
          <w:p w14:paraId="496F472F">
            <w:pPr>
              <w:keepNext w:val="0"/>
              <w:keepLines w:val="0"/>
              <w:pageBreakBefore w:val="0"/>
              <w:widowControl w:val="0"/>
              <w:kinsoku/>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3.2km</w:t>
            </w:r>
          </w:p>
        </w:tc>
        <w:tc>
          <w:tcPr>
            <w:tcW w:w="2012" w:type="dxa"/>
            <w:vAlign w:val="center"/>
          </w:tcPr>
          <w:p w14:paraId="1C7A2C07">
            <w:pPr>
              <w:keepNext w:val="0"/>
              <w:keepLines w:val="0"/>
              <w:pageBreakBefore w:val="0"/>
              <w:widowControl w:val="0"/>
              <w:kinsoku/>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sz w:val="28"/>
                <w:szCs w:val="28"/>
                <w:lang w:val="en-US" w:eastAsia="zh-CN"/>
              </w:rPr>
              <w:t>7.8元</w:t>
            </w:r>
          </w:p>
        </w:tc>
      </w:tr>
      <w:tr w14:paraId="627D0F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6" w:hRule="atLeast"/>
        </w:trPr>
        <w:tc>
          <w:tcPr>
            <w:tcW w:w="1861" w:type="dxa"/>
            <w:vMerge w:val="continue"/>
            <w:tcBorders>
              <w:top w:val="nil"/>
              <w:bottom w:val="nil"/>
            </w:tcBorders>
            <w:vAlign w:val="center"/>
          </w:tcPr>
          <w:p w14:paraId="71B6A2F8">
            <w:pPr>
              <w:keepNext w:val="0"/>
              <w:keepLines w:val="0"/>
              <w:pageBreakBefore w:val="0"/>
              <w:widowControl w:val="0"/>
              <w:kinsoku/>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仿宋_GB2312" w:cs="Times New Roman"/>
                <w:color w:val="auto"/>
                <w:sz w:val="28"/>
                <w:szCs w:val="28"/>
                <w:highlight w:val="none"/>
              </w:rPr>
            </w:pPr>
          </w:p>
        </w:tc>
        <w:tc>
          <w:tcPr>
            <w:tcW w:w="1088" w:type="dxa"/>
            <w:vMerge w:val="continue"/>
            <w:tcBorders>
              <w:top w:val="nil"/>
              <w:bottom w:val="nil"/>
            </w:tcBorders>
            <w:vAlign w:val="center"/>
          </w:tcPr>
          <w:p w14:paraId="45C0843D">
            <w:pPr>
              <w:keepNext w:val="0"/>
              <w:keepLines w:val="0"/>
              <w:pageBreakBefore w:val="0"/>
              <w:widowControl w:val="0"/>
              <w:kinsoku/>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仿宋_GB2312" w:cs="Times New Roman"/>
                <w:color w:val="auto"/>
                <w:sz w:val="28"/>
                <w:szCs w:val="28"/>
                <w:highlight w:val="none"/>
              </w:rPr>
            </w:pPr>
          </w:p>
        </w:tc>
        <w:tc>
          <w:tcPr>
            <w:tcW w:w="2087" w:type="dxa"/>
            <w:vAlign w:val="center"/>
          </w:tcPr>
          <w:p w14:paraId="0979EA1D">
            <w:pPr>
              <w:keepNext w:val="0"/>
              <w:keepLines w:val="0"/>
              <w:pageBreakBefore w:val="0"/>
              <w:widowControl w:val="0"/>
              <w:kinsoku/>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B 线单程 20 元</w:t>
            </w:r>
          </w:p>
        </w:tc>
        <w:tc>
          <w:tcPr>
            <w:tcW w:w="1463" w:type="dxa"/>
            <w:vAlign w:val="center"/>
          </w:tcPr>
          <w:p w14:paraId="54D6AA0C">
            <w:pPr>
              <w:keepNext w:val="0"/>
              <w:keepLines w:val="0"/>
              <w:pageBreakBefore w:val="0"/>
              <w:widowControl w:val="0"/>
              <w:kinsoku/>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5.5km</w:t>
            </w:r>
          </w:p>
        </w:tc>
        <w:tc>
          <w:tcPr>
            <w:tcW w:w="2012" w:type="dxa"/>
            <w:vAlign w:val="center"/>
          </w:tcPr>
          <w:p w14:paraId="7EE0EB44">
            <w:pPr>
              <w:keepNext w:val="0"/>
              <w:keepLines w:val="0"/>
              <w:pageBreakBefore w:val="0"/>
              <w:widowControl w:val="0"/>
              <w:kinsoku/>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sz w:val="28"/>
                <w:szCs w:val="28"/>
                <w:lang w:val="en-US" w:eastAsia="zh-CN"/>
              </w:rPr>
              <w:t>3.6元</w:t>
            </w:r>
          </w:p>
        </w:tc>
      </w:tr>
      <w:tr w14:paraId="1ABF6E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5" w:hRule="atLeast"/>
        </w:trPr>
        <w:tc>
          <w:tcPr>
            <w:tcW w:w="1861" w:type="dxa"/>
            <w:vMerge w:val="continue"/>
            <w:tcBorders>
              <w:top w:val="nil"/>
              <w:bottom w:val="nil"/>
            </w:tcBorders>
            <w:vAlign w:val="center"/>
          </w:tcPr>
          <w:p w14:paraId="6E84909E">
            <w:pPr>
              <w:keepNext w:val="0"/>
              <w:keepLines w:val="0"/>
              <w:pageBreakBefore w:val="0"/>
              <w:widowControl w:val="0"/>
              <w:kinsoku/>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仿宋_GB2312" w:cs="Times New Roman"/>
                <w:color w:val="auto"/>
                <w:sz w:val="28"/>
                <w:szCs w:val="28"/>
                <w:highlight w:val="none"/>
              </w:rPr>
            </w:pPr>
          </w:p>
        </w:tc>
        <w:tc>
          <w:tcPr>
            <w:tcW w:w="1088" w:type="dxa"/>
            <w:vMerge w:val="continue"/>
            <w:tcBorders>
              <w:top w:val="nil"/>
              <w:bottom w:val="nil"/>
            </w:tcBorders>
            <w:vAlign w:val="center"/>
          </w:tcPr>
          <w:p w14:paraId="729DAE46">
            <w:pPr>
              <w:keepNext w:val="0"/>
              <w:keepLines w:val="0"/>
              <w:pageBreakBefore w:val="0"/>
              <w:widowControl w:val="0"/>
              <w:kinsoku/>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仿宋_GB2312" w:cs="Times New Roman"/>
                <w:color w:val="auto"/>
                <w:sz w:val="28"/>
                <w:szCs w:val="28"/>
                <w:highlight w:val="none"/>
              </w:rPr>
            </w:pPr>
          </w:p>
        </w:tc>
        <w:tc>
          <w:tcPr>
            <w:tcW w:w="2087" w:type="dxa"/>
            <w:vAlign w:val="center"/>
          </w:tcPr>
          <w:p w14:paraId="62ADC8F2">
            <w:pPr>
              <w:keepNext w:val="0"/>
              <w:keepLines w:val="0"/>
              <w:pageBreakBefore w:val="0"/>
              <w:widowControl w:val="0"/>
              <w:kinsoku/>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C 线单程 10 元</w:t>
            </w:r>
          </w:p>
        </w:tc>
        <w:tc>
          <w:tcPr>
            <w:tcW w:w="1463" w:type="dxa"/>
            <w:vAlign w:val="center"/>
          </w:tcPr>
          <w:p w14:paraId="4BDA3F77">
            <w:pPr>
              <w:keepNext w:val="0"/>
              <w:keepLines w:val="0"/>
              <w:pageBreakBefore w:val="0"/>
              <w:widowControl w:val="0"/>
              <w:kinsoku/>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3km</w:t>
            </w:r>
          </w:p>
        </w:tc>
        <w:tc>
          <w:tcPr>
            <w:tcW w:w="2012" w:type="dxa"/>
            <w:vAlign w:val="center"/>
          </w:tcPr>
          <w:p w14:paraId="7B2E57D1">
            <w:pPr>
              <w:keepNext w:val="0"/>
              <w:keepLines w:val="0"/>
              <w:pageBreakBefore w:val="0"/>
              <w:widowControl w:val="0"/>
              <w:kinsoku/>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sz w:val="28"/>
                <w:szCs w:val="28"/>
                <w:lang w:val="en-US" w:eastAsia="zh-CN"/>
              </w:rPr>
              <w:t>3.3元</w:t>
            </w:r>
          </w:p>
        </w:tc>
      </w:tr>
      <w:tr w14:paraId="5C2114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6" w:hRule="atLeast"/>
        </w:trPr>
        <w:tc>
          <w:tcPr>
            <w:tcW w:w="1861" w:type="dxa"/>
            <w:vMerge w:val="continue"/>
            <w:tcBorders>
              <w:top w:val="nil"/>
            </w:tcBorders>
            <w:vAlign w:val="center"/>
          </w:tcPr>
          <w:p w14:paraId="743BF821">
            <w:pPr>
              <w:keepNext w:val="0"/>
              <w:keepLines w:val="0"/>
              <w:pageBreakBefore w:val="0"/>
              <w:widowControl w:val="0"/>
              <w:kinsoku/>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仿宋_GB2312" w:cs="Times New Roman"/>
                <w:color w:val="auto"/>
                <w:sz w:val="28"/>
                <w:szCs w:val="28"/>
                <w:highlight w:val="none"/>
              </w:rPr>
            </w:pPr>
          </w:p>
        </w:tc>
        <w:tc>
          <w:tcPr>
            <w:tcW w:w="1088" w:type="dxa"/>
            <w:vMerge w:val="continue"/>
            <w:tcBorders>
              <w:top w:val="nil"/>
            </w:tcBorders>
            <w:vAlign w:val="center"/>
          </w:tcPr>
          <w:p w14:paraId="269A6D06">
            <w:pPr>
              <w:keepNext w:val="0"/>
              <w:keepLines w:val="0"/>
              <w:pageBreakBefore w:val="0"/>
              <w:widowControl w:val="0"/>
              <w:kinsoku/>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仿宋_GB2312" w:cs="Times New Roman"/>
                <w:color w:val="auto"/>
                <w:sz w:val="28"/>
                <w:szCs w:val="28"/>
                <w:highlight w:val="none"/>
              </w:rPr>
            </w:pPr>
          </w:p>
        </w:tc>
        <w:tc>
          <w:tcPr>
            <w:tcW w:w="2087" w:type="dxa"/>
            <w:vAlign w:val="center"/>
          </w:tcPr>
          <w:p w14:paraId="474B062B">
            <w:pPr>
              <w:keepNext w:val="0"/>
              <w:keepLines w:val="0"/>
              <w:pageBreakBefore w:val="0"/>
              <w:widowControl w:val="0"/>
              <w:kinsoku/>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D 线单程 10 元</w:t>
            </w:r>
          </w:p>
        </w:tc>
        <w:tc>
          <w:tcPr>
            <w:tcW w:w="1463" w:type="dxa"/>
            <w:vAlign w:val="center"/>
          </w:tcPr>
          <w:p w14:paraId="163F8C50">
            <w:pPr>
              <w:keepNext w:val="0"/>
              <w:keepLines w:val="0"/>
              <w:pageBreakBefore w:val="0"/>
              <w:widowControl w:val="0"/>
              <w:kinsoku/>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2km</w:t>
            </w:r>
          </w:p>
        </w:tc>
        <w:tc>
          <w:tcPr>
            <w:tcW w:w="2012" w:type="dxa"/>
            <w:vAlign w:val="center"/>
          </w:tcPr>
          <w:p w14:paraId="10B7DCCE">
            <w:pPr>
              <w:keepNext w:val="0"/>
              <w:keepLines w:val="0"/>
              <w:pageBreakBefore w:val="0"/>
              <w:widowControl w:val="0"/>
              <w:kinsoku/>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sz w:val="28"/>
                <w:szCs w:val="28"/>
                <w:lang w:val="en-US" w:eastAsia="zh-CN"/>
              </w:rPr>
              <w:t>5元</w:t>
            </w:r>
          </w:p>
        </w:tc>
      </w:tr>
      <w:tr w14:paraId="3BFC45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30" w:hRule="atLeast"/>
        </w:trPr>
        <w:tc>
          <w:tcPr>
            <w:tcW w:w="1861" w:type="dxa"/>
            <w:vAlign w:val="center"/>
          </w:tcPr>
          <w:p w14:paraId="789E93CF">
            <w:pPr>
              <w:keepNext w:val="0"/>
              <w:keepLines w:val="0"/>
              <w:pageBreakBefore w:val="0"/>
              <w:widowControl w:val="0"/>
              <w:kinsoku/>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观音山旅游风景区（4A）</w:t>
            </w:r>
          </w:p>
        </w:tc>
        <w:tc>
          <w:tcPr>
            <w:tcW w:w="1088" w:type="dxa"/>
            <w:vAlign w:val="center"/>
          </w:tcPr>
          <w:p w14:paraId="09777774">
            <w:pPr>
              <w:keepNext w:val="0"/>
              <w:keepLines w:val="0"/>
              <w:pageBreakBefore w:val="0"/>
              <w:widowControl w:val="0"/>
              <w:kinsoku/>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东莞市</w:t>
            </w:r>
          </w:p>
        </w:tc>
        <w:tc>
          <w:tcPr>
            <w:tcW w:w="2087" w:type="dxa"/>
            <w:vAlign w:val="center"/>
          </w:tcPr>
          <w:p w14:paraId="378BE659">
            <w:pPr>
              <w:keepNext w:val="0"/>
              <w:keepLines w:val="0"/>
              <w:pageBreakBefore w:val="0"/>
              <w:widowControl w:val="0"/>
              <w:kinsoku/>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单程 30 元</w:t>
            </w:r>
          </w:p>
        </w:tc>
        <w:tc>
          <w:tcPr>
            <w:tcW w:w="1463" w:type="dxa"/>
            <w:vAlign w:val="center"/>
          </w:tcPr>
          <w:p w14:paraId="77C776AF">
            <w:pPr>
              <w:keepNext w:val="0"/>
              <w:keepLines w:val="0"/>
              <w:pageBreakBefore w:val="0"/>
              <w:widowControl w:val="0"/>
              <w:kinsoku/>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6km</w:t>
            </w:r>
          </w:p>
        </w:tc>
        <w:tc>
          <w:tcPr>
            <w:tcW w:w="2012" w:type="dxa"/>
            <w:vAlign w:val="center"/>
          </w:tcPr>
          <w:p w14:paraId="37632D2F">
            <w:pPr>
              <w:keepNext w:val="0"/>
              <w:keepLines w:val="0"/>
              <w:pageBreakBefore w:val="0"/>
              <w:widowControl w:val="0"/>
              <w:kinsoku/>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sz w:val="28"/>
                <w:szCs w:val="28"/>
                <w:lang w:val="en-US" w:eastAsia="zh-CN"/>
              </w:rPr>
              <w:t>5元</w:t>
            </w:r>
          </w:p>
        </w:tc>
      </w:tr>
      <w:tr w14:paraId="5D5103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09" w:hRule="atLeast"/>
        </w:trPr>
        <w:tc>
          <w:tcPr>
            <w:tcW w:w="1861" w:type="dxa"/>
            <w:vAlign w:val="center"/>
          </w:tcPr>
          <w:p w14:paraId="23916B0C">
            <w:pPr>
              <w:keepNext w:val="0"/>
              <w:keepLines w:val="0"/>
              <w:pageBreakBefore w:val="0"/>
              <w:widowControl w:val="0"/>
              <w:kinsoku/>
              <w:wordWrap/>
              <w:overflowPunct/>
              <w:topLinePunct w:val="0"/>
              <w:bidi w:val="0"/>
              <w:jc w:val="center"/>
              <w:rPr>
                <w:rFonts w:hint="default" w:ascii="Times New Roman" w:hAnsi="Times New Roman" w:eastAsia="仿宋_GB2312" w:cs="Times New Roman"/>
                <w:color w:val="auto"/>
                <w:sz w:val="28"/>
                <w:szCs w:val="28"/>
                <w:highlight w:val="none"/>
                <w:lang w:eastAsia="zh-CN"/>
              </w:rPr>
            </w:pPr>
            <w:r>
              <w:rPr>
                <w:rFonts w:hint="default" w:ascii="Times New Roman" w:hAnsi="Times New Roman" w:eastAsia="仿宋_GB2312" w:cs="Times New Roman"/>
                <w:color w:val="auto"/>
                <w:sz w:val="28"/>
                <w:szCs w:val="28"/>
              </w:rPr>
              <w:t>流溪河国家森林公园</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val="en-US" w:eastAsia="zh-CN"/>
              </w:rPr>
              <w:t>3A</w:t>
            </w:r>
            <w:r>
              <w:rPr>
                <w:rFonts w:hint="default" w:ascii="Times New Roman" w:hAnsi="Times New Roman" w:eastAsia="仿宋_GB2312" w:cs="Times New Roman"/>
                <w:color w:val="auto"/>
                <w:sz w:val="28"/>
                <w:szCs w:val="28"/>
                <w:lang w:eastAsia="zh-CN"/>
              </w:rPr>
              <w:t>）</w:t>
            </w:r>
          </w:p>
        </w:tc>
        <w:tc>
          <w:tcPr>
            <w:tcW w:w="1088" w:type="dxa"/>
            <w:vMerge w:val="restart"/>
            <w:vAlign w:val="center"/>
          </w:tcPr>
          <w:p w14:paraId="43C30A80">
            <w:pPr>
              <w:keepNext w:val="0"/>
              <w:keepLines w:val="0"/>
              <w:pageBreakBefore w:val="0"/>
              <w:widowControl w:val="0"/>
              <w:kinsoku/>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sz w:val="28"/>
                <w:szCs w:val="28"/>
                <w:lang w:val="en-US" w:eastAsia="zh-CN"/>
              </w:rPr>
              <w:t>广州市</w:t>
            </w:r>
          </w:p>
        </w:tc>
        <w:tc>
          <w:tcPr>
            <w:tcW w:w="2087" w:type="dxa"/>
            <w:vAlign w:val="center"/>
          </w:tcPr>
          <w:p w14:paraId="1EA8BB31">
            <w:pPr>
              <w:keepNext w:val="0"/>
              <w:keepLines w:val="0"/>
              <w:pageBreakBefore w:val="0"/>
              <w:widowControl w:val="0"/>
              <w:kinsoku/>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sz w:val="28"/>
                <w:szCs w:val="28"/>
                <w:lang w:val="en-US" w:eastAsia="zh-CN"/>
              </w:rPr>
              <w:t>单程 4 元</w:t>
            </w:r>
          </w:p>
        </w:tc>
        <w:tc>
          <w:tcPr>
            <w:tcW w:w="1463" w:type="dxa"/>
            <w:vAlign w:val="center"/>
          </w:tcPr>
          <w:p w14:paraId="2F13EC58">
            <w:pPr>
              <w:keepNext w:val="0"/>
              <w:keepLines w:val="0"/>
              <w:pageBreakBefore w:val="0"/>
              <w:widowControl w:val="0"/>
              <w:kinsoku/>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sz w:val="28"/>
                <w:szCs w:val="28"/>
                <w:lang w:val="en-US" w:eastAsia="zh-CN"/>
              </w:rPr>
              <w:t>1.3</w:t>
            </w:r>
            <w:r>
              <w:rPr>
                <w:rFonts w:hint="default" w:ascii="Times New Roman" w:hAnsi="Times New Roman" w:eastAsia="仿宋_GB2312" w:cs="Times New Roman"/>
                <w:sz w:val="28"/>
                <w:szCs w:val="28"/>
              </w:rPr>
              <w:t>km</w:t>
            </w:r>
          </w:p>
        </w:tc>
        <w:tc>
          <w:tcPr>
            <w:tcW w:w="2012" w:type="dxa"/>
            <w:vAlign w:val="center"/>
          </w:tcPr>
          <w:p w14:paraId="6A970114">
            <w:pPr>
              <w:keepNext w:val="0"/>
              <w:keepLines w:val="0"/>
              <w:pageBreakBefore w:val="0"/>
              <w:widowControl w:val="0"/>
              <w:kinsoku/>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sz w:val="28"/>
                <w:szCs w:val="28"/>
                <w:lang w:val="en-US" w:eastAsia="zh-CN"/>
              </w:rPr>
              <w:t>3.08元</w:t>
            </w:r>
          </w:p>
        </w:tc>
      </w:tr>
      <w:tr w14:paraId="002A08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1861" w:type="dxa"/>
            <w:vAlign w:val="center"/>
          </w:tcPr>
          <w:p w14:paraId="78333F9D">
            <w:pPr>
              <w:keepNext w:val="0"/>
              <w:keepLines w:val="0"/>
              <w:pageBreakBefore w:val="0"/>
              <w:widowControl w:val="0"/>
              <w:kinsoku/>
              <w:wordWrap/>
              <w:overflowPunct/>
              <w:topLinePunct w:val="0"/>
              <w:bidi w:val="0"/>
              <w:jc w:val="center"/>
              <w:rPr>
                <w:rFonts w:hint="default" w:ascii="Times New Roman" w:hAnsi="Times New Roman" w:eastAsia="仿宋_GB2312" w:cs="Times New Roman"/>
                <w:color w:val="auto"/>
                <w:sz w:val="28"/>
                <w:szCs w:val="28"/>
                <w:highlight w:val="none"/>
                <w:lang w:eastAsia="zh-CN"/>
              </w:rPr>
            </w:pPr>
            <w:r>
              <w:rPr>
                <w:rFonts w:hint="default" w:ascii="Times New Roman" w:hAnsi="Times New Roman" w:eastAsia="仿宋_GB2312" w:cs="Times New Roman"/>
                <w:color w:val="auto"/>
                <w:sz w:val="28"/>
                <w:szCs w:val="28"/>
              </w:rPr>
              <w:t>石门国家森林公园</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val="en-US" w:eastAsia="zh-CN"/>
              </w:rPr>
              <w:t>4A</w:t>
            </w:r>
            <w:r>
              <w:rPr>
                <w:rFonts w:hint="default" w:ascii="Times New Roman" w:hAnsi="Times New Roman" w:eastAsia="仿宋_GB2312" w:cs="Times New Roman"/>
                <w:color w:val="auto"/>
                <w:sz w:val="28"/>
                <w:szCs w:val="28"/>
                <w:lang w:eastAsia="zh-CN"/>
              </w:rPr>
              <w:t>）</w:t>
            </w:r>
          </w:p>
        </w:tc>
        <w:tc>
          <w:tcPr>
            <w:tcW w:w="1088" w:type="dxa"/>
            <w:vMerge w:val="continue"/>
            <w:vAlign w:val="center"/>
          </w:tcPr>
          <w:p w14:paraId="5AB632EC">
            <w:pPr>
              <w:keepNext w:val="0"/>
              <w:keepLines w:val="0"/>
              <w:pageBreakBefore w:val="0"/>
              <w:widowControl w:val="0"/>
              <w:kinsoku/>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仿宋_GB2312" w:cs="Times New Roman"/>
                <w:color w:val="auto"/>
                <w:sz w:val="28"/>
                <w:szCs w:val="28"/>
                <w:highlight w:val="none"/>
              </w:rPr>
            </w:pPr>
          </w:p>
        </w:tc>
        <w:tc>
          <w:tcPr>
            <w:tcW w:w="2087" w:type="dxa"/>
            <w:vAlign w:val="center"/>
          </w:tcPr>
          <w:p w14:paraId="35EBAA14">
            <w:pPr>
              <w:keepNext w:val="0"/>
              <w:keepLines w:val="0"/>
              <w:pageBreakBefore w:val="0"/>
              <w:widowControl w:val="0"/>
              <w:kinsoku/>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sz w:val="28"/>
                <w:szCs w:val="28"/>
                <w:lang w:val="en-US" w:eastAsia="zh-CN"/>
              </w:rPr>
              <w:t>单程 5 元</w:t>
            </w:r>
          </w:p>
        </w:tc>
        <w:tc>
          <w:tcPr>
            <w:tcW w:w="1463" w:type="dxa"/>
            <w:vAlign w:val="center"/>
          </w:tcPr>
          <w:p w14:paraId="47EFFD91">
            <w:pPr>
              <w:keepNext w:val="0"/>
              <w:keepLines w:val="0"/>
              <w:pageBreakBefore w:val="0"/>
              <w:widowControl w:val="0"/>
              <w:kinsoku/>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sz w:val="28"/>
                <w:szCs w:val="28"/>
                <w:lang w:val="en-US" w:eastAsia="zh-CN"/>
              </w:rPr>
              <w:t>1.7</w:t>
            </w:r>
            <w:r>
              <w:rPr>
                <w:rFonts w:hint="default" w:ascii="Times New Roman" w:hAnsi="Times New Roman" w:eastAsia="仿宋_GB2312" w:cs="Times New Roman"/>
                <w:sz w:val="28"/>
                <w:szCs w:val="28"/>
              </w:rPr>
              <w:t>km</w:t>
            </w:r>
          </w:p>
        </w:tc>
        <w:tc>
          <w:tcPr>
            <w:tcW w:w="2012" w:type="dxa"/>
            <w:vAlign w:val="center"/>
          </w:tcPr>
          <w:p w14:paraId="28B5C67F">
            <w:pPr>
              <w:keepNext w:val="0"/>
              <w:keepLines w:val="0"/>
              <w:pageBreakBefore w:val="0"/>
              <w:widowControl w:val="0"/>
              <w:kinsoku/>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sz w:val="28"/>
                <w:szCs w:val="28"/>
                <w:lang w:val="en-US" w:eastAsia="zh-CN"/>
              </w:rPr>
              <w:t>2.94元</w:t>
            </w:r>
          </w:p>
        </w:tc>
      </w:tr>
    </w:tbl>
    <w:p w14:paraId="3F5F00A0">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lang w:val="en-US" w:eastAsia="zh-CN"/>
        </w:rPr>
        <w:t>七</w:t>
      </w:r>
      <w:r>
        <w:rPr>
          <w:rFonts w:hint="default" w:ascii="Times New Roman" w:hAnsi="Times New Roman" w:eastAsia="黑体" w:cs="Times New Roman"/>
          <w:color w:val="auto"/>
          <w:sz w:val="32"/>
          <w:szCs w:val="32"/>
          <w:highlight w:val="none"/>
        </w:rPr>
        <w:t>、拟定价格影响分析</w:t>
      </w:r>
    </w:p>
    <w:p w14:paraId="353AFBE9">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楷体_GB2312" w:cs="Times New Roman"/>
          <w:color w:val="auto"/>
          <w:sz w:val="32"/>
          <w:szCs w:val="32"/>
          <w:highlight w:val="none"/>
        </w:rPr>
      </w:pPr>
      <w:bookmarkStart w:id="0" w:name="_GoBack"/>
      <w:r>
        <w:rPr>
          <w:rFonts w:hint="default" w:ascii="Times New Roman" w:hAnsi="Times New Roman" w:eastAsia="楷体_GB2312" w:cs="Times New Roman"/>
          <w:color w:val="auto"/>
          <w:sz w:val="32"/>
          <w:szCs w:val="32"/>
          <w:highlight w:val="none"/>
        </w:rPr>
        <w:t>（一）对景区经营者的影响</w:t>
      </w:r>
    </w:p>
    <w:p w14:paraId="0EBCEFC7">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宋体" w:cs="Times New Roman"/>
          <w:lang w:eastAsia="zh-CN"/>
        </w:rPr>
      </w:pPr>
      <w:r>
        <w:rPr>
          <w:rFonts w:hint="default" w:ascii="Times New Roman" w:hAnsi="Times New Roman" w:eastAsia="仿宋_GB2312" w:cs="Times New Roman"/>
          <w:color w:val="auto"/>
          <w:sz w:val="32"/>
          <w:szCs w:val="32"/>
          <w:highlight w:val="none"/>
          <w:lang w:val="en-US" w:eastAsia="zh-CN"/>
        </w:rPr>
        <w:t xml:space="preserve">观光车的投放有助于提升运营管理与应急处置能力，推动景区对游客流量进行科学调控，避免园区出现过度拥挤的情况，既有利于守护生态环境，又能保障游客游览安全。此外，观光车可作为园区应急转运的工具，能够快速输送突发疾病或受伤的游客，显著提高景区的应急响应效率。同时，观光车所提供的无障碍接驳服务，符合现代旅游景区包容性发展的要求，有助于进一步提升景区的服务品质和市场口碑。 </w:t>
      </w:r>
    </w:p>
    <w:p w14:paraId="69FFC9F5">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楷体_GB2312" w:cs="Times New Roman"/>
          <w:color w:val="auto"/>
          <w:sz w:val="32"/>
          <w:szCs w:val="32"/>
          <w:highlight w:val="none"/>
        </w:rPr>
      </w:pPr>
      <w:r>
        <w:rPr>
          <w:rFonts w:hint="default" w:ascii="Times New Roman" w:hAnsi="Times New Roman" w:eastAsia="楷体_GB2312" w:cs="Times New Roman"/>
          <w:color w:val="auto"/>
          <w:sz w:val="32"/>
          <w:szCs w:val="32"/>
          <w:highlight w:val="none"/>
        </w:rPr>
        <w:t>（二）对游客的影响</w:t>
      </w:r>
    </w:p>
    <w:p w14:paraId="451CEC24">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val="en-US" w:eastAsia="zh-CN"/>
        </w:rPr>
        <w:t>观光车为游客自主选择的非强制性消费项目，拟定票价不会对游客整体旅游成本构成实质性负担，还能为不同需求游客提供差异化游览服务，有效缩短景区通达时间、节省体力，让游客更便捷地抵达各景点。同时，在恶劣天气下也能获得基础出行保障，规避自驾山区道路的安全风险，大幅提升游览的便利性、舒适度与安全性，让游客更好地沉浸式体验森林康养与景区风光。</w:t>
      </w:r>
      <w:bookmarkEnd w:id="0"/>
    </w:p>
    <w:sectPr>
      <w:footerReference r:id="rId5" w:type="default"/>
      <w:pgSz w:w="11906" w:h="16839"/>
      <w:pgMar w:top="2098" w:right="1474" w:bottom="1984" w:left="1587" w:header="0" w:footer="938" w:gutter="0"/>
      <w:pgNumType w:fmt="decimal"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A59A3BD-956E-40D4-AD52-50D40BEADAAA}"/>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0C9501D6-819C-48A2-AA1E-E1DDBA702B07}"/>
  </w:font>
  <w:font w:name="FangSong_GB2312">
    <w:altName w:val="仿宋_GB2312"/>
    <w:panose1 w:val="02010609030101010101"/>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embedRegular r:id="rId3" w:fontKey="{51766E3B-CE49-4B42-BBB8-32BBF26D2436}"/>
  </w:font>
  <w:font w:name="方正小标宋简体">
    <w:panose1 w:val="03000509000000000000"/>
    <w:charset w:val="86"/>
    <w:family w:val="auto"/>
    <w:pitch w:val="default"/>
    <w:sig w:usb0="00000001" w:usb1="080E0000" w:usb2="00000000" w:usb3="00000000" w:csb0="00040000" w:csb1="00000000"/>
    <w:embedRegular r:id="rId4" w:fontKey="{EC554C01-E75C-486F-A918-7982002A971F}"/>
  </w:font>
  <w:font w:name="楷体_GB2312">
    <w:panose1 w:val="02010609030101010101"/>
    <w:charset w:val="86"/>
    <w:family w:val="modern"/>
    <w:pitch w:val="default"/>
    <w:sig w:usb0="00000001" w:usb1="080E0000" w:usb2="00000000" w:usb3="00000000" w:csb0="00040000" w:csb1="00000000"/>
    <w:embedRegular r:id="rId5" w:fontKey="{E212671A-FECD-4A12-9887-3DC50F33417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42EFA0">
    <w:pPr>
      <w:spacing w:line="265" w:lineRule="exact"/>
      <w:ind w:left="4497"/>
      <w:rPr>
        <w:rFonts w:ascii="Calibri" w:hAnsi="Calibri" w:eastAsia="Calibri" w:cs="Calibri"/>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60FFFB">
                          <w:pPr>
                            <w:pStyle w:val="4"/>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F60FFFB">
                    <w:pPr>
                      <w:pStyle w:val="4"/>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embedTrueTypeFonts/>
  <w:saveSubsetFonts/>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01762D7"/>
    <w:rsid w:val="01FA65AD"/>
    <w:rsid w:val="022A6766"/>
    <w:rsid w:val="023968C9"/>
    <w:rsid w:val="03060647"/>
    <w:rsid w:val="06081A4B"/>
    <w:rsid w:val="07893F2F"/>
    <w:rsid w:val="07AA1705"/>
    <w:rsid w:val="07CC1ED0"/>
    <w:rsid w:val="07DD0873"/>
    <w:rsid w:val="07FB7E2E"/>
    <w:rsid w:val="088F2A51"/>
    <w:rsid w:val="08C26A84"/>
    <w:rsid w:val="09537EE3"/>
    <w:rsid w:val="0C92507C"/>
    <w:rsid w:val="0E5A631A"/>
    <w:rsid w:val="0F255702"/>
    <w:rsid w:val="0F3B2FEA"/>
    <w:rsid w:val="13013A9E"/>
    <w:rsid w:val="144025BE"/>
    <w:rsid w:val="14671C6B"/>
    <w:rsid w:val="181073AC"/>
    <w:rsid w:val="1AAB6E86"/>
    <w:rsid w:val="1B701236"/>
    <w:rsid w:val="1BA52A03"/>
    <w:rsid w:val="1BB76E65"/>
    <w:rsid w:val="1C700838"/>
    <w:rsid w:val="1D7135C0"/>
    <w:rsid w:val="20CD0771"/>
    <w:rsid w:val="20E71F9A"/>
    <w:rsid w:val="2250788D"/>
    <w:rsid w:val="22AC0867"/>
    <w:rsid w:val="25112FDF"/>
    <w:rsid w:val="25863BDD"/>
    <w:rsid w:val="291462C2"/>
    <w:rsid w:val="29BB4E8C"/>
    <w:rsid w:val="29CD2952"/>
    <w:rsid w:val="2A905226"/>
    <w:rsid w:val="2A994305"/>
    <w:rsid w:val="2B056543"/>
    <w:rsid w:val="2DCA1AA6"/>
    <w:rsid w:val="2DF95C84"/>
    <w:rsid w:val="30067320"/>
    <w:rsid w:val="31942A1C"/>
    <w:rsid w:val="31C90022"/>
    <w:rsid w:val="325B526C"/>
    <w:rsid w:val="342B60E5"/>
    <w:rsid w:val="34E46AC5"/>
    <w:rsid w:val="35BC10BD"/>
    <w:rsid w:val="37771986"/>
    <w:rsid w:val="37BC2B86"/>
    <w:rsid w:val="386677F1"/>
    <w:rsid w:val="38A10F53"/>
    <w:rsid w:val="3A1779E6"/>
    <w:rsid w:val="3AB54086"/>
    <w:rsid w:val="3CB054DF"/>
    <w:rsid w:val="3CE753A4"/>
    <w:rsid w:val="3F2773AF"/>
    <w:rsid w:val="41322966"/>
    <w:rsid w:val="422449A5"/>
    <w:rsid w:val="424524DD"/>
    <w:rsid w:val="42B8201F"/>
    <w:rsid w:val="435E3EE6"/>
    <w:rsid w:val="43BB011C"/>
    <w:rsid w:val="44666861"/>
    <w:rsid w:val="45D01569"/>
    <w:rsid w:val="467E5DB6"/>
    <w:rsid w:val="491E3983"/>
    <w:rsid w:val="49413F52"/>
    <w:rsid w:val="4A5E336D"/>
    <w:rsid w:val="4B217CD3"/>
    <w:rsid w:val="4BAD134B"/>
    <w:rsid w:val="4D84279B"/>
    <w:rsid w:val="4E850E6C"/>
    <w:rsid w:val="4FA04497"/>
    <w:rsid w:val="539A2A8E"/>
    <w:rsid w:val="548068AA"/>
    <w:rsid w:val="54E0530B"/>
    <w:rsid w:val="55254FD2"/>
    <w:rsid w:val="57EB0762"/>
    <w:rsid w:val="582F1556"/>
    <w:rsid w:val="598636DA"/>
    <w:rsid w:val="5A7E462B"/>
    <w:rsid w:val="5CA34E8C"/>
    <w:rsid w:val="5CF36FF6"/>
    <w:rsid w:val="5EC724E8"/>
    <w:rsid w:val="64C70F64"/>
    <w:rsid w:val="64F01AB6"/>
    <w:rsid w:val="655A0B79"/>
    <w:rsid w:val="6649597F"/>
    <w:rsid w:val="668F2BF0"/>
    <w:rsid w:val="66FB7A61"/>
    <w:rsid w:val="682F2662"/>
    <w:rsid w:val="691C686B"/>
    <w:rsid w:val="696A5F47"/>
    <w:rsid w:val="697E70F7"/>
    <w:rsid w:val="6A5741F4"/>
    <w:rsid w:val="6AC546BB"/>
    <w:rsid w:val="6AFB7A31"/>
    <w:rsid w:val="6C180827"/>
    <w:rsid w:val="6C871509"/>
    <w:rsid w:val="6D637243"/>
    <w:rsid w:val="6E1C4541"/>
    <w:rsid w:val="704F3D20"/>
    <w:rsid w:val="71F80EDE"/>
    <w:rsid w:val="72083063"/>
    <w:rsid w:val="72AB1E62"/>
    <w:rsid w:val="74183A40"/>
    <w:rsid w:val="74780A2A"/>
    <w:rsid w:val="75862A01"/>
    <w:rsid w:val="76796366"/>
    <w:rsid w:val="76B02B1D"/>
    <w:rsid w:val="76F369C7"/>
    <w:rsid w:val="78971E65"/>
    <w:rsid w:val="78C618CA"/>
    <w:rsid w:val="7AD778C3"/>
    <w:rsid w:val="7C5A4E43"/>
    <w:rsid w:val="7D0C7F34"/>
    <w:rsid w:val="7E7B74DF"/>
    <w:rsid w:val="7ECF0F9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2"/>
    <w:basedOn w:val="1"/>
    <w:next w:val="1"/>
    <w:qFormat/>
    <w:uiPriority w:val="0"/>
    <w:pPr>
      <w:keepNext/>
      <w:keepLines/>
      <w:spacing w:before="50" w:beforeLines="50" w:after="50" w:afterLines="50"/>
      <w:outlineLvl w:val="1"/>
    </w:pPr>
    <w:rPr>
      <w:rFonts w:eastAsia="黑体"/>
      <w:b/>
      <w:bCs/>
      <w:szCs w:val="32"/>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w:basedOn w:val="1"/>
    <w:semiHidden/>
    <w:qFormat/>
    <w:uiPriority w:val="0"/>
    <w:rPr>
      <w:rFonts w:ascii="FangSong_GB2312" w:hAnsi="FangSong_GB2312" w:eastAsia="FangSong_GB2312" w:cs="FangSong_GB2312"/>
      <w:sz w:val="31"/>
      <w:szCs w:val="31"/>
      <w:lang w:val="en-US" w:eastAsia="en-US"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table" w:customStyle="1" w:styleId="10">
    <w:name w:val="Table Normal"/>
    <w:semiHidden/>
    <w:unhideWhenUsed/>
    <w:qFormat/>
    <w:uiPriority w:val="0"/>
    <w:tblPr>
      <w:tblCellMar>
        <w:top w:w="0" w:type="dxa"/>
        <w:left w:w="0" w:type="dxa"/>
        <w:bottom w:w="0" w:type="dxa"/>
        <w:right w:w="0" w:type="dxa"/>
      </w:tblCellMar>
    </w:tblPr>
  </w:style>
  <w:style w:type="paragraph" w:customStyle="1" w:styleId="11">
    <w:name w:val="Table Text"/>
    <w:basedOn w:val="1"/>
    <w:semiHidden/>
    <w:qFormat/>
    <w:uiPriority w:val="0"/>
    <w:rPr>
      <w:rFonts w:ascii="FangSong_GB2312" w:hAnsi="FangSong_GB2312" w:eastAsia="FangSong_GB2312" w:cs="FangSong_GB2312"/>
      <w:sz w:val="28"/>
      <w:szCs w:val="28"/>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7</Pages>
  <Words>2838</Words>
  <Characters>3079</Characters>
  <TotalTime>5</TotalTime>
  <ScaleCrop>false</ScaleCrop>
  <LinksUpToDate>false</LinksUpToDate>
  <CharactersWithSpaces>3106</CharactersWithSpaces>
  <Application>WPS Office_12.1.0.25225_F1E327BC-269C-435d-A152-05C5408002CA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2025-06-05T08:31:00Z</dcterms:created>
  <dc:creator>Administrator</dc:creator>
  <cp:lastModifiedBy>18819472268</cp:lastModifiedBy>
  <cp:lastPrinted>2025-06-18T08:00:00Z</cp:lastPrinted>
  <dcterms:modified xsi:type="dcterms:W3CDTF">2026-04-15T08:19:10Z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wqlLaW5nc29mdCBQREYgdG8gV1BTIDExMA</vt:lpwstr>
  </property>
  <property fmtid="{D5CDD505-2E9C-101B-9397-08002B2CF9AE}" pid="3" name="Created">
    <vt:filetime>2025-06-05T16:31:37Z</vt:filetime>
  </property>
  <property fmtid="{D5CDD505-2E9C-101B-9397-08002B2CF9AE}" pid="4" name="KSOProductBuildVer">
    <vt:lpwstr>2052-12.1.0.25225</vt:lpwstr>
  </property>
  <property fmtid="{D5CDD505-2E9C-101B-9397-08002B2CF9AE}" pid="5" name="ICV">
    <vt:lpwstr>27B29248EE1E405B8656C83F61BAD7E0_13</vt:lpwstr>
  </property>
  <property fmtid="{D5CDD505-2E9C-101B-9397-08002B2CF9AE}" pid="6" name="KSOTemplateDocerSaveRecord">
    <vt:lpwstr>eyJoZGlkIjoiN2EzMjZiNThlMjZkOWJkYzRlY2ZlZjgwN2IxODljZjciLCJ1c2VySWQiOiI2NDI3NzIxMzkifQ==</vt:lpwstr>
  </property>
</Properties>
</file>