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rPr>
      </w:pPr>
      <w:r>
        <w:rPr>
          <w:rFonts w:hint="eastAsia"/>
          <w:b/>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8110220</wp:posOffset>
                </wp:positionV>
                <wp:extent cx="5738495" cy="635"/>
                <wp:effectExtent l="0" t="19050" r="14605" b="37465"/>
                <wp:wrapNone/>
                <wp:docPr id="4" name="直接箭头连接符 4"/>
                <wp:cNvGraphicFramePr/>
                <a:graphic xmlns:a="http://schemas.openxmlformats.org/drawingml/2006/main">
                  <a:graphicData uri="http://schemas.microsoft.com/office/word/2010/wordprocessingShape">
                    <wps:wsp>
                      <wps:cNvCnPr/>
                      <wps:spPr>
                        <a:xfrm>
                          <a:off x="0" y="0"/>
                          <a:ext cx="5738495" cy="635"/>
                        </a:xfrm>
                        <a:prstGeom prst="straightConnector1">
                          <a:avLst/>
                        </a:prstGeom>
                        <a:ln w="3810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8pt;margin-top:638.6pt;height:0.05pt;width:451.85pt;z-index:251663360;mso-width-relative:page;mso-height-relative:page;" filled="f" stroked="t" coordsize="21600,21600" o:gfxdata="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U7guwNoAAAAMAQAADwAAAAAAAAABACAAAAA4AAAAZHJzL2Rv&#10;d25yZXYueG1sUEsBAhQAFAAAAAgAh07iQJiP4Q/pAQAAoQMAAA4AAAAAAAAAAQAgAAAAPwEAAGRy&#10;cy9lMm9Eb2MueG1sUEsFBgAAAAAGAAYAWQEAAJoFAAAAAA==&#10;">
                <v:fill on="f" focussize="0,0"/>
                <v:stroke weight="3pt" color="#FF0000" joinstyle="round"/>
                <v:imagedata o:title=""/>
                <o:lock v:ext="edit" aspectratio="f"/>
              </v:shape>
            </w:pict>
          </mc:Fallback>
        </mc:AlternateContent>
      </w:r>
      <w:r>
        <w:rPr>
          <w:rFonts w:hint="eastAsia"/>
          <w:b/>
        </w:rPr>
        <mc:AlternateContent>
          <mc:Choice Requires="wps">
            <w:drawing>
              <wp:anchor distT="0" distB="0" distL="114300" distR="114300" simplePos="0" relativeHeight="251662336" behindDoc="0" locked="0" layoutInCell="1" allowOverlap="1">
                <wp:simplePos x="0" y="0"/>
                <wp:positionH relativeFrom="column">
                  <wp:posOffset>-10160</wp:posOffset>
                </wp:positionH>
                <wp:positionV relativeFrom="paragraph">
                  <wp:posOffset>8063865</wp:posOffset>
                </wp:positionV>
                <wp:extent cx="5738495" cy="0"/>
                <wp:effectExtent l="0" t="9525" r="0" b="9525"/>
                <wp:wrapNone/>
                <wp:docPr id="3" name="直接箭头连接符 3"/>
                <wp:cNvGraphicFramePr/>
                <a:graphic xmlns:a="http://schemas.openxmlformats.org/drawingml/2006/main">
                  <a:graphicData uri="http://schemas.microsoft.com/office/word/2010/wordprocessingShape">
                    <wps:wsp>
                      <wps:cNvCnPr/>
                      <wps:spPr>
                        <a:xfrm>
                          <a:off x="0" y="0"/>
                          <a:ext cx="5738495" cy="0"/>
                        </a:xfrm>
                        <a:prstGeom prst="straightConnector1">
                          <a:avLst/>
                        </a:prstGeom>
                        <a:ln w="1905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8pt;margin-top:634.95pt;height:0pt;width:451.85pt;z-index:251662336;mso-width-relative:page;mso-height-relative:page;" filled="f" stroked="t" coordsize="21600,21600" o:gfxdata="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Utr9HdcAAAAMAQAADwAAAAAAAAABACAAAAA4AAAAZHJzL2Rvd25yZXYu&#10;eG1sUEsBAhQAFAAAAAgAh07iQHDh5vrmAQAAnwMAAA4AAAAAAAAAAQAgAAAAPAEAAGRycy9lMm9E&#10;b2MueG1sUEsFBgAAAAAGAAYAWQEAAJQFAAAAAA==&#10;">
                <v:fill on="f" focussize="0,0"/>
                <v:stroke weight="1.5pt" color="#FF0000" joinstyle="round"/>
                <v:imagedata o:title=""/>
                <o:lock v:ext="edit" aspectratio="f"/>
              </v:shape>
            </w:pict>
          </mc:Fallback>
        </mc:AlternateContent>
      </w:r>
      <w:r>
        <w:rPr>
          <w:rFonts w:hint="eastAsia"/>
          <w:b/>
        </w:rPr>
        <mc:AlternateContent>
          <mc:Choice Requires="wps">
            <w:drawing>
              <wp:anchor distT="0" distB="0" distL="114300" distR="114300" simplePos="0" relativeHeight="251661312" behindDoc="0" locked="0" layoutInCell="1" allowOverlap="1">
                <wp:simplePos x="0" y="0"/>
                <wp:positionH relativeFrom="column">
                  <wp:posOffset>18415</wp:posOffset>
                </wp:positionH>
                <wp:positionV relativeFrom="paragraph">
                  <wp:posOffset>672465</wp:posOffset>
                </wp:positionV>
                <wp:extent cx="5738495" cy="0"/>
                <wp:effectExtent l="0" t="9525" r="0" b="9525"/>
                <wp:wrapNone/>
                <wp:docPr id="2" name="直接箭头连接符 2"/>
                <wp:cNvGraphicFramePr/>
                <a:graphic xmlns:a="http://schemas.openxmlformats.org/drawingml/2006/main">
                  <a:graphicData uri="http://schemas.microsoft.com/office/word/2010/wordprocessingShape">
                    <wps:wsp>
                      <wps:cNvCnPr/>
                      <wps:spPr>
                        <a:xfrm>
                          <a:off x="0" y="0"/>
                          <a:ext cx="5738495" cy="0"/>
                        </a:xfrm>
                        <a:prstGeom prst="straightConnector1">
                          <a:avLst/>
                        </a:prstGeom>
                        <a:ln w="1905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5pt;margin-top:52.95pt;height:0pt;width:451.85pt;z-index:251661312;mso-width-relative:page;mso-height-relative:page;" filled="f" stroked="t" coordsize="21600,21600" o:gfxdata="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LMfZj3VAAAACQEAAA8AAAAAAAAAAQAgAAAAOAAAAGRycy9kb3ducmV2Lnht&#10;bFBLAQIUABQAAAAIAIdO4kAm56Kw5gEAAJ8DAAAOAAAAAAAAAAEAIAAAADoBAABkcnMvZTJvRG9j&#10;LnhtbFBLBQYAAAAABgAGAFkBAACSBQAAAAA=&#10;">
                <v:fill on="f" focussize="0,0"/>
                <v:stroke weight="1.5pt" color="#FF0000" joinstyle="round"/>
                <v:imagedata o:title=""/>
                <o:lock v:ext="edit" aspectratio="f"/>
              </v:shape>
            </w:pict>
          </mc:Fallback>
        </mc:AlternateContent>
      </w:r>
      <w:r>
        <w:rPr>
          <w:rFonts w:hint="eastAsia"/>
          <w:b/>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623570</wp:posOffset>
                </wp:positionV>
                <wp:extent cx="5738495" cy="635"/>
                <wp:effectExtent l="0" t="19050" r="14605" b="37465"/>
                <wp:wrapNone/>
                <wp:docPr id="1" name="直接箭头连接符 1"/>
                <wp:cNvGraphicFramePr/>
                <a:graphic xmlns:a="http://schemas.openxmlformats.org/drawingml/2006/main">
                  <a:graphicData uri="http://schemas.microsoft.com/office/word/2010/wordprocessingShape">
                    <wps:wsp>
                      <wps:cNvCnPr/>
                      <wps:spPr>
                        <a:xfrm>
                          <a:off x="0" y="0"/>
                          <a:ext cx="5738495" cy="635"/>
                        </a:xfrm>
                        <a:prstGeom prst="straightConnector1">
                          <a:avLst/>
                        </a:prstGeom>
                        <a:ln w="3810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45pt;margin-top:49.1pt;height:0.05pt;width:451.85pt;z-index:251660288;mso-width-relative:page;mso-height-relative:page;" filled="f" stroked="t" coordsize="21600,21600" o:gfxdata="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OCqmRTWAAAABwEAAA8AAAAAAAAAAQAgAAAAOAAAAGRycy9kb3ducmV2&#10;LnhtbFBLAQIUABQAAAAIAIdO4kC3zGsc6AEAAKEDAAAOAAAAAAAAAAEAIAAAADsBAABkcnMvZTJv&#10;RG9jLnhtbFBLBQYAAAAABgAGAFkBAACVBQAAAAA=&#10;">
                <v:fill on="f" focussize="0,0"/>
                <v:stroke weight="3pt" color="#FF0000" joinstyle="round"/>
                <v:imagedata o:title=""/>
                <o:lock v:ext="edit" aspectratio="f"/>
              </v:shape>
            </w:pict>
          </mc:Fallback>
        </mc:AlternateContent>
      </w:r>
      <w:r>
        <w:pict>
          <v:shape id="艺术字 12" o:spid="_x0000_s2054" o:spt="136" type="#_x0000_t136" style="position:absolute;left:0pt;margin-left:4.7pt;margin-top:7.55pt;height:34pt;width:443.35pt;mso-wrap-distance-bottom:0pt;mso-wrap-distance-left:9pt;mso-wrap-distance-right:9pt;mso-wrap-distance-top:0pt;z-index:251659264;mso-width-relative:page;mso-height-relative:page;" fillcolor="#FF0000" filled="t" stroked="f" coordsize="21600,21600">
            <v:path/>
            <v:fill on="t" focussize="0,0"/>
            <v:stroke on="f"/>
            <v:imagedata o:title=""/>
            <o:lock v:ext="edit"/>
            <v:textpath on="t" fitshape="t" fitpath="t" trim="t" xscale="f" string="广州市增城区发展和改革局" style="font-family:华文中宋;font-size:32pt;v-rotate-letters:f;v-same-letter-heights:t;v-text-align:center;v-text-spacing:78650f;"/>
            <w10:wrap type="square"/>
          </v:shape>
        </w:pict>
      </w:r>
    </w:p>
    <w:p>
      <w:pPr>
        <w:keepNext w:val="0"/>
        <w:keepLines w:val="0"/>
        <w:pageBreakBefore w:val="0"/>
        <w:widowControl w:val="0"/>
        <w:wordWrap/>
        <w:overflowPunct/>
        <w:topLinePunct w:val="0"/>
        <w:bidi w:val="0"/>
        <w:spacing w:line="579" w:lineRule="exact"/>
        <w:jc w:val="left"/>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eastAsia="zh-CN"/>
        </w:rPr>
        <w:t>附件</w:t>
      </w:r>
      <w:r>
        <w:rPr>
          <w:rFonts w:hint="eastAsia" w:ascii="Times New Roman" w:hAnsi="Times New Roman" w:eastAsia="黑体" w:cs="Times New Roman"/>
          <w:color w:val="auto"/>
          <w:sz w:val="28"/>
          <w:szCs w:val="28"/>
          <w:lang w:val="en-US" w:eastAsia="zh-CN"/>
        </w:rPr>
        <w:t>6</w:t>
      </w:r>
    </w:p>
    <w:p>
      <w:pPr>
        <w:keepNext w:val="0"/>
        <w:keepLines w:val="0"/>
        <w:pageBreakBefore w:val="0"/>
        <w:widowControl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color w:val="auto"/>
          <w:sz w:val="44"/>
          <w:szCs w:val="44"/>
        </w:rPr>
      </w:pPr>
    </w:p>
    <w:p>
      <w:pPr>
        <w:keepNext w:val="0"/>
        <w:keepLines w:val="0"/>
        <w:pageBreakBefore w:val="0"/>
        <w:widowControl w:val="0"/>
        <w:kinsoku/>
        <w:wordWrap/>
        <w:overflowPunct/>
        <w:topLinePunct w:val="0"/>
        <w:autoSpaceDE w:val="0"/>
        <w:autoSpaceDN w:val="0"/>
        <w:bidi w:val="0"/>
        <w:adjustRightInd w:val="0"/>
        <w:snapToGrid w:val="0"/>
        <w:spacing w:before="189" w:line="560" w:lineRule="exact"/>
        <w:jc w:val="center"/>
        <w:textAlignment w:val="baseline"/>
        <w:outlineLvl w:val="0"/>
        <w:rPr>
          <w:rFonts w:hint="default" w:ascii="Times New Roman" w:hAnsi="Times New Roman" w:eastAsia="方正小标宋简体" w:cs="Times New Roman"/>
          <w:position w:val="-2"/>
          <w:sz w:val="44"/>
          <w:szCs w:val="44"/>
          <w:lang w:eastAsia="zh-CN"/>
        </w:rPr>
      </w:pPr>
      <w:r>
        <w:rPr>
          <w:rFonts w:hint="default" w:ascii="Times New Roman" w:hAnsi="Times New Roman" w:eastAsia="方正小标宋简体" w:cs="Times New Roman"/>
          <w:position w:val="-2"/>
          <w:sz w:val="44"/>
          <w:szCs w:val="44"/>
          <w:lang w:eastAsia="zh-CN"/>
        </w:rPr>
        <w:t>广州市白江湖森林公园</w:t>
      </w:r>
      <w:r>
        <w:rPr>
          <w:rFonts w:hint="default" w:ascii="Times New Roman" w:hAnsi="Times New Roman" w:eastAsia="方正小标宋简体" w:cs="Times New Roman"/>
          <w:position w:val="-2"/>
          <w:sz w:val="44"/>
          <w:szCs w:val="44"/>
          <w:lang w:val="en-US" w:eastAsia="zh-CN"/>
        </w:rPr>
        <w:t>园内</w:t>
      </w:r>
      <w:r>
        <w:rPr>
          <w:rFonts w:hint="default" w:ascii="Times New Roman" w:hAnsi="Times New Roman" w:eastAsia="方正小标宋简体" w:cs="Times New Roman"/>
          <w:position w:val="-2"/>
          <w:sz w:val="44"/>
          <w:szCs w:val="44"/>
          <w:lang w:eastAsia="zh-CN"/>
        </w:rPr>
        <w:t>观光车票价</w:t>
      </w:r>
    </w:p>
    <w:p>
      <w:pPr>
        <w:keepNext w:val="0"/>
        <w:keepLines w:val="0"/>
        <w:pageBreakBefore w:val="0"/>
        <w:widowControl w:val="0"/>
        <w:kinsoku/>
        <w:wordWrap/>
        <w:overflowPunct/>
        <w:topLinePunct w:val="0"/>
        <w:autoSpaceDE w:val="0"/>
        <w:autoSpaceDN w:val="0"/>
        <w:bidi w:val="0"/>
        <w:adjustRightInd w:val="0"/>
        <w:snapToGrid w:val="0"/>
        <w:spacing w:before="189" w:line="560" w:lineRule="exact"/>
        <w:jc w:val="center"/>
        <w:textAlignment w:val="baseline"/>
        <w:outlineLvl w:val="0"/>
        <w:rPr>
          <w:rFonts w:hint="default" w:ascii="Times New Roman" w:hAnsi="Times New Roman" w:eastAsia="方正小标宋简体" w:cs="Times New Roman"/>
          <w:position w:val="-2"/>
          <w:sz w:val="44"/>
          <w:szCs w:val="44"/>
          <w:lang w:eastAsia="zh-CN"/>
        </w:rPr>
      </w:pPr>
      <w:r>
        <w:rPr>
          <w:rFonts w:hint="default" w:ascii="Times New Roman" w:hAnsi="Times New Roman" w:eastAsia="方正小标宋简体" w:cs="Times New Roman"/>
          <w:position w:val="-2"/>
          <w:sz w:val="44"/>
          <w:szCs w:val="44"/>
          <w:lang w:eastAsia="zh-CN"/>
        </w:rPr>
        <w:t>定价成本监审报告</w:t>
      </w: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中华人民共和国价格法》、《政府制定价格成本监审办法》(国家发展改革委令2017年第8号)、《国家发展改革委〈关于印发定价成本监审一般技术规范（试行）〉的通知》（发改价格〔2007〕1219号）、《广东省发展改革委关于印发广东省景区门票及景区内交通运输服务价格管理办法的通知》（粤发改规〔2024〕6号）和《中国注册会计师审计准则》等有关规定，增城区发</w:t>
      </w:r>
      <w:r>
        <w:rPr>
          <w:rFonts w:hint="default" w:ascii="Times New Roman" w:hAnsi="Times New Roman" w:eastAsia="仿宋_GB2312" w:cs="Times New Roman"/>
          <w:sz w:val="32"/>
          <w:szCs w:val="32"/>
          <w:highlight w:val="none"/>
          <w:lang w:eastAsia="zh-CN"/>
        </w:rPr>
        <w:t>展和改革局于</w:t>
      </w:r>
      <w:r>
        <w:rPr>
          <w:rFonts w:hint="default" w:ascii="Times New Roman" w:hAnsi="Times New Roman" w:eastAsia="仿宋_GB2312" w:cs="Times New Roman"/>
          <w:color w:val="auto"/>
          <w:sz w:val="32"/>
          <w:szCs w:val="32"/>
          <w:highlight w:val="none"/>
          <w:lang w:val="en-US" w:eastAsia="zh-CN"/>
        </w:rPr>
        <w:t>2025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月至</w:t>
      </w:r>
      <w:r>
        <w:rPr>
          <w:rFonts w:hint="eastAsia" w:ascii="Times New Roman" w:hAnsi="Times New Roman" w:eastAsia="仿宋_GB2312" w:cs="Times New Roman"/>
          <w:color w:val="auto"/>
          <w:sz w:val="32"/>
          <w:szCs w:val="32"/>
          <w:highlight w:val="none"/>
          <w:lang w:val="en-US" w:eastAsia="zh-CN"/>
        </w:rPr>
        <w:t>2026年</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eastAsia="zh-CN"/>
        </w:rPr>
        <w:t>月</w:t>
      </w:r>
      <w:r>
        <w:rPr>
          <w:rFonts w:hint="default" w:ascii="Times New Roman" w:hAnsi="Times New Roman" w:eastAsia="仿宋_GB2312" w:cs="Times New Roman"/>
          <w:color w:val="auto"/>
          <w:sz w:val="32"/>
          <w:szCs w:val="32"/>
          <w:highlight w:val="none"/>
          <w:lang w:eastAsia="zh-CN"/>
        </w:rPr>
        <w:t>对广州市白江</w:t>
      </w:r>
      <w:r>
        <w:rPr>
          <w:rFonts w:hint="default" w:ascii="Times New Roman" w:hAnsi="Times New Roman" w:eastAsia="仿宋_GB2312" w:cs="Times New Roman"/>
          <w:color w:val="auto"/>
          <w:sz w:val="32"/>
          <w:szCs w:val="32"/>
          <w:lang w:eastAsia="zh-CN"/>
        </w:rPr>
        <w:t>湖森林公园</w:t>
      </w:r>
      <w:r>
        <w:rPr>
          <w:rFonts w:hint="default" w:ascii="Times New Roman" w:hAnsi="Times New Roman" w:eastAsia="仿宋_GB2312" w:cs="Times New Roman"/>
          <w:color w:val="auto"/>
          <w:sz w:val="32"/>
          <w:szCs w:val="32"/>
          <w:lang w:val="en-US" w:eastAsia="zh-CN"/>
        </w:rPr>
        <w:t>园内</w:t>
      </w:r>
      <w:r>
        <w:rPr>
          <w:rFonts w:hint="default" w:ascii="Times New Roman" w:hAnsi="Times New Roman" w:eastAsia="仿宋_GB2312" w:cs="Times New Roman"/>
          <w:color w:val="auto"/>
          <w:sz w:val="32"/>
          <w:szCs w:val="32"/>
          <w:lang w:eastAsia="zh-CN"/>
        </w:rPr>
        <w:t>观</w:t>
      </w:r>
      <w:r>
        <w:rPr>
          <w:rFonts w:hint="default" w:ascii="Times New Roman" w:hAnsi="Times New Roman" w:eastAsia="仿宋_GB2312" w:cs="Times New Roman"/>
          <w:sz w:val="32"/>
          <w:szCs w:val="32"/>
          <w:lang w:eastAsia="zh-CN"/>
        </w:rPr>
        <w:t>光车票价定价成本实施了成本监审。现将情况报告如下：</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一、成本审核的项目及主要内容</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right="102"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根据《政府制定价格成本监审办法》《广东省发展改革委关于景区门票定价成本监审的办法》的有关规定，观光车票价定价成本由人员薪酬、运营费用、管理费用、财务费用、税金构成。</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right="104" w:firstLine="642" w:firstLineChars="200"/>
        <w:jc w:val="both"/>
        <w:textAlignment w:val="baseline"/>
        <w:rPr>
          <w:rFonts w:hint="default" w:ascii="Times New Roman" w:hAnsi="Times New Roman" w:eastAsia="仿宋_GB2312" w:cs="Times New Roman"/>
          <w:sz w:val="32"/>
          <w:szCs w:val="32"/>
          <w:lang w:eastAsia="zh-CN"/>
        </w:rPr>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仿宋_GB2312" w:cs="Times New Roman"/>
          <w:b/>
          <w:bCs/>
          <w:sz w:val="32"/>
          <w:szCs w:val="32"/>
          <w:lang w:eastAsia="zh-CN"/>
        </w:rPr>
        <w:t>（一）人员薪酬。</w:t>
      </w:r>
      <w:r>
        <w:rPr>
          <w:rFonts w:hint="default" w:ascii="Times New Roman" w:hAnsi="Times New Roman" w:eastAsia="仿宋_GB2312" w:cs="Times New Roman"/>
          <w:sz w:val="32"/>
          <w:szCs w:val="32"/>
          <w:lang w:eastAsia="zh-CN"/>
        </w:rPr>
        <w:t>是指向经营管理景区的职工支付的各种</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right="104"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形式报酬及相关费用。主要包括：职工工资（基本工资、奖金、津贴补贴、绩效工资等）；社会保险费（包含补充养老保险费或职业年金和补充医疗保险费）；职工福利费；工会经费；住房公积金。</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right="48" w:firstLine="642"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（二）运营费用。</w:t>
      </w:r>
      <w:r>
        <w:rPr>
          <w:rFonts w:hint="default" w:ascii="Times New Roman" w:hAnsi="Times New Roman" w:eastAsia="仿宋_GB2312" w:cs="Times New Roman"/>
          <w:sz w:val="32"/>
          <w:szCs w:val="32"/>
          <w:lang w:eastAsia="zh-CN"/>
        </w:rPr>
        <w:t>是指维持景区观光车正常运营管理，为游客提供参观游览服务所需的合理费用。本次成本测算主要包括：办公费、车辆充电费、标识牌制作费、维修费、停车场租赁费、培训费、财产保全险、广告宣传费、固定资产折旧等费用。</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2" w:right="160" w:firstLine="635"/>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（三）管理费用。</w:t>
      </w:r>
      <w:r>
        <w:rPr>
          <w:rFonts w:hint="default" w:ascii="Times New Roman" w:hAnsi="Times New Roman" w:eastAsia="仿宋_GB2312" w:cs="Times New Roman"/>
          <w:sz w:val="32"/>
          <w:szCs w:val="32"/>
          <w:lang w:eastAsia="zh-CN"/>
        </w:rPr>
        <w:t>是指营运企业向广州市白江湖森林公园上缴的管理费。</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2" w:right="160" w:firstLine="635"/>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（四）财务费用。</w:t>
      </w:r>
      <w:r>
        <w:rPr>
          <w:rFonts w:hint="default" w:ascii="Times New Roman" w:hAnsi="Times New Roman" w:eastAsia="仿宋_GB2312" w:cs="Times New Roman"/>
          <w:sz w:val="32"/>
          <w:szCs w:val="32"/>
          <w:lang w:eastAsia="zh-CN"/>
        </w:rPr>
        <w:t>是指营运企业为筹集营运业务所需资金而发生的各项费用。包括企业营运期间发生的利息净支出、汇兑净损失和相关手续费等。</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16" w:right="98" w:firstLine="621"/>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（五）税金。</w:t>
      </w:r>
      <w:r>
        <w:rPr>
          <w:rFonts w:hint="default" w:ascii="Times New Roman" w:hAnsi="Times New Roman" w:eastAsia="仿宋_GB2312" w:cs="Times New Roman"/>
          <w:sz w:val="32"/>
          <w:szCs w:val="32"/>
          <w:lang w:eastAsia="zh-CN"/>
        </w:rPr>
        <w:t>是指景区观光车经营者缴纳的税点。</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outlineLvl w:val="1"/>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二、成本监审依据</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（一）《中华人民共和国价格法》；</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（二）《政府制定价格成本监审办法》(国家发展改革委令2017年第8号)；</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（三）《国家发展改革委〈关于印发定价成本监审一般技术规范（试行）〉的通知》（发改价格〔2007〕1219号）；</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（四）《广东省实施〈中华人民共和国价格法〉办法》（广东省第十一届人民代表大会常务委员会公告第2号）；</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（五）《广东省物价局实施〈政府制定价格成本监审办法〉细则》（粤价〔2006〕228号）；</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（六）《广东省发展改革委关于印发广东省景区门票及景区内交通运输服务价格管理办法的通知》（粤发改规〔2024〕6号）；</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（七）白江湖森林公园申报的成本表</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6"/>
        <w:jc w:val="both"/>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（八）广州市增信鸿日会计师</w:t>
      </w:r>
      <w:bookmarkStart w:id="0" w:name="_GoBack"/>
      <w:bookmarkEnd w:id="0"/>
      <w:r>
        <w:rPr>
          <w:rFonts w:hint="eastAsia" w:ascii="Times New Roman" w:hAnsi="Times New Roman" w:eastAsia="仿宋_GB2312" w:cs="Times New Roman"/>
          <w:sz w:val="32"/>
          <w:szCs w:val="32"/>
          <w:lang w:eastAsia="zh-CN"/>
        </w:rPr>
        <w:t>事务所有限公司出具的《广州市白江湖森林公园观光车成本审核报告》。</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outlineLvl w:val="1"/>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三、成本监审的程序</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65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成本监审按以下程序完成：</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7" w:leftChars="0" w:firstLine="631" w:firstLineChars="0"/>
        <w:jc w:val="both"/>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napToGrid w:val="0"/>
          <w:color w:val="000000"/>
          <w:sz w:val="32"/>
          <w:szCs w:val="32"/>
          <w:lang w:val="en-US" w:eastAsia="zh-CN" w:bidi="ar-SA"/>
        </w:rPr>
        <w:t>（一）</w:t>
      </w:r>
      <w:r>
        <w:rPr>
          <w:rFonts w:hint="default" w:ascii="Times New Roman" w:hAnsi="Times New Roman" w:eastAsia="仿宋_GB2312" w:cs="Times New Roman"/>
          <w:sz w:val="32"/>
          <w:szCs w:val="32"/>
          <w:lang w:eastAsia="zh-CN"/>
        </w:rPr>
        <w:t>下达成本测算通知书。要求企业填报数据并提供相关成本资料。</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2" w:right="3" w:firstLine="63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（二）初审。对上报的数据和成本资料进行初步审查，资料不完整或资料内容不符合规定的，要求被审单位进行数据修改或按规定补充提供有关资料。</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2" w:right="3" w:firstLine="63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（三）开展实地成本测算工作。对企业的运营成本报表、会计报表、审计报告、会计账簿、原始凭证、合同、协议、实物以及其他与成本相关的财务资料等进行实地审查、取证。</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8" w:right="46" w:firstLine="63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（四）反馈意见。我局将成本核增核减意见及理由书面告知企业，并充分交换意见，最终确认成本数据。</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638"/>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（五）出具成本监审报告。</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665"/>
        <w:jc w:val="both"/>
        <w:textAlignment w:val="baseline"/>
        <w:outlineLvl w:val="1"/>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四、成本核算方法和成本费用分摊方法</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641"/>
        <w:jc w:val="both"/>
        <w:textAlignment w:val="baseline"/>
        <w:outlineLvl w:val="2"/>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（一）审核原则。</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2" w:right="3" w:firstLine="664"/>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1.合法性。计入景区观光车票价定价成本的费用应当符合有关法律、法规，财务制度和国家统一的会计制度，以及价格监管制度等规定。</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15" w:right="1" w:firstLine="64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2.相关性。计入景区观光车票价定价成本的费用应当与为游客提供景区游览服务过程直接相关或者间接相关。</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right="1" w:firstLine="671"/>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合理性。计入景区观光车票价定价成本的费用应当反映为游客提供游览服务活动正常需要，并按照合理方法和合理标准核算；影响景区观光车票价定价成本水平的主要技术、经济指标应当符合行业标准或者公允水平。</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641"/>
        <w:jc w:val="both"/>
        <w:textAlignment w:val="baseline"/>
        <w:outlineLvl w:val="2"/>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（二）核算方法。</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653"/>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定价成本=人员薪酬+运营费用</w:t>
      </w:r>
      <w:r>
        <w:rPr>
          <w:rFonts w:hint="default" w:ascii="Times New Roman" w:hAnsi="Times New Roman" w:eastAsia="仿宋_GB2312" w:cs="Times New Roman"/>
          <w:sz w:val="32"/>
          <w:szCs w:val="32"/>
          <w:lang w:val="en-US" w:eastAsia="zh-CN"/>
        </w:rPr>
        <w:t>+管理费用</w:t>
      </w:r>
      <w:r>
        <w:rPr>
          <w:rFonts w:hint="default" w:ascii="Times New Roman" w:hAnsi="Times New Roman" w:eastAsia="仿宋_GB2312" w:cs="Times New Roman"/>
          <w:sz w:val="32"/>
          <w:szCs w:val="32"/>
          <w:lang w:eastAsia="zh-CN"/>
        </w:rPr>
        <w:t>+财务费用+税金；</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653"/>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年人均成本=年营运总成本/</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lang w:eastAsia="zh-CN"/>
        </w:rPr>
        <w:t>实际游客坐车人数；</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649"/>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每公里人均成本=年人均成本/来回里程。</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8" w:right="46" w:firstLine="64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本次成本监审，对白江湖森林公园提交的人员薪酬、运营费用、管理费用、财务费用、税金按照监审办法的相关规定进行审核调整，审核调整内容及依据主要包括：</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right="46" w:firstLine="642"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z w:val="32"/>
          <w:szCs w:val="32"/>
          <w:lang w:eastAsia="zh-CN"/>
        </w:rPr>
        <w:t>1.人员薪酬。</w:t>
      </w:r>
      <w:r>
        <w:rPr>
          <w:rFonts w:hint="default" w:ascii="Times New Roman" w:hAnsi="Times New Roman" w:eastAsia="仿宋_GB2312" w:cs="Times New Roman"/>
          <w:sz w:val="32"/>
          <w:szCs w:val="32"/>
          <w:lang w:eastAsia="zh-CN"/>
        </w:rPr>
        <w:t>人员薪酬指向经营管理景区观光车的职工支付的各种形式报酬及相关费用。主要包括：职工工资（基本工资、奖金、津贴补贴、绩效工资等）；社会保险费（包含补充养老保险费、补充医疗保险费）；职工福利费；工会经费</w:t>
      </w:r>
      <w:r>
        <w:rPr>
          <w:rFonts w:hint="default" w:ascii="Times New Roman" w:hAnsi="Times New Roman" w:eastAsia="仿宋_GB2312" w:cs="Times New Roman"/>
          <w:color w:val="auto"/>
          <w:sz w:val="32"/>
          <w:szCs w:val="32"/>
          <w:lang w:eastAsia="zh-CN"/>
        </w:rPr>
        <w:t>、住房公积金。</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8" w:right="46" w:firstLine="64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①职工工资，本次成本测算按照广东省统计局《2024年广东城镇单位就业人员年平均工资情况》租赁机商务服务业年平均工资</w:t>
      </w:r>
      <w:r>
        <w:rPr>
          <w:rFonts w:hint="default" w:ascii="Times New Roman" w:hAnsi="Times New Roman" w:eastAsia="仿宋_GB2312" w:cs="Times New Roman"/>
          <w:sz w:val="32"/>
          <w:szCs w:val="32"/>
          <w:lang w:val="en-US" w:eastAsia="zh-CN"/>
        </w:rPr>
        <w:t>105,613</w:t>
      </w:r>
      <w:r>
        <w:rPr>
          <w:rFonts w:hint="default" w:ascii="Times New Roman" w:hAnsi="Times New Roman" w:eastAsia="仿宋_GB2312" w:cs="Times New Roman"/>
          <w:sz w:val="32"/>
          <w:szCs w:val="32"/>
          <w:lang w:eastAsia="zh-CN"/>
        </w:rPr>
        <w:t>元/年，未按照《广东省发展改革委关于景区门票定价成本监审的办法》第十一条规定，计入定价成本的职工工资根据职工平均工资与职工人数确定。应由政府有关部门进行工资管理的，职工工资总额上限为按照其工资管理规定核定的数值。需参照《广州市统计年鉴》03从业人员和工资，3-12城镇非私营单位在岗职工人数与工资 (2024年)-水利、环境和公共设施管理业年平均工资92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087元/年，核定测算调度人员和司机工资下浮</w:t>
      </w:r>
      <w:r>
        <w:rPr>
          <w:rFonts w:hint="default" w:ascii="Times New Roman" w:hAnsi="Times New Roman" w:eastAsia="仿宋_GB2312" w:cs="Times New Roman"/>
          <w:sz w:val="32"/>
          <w:szCs w:val="32"/>
          <w:lang w:val="en-US" w:eastAsia="zh-CN"/>
        </w:rPr>
        <w:t>22.88</w:t>
      </w:r>
      <w:r>
        <w:rPr>
          <w:rFonts w:hint="eastAsia" w:ascii="Times New Roman" w:hAnsi="Times New Roman" w:eastAsia="仿宋_GB2312" w:cs="Times New Roman"/>
          <w:sz w:val="32"/>
          <w:szCs w:val="32"/>
          <w:lang w:eastAsia="zh-CN"/>
        </w:rPr>
        <w:t>%，核</w:t>
      </w:r>
      <w:r>
        <w:rPr>
          <w:rFonts w:hint="default" w:ascii="Times New Roman" w:hAnsi="Times New Roman" w:eastAsia="仿宋_GB2312" w:cs="Times New Roman"/>
          <w:sz w:val="32"/>
          <w:szCs w:val="32"/>
          <w:lang w:eastAsia="zh-CN"/>
        </w:rPr>
        <w:t>定92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087元/年。</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8" w:right="46" w:firstLine="64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②工会经费、职工福利费、社会保险费、</w:t>
      </w:r>
      <w:r>
        <w:rPr>
          <w:rFonts w:hint="default" w:ascii="Times New Roman" w:hAnsi="Times New Roman" w:eastAsia="仿宋_GB2312" w:cs="Times New Roman"/>
          <w:color w:val="auto"/>
          <w:sz w:val="32"/>
          <w:szCs w:val="32"/>
          <w:lang w:eastAsia="zh-CN"/>
        </w:rPr>
        <w:t>住房公积金</w:t>
      </w:r>
      <w:r>
        <w:rPr>
          <w:rFonts w:hint="default" w:ascii="Times New Roman" w:hAnsi="Times New Roman" w:eastAsia="仿宋_GB2312" w:cs="Times New Roman"/>
          <w:sz w:val="32"/>
          <w:szCs w:val="32"/>
          <w:lang w:eastAsia="zh-CN"/>
        </w:rPr>
        <w:t>按照《监审办法》第十二条规定，工会经费、职工福利费、社会保险费审核计算基数原则上按照经营者实缴基数核定，但不得超过核定的工资总额和当地政府规定的基数，计算比例按照不超过国家或者当地政府统一规定的比例确定。</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5" w:firstLine="654"/>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2.运营费用。</w:t>
      </w:r>
      <w:r>
        <w:rPr>
          <w:rFonts w:hint="default" w:ascii="Times New Roman" w:hAnsi="Times New Roman" w:eastAsia="仿宋_GB2312" w:cs="Times New Roman"/>
          <w:sz w:val="32"/>
          <w:szCs w:val="32"/>
          <w:lang w:eastAsia="zh-CN"/>
        </w:rPr>
        <w:t>运营管理费用指维持景区观光车正常运营管理，为游客提供参观游览服务所需的合理费用。本次成本测算主要包括：办公费、车辆充电费、标识牌制作费、维修费、停车场租赁费、培训费、财产保全险、广告宣传费、固定资产折旧。</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7" w:right="50" w:firstLine="654"/>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①车辆充电费，按</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eastAsia="zh-CN"/>
        </w:rPr>
        <w:t>台车</w:t>
      </w:r>
      <w:r>
        <w:rPr>
          <w:rFonts w:hint="default" w:ascii="Times New Roman" w:hAnsi="Times New Roman" w:eastAsia="仿宋_GB2312" w:cs="Times New Roman"/>
          <w:sz w:val="32"/>
          <w:szCs w:val="32"/>
          <w:lang w:val="en-US" w:eastAsia="zh-CN"/>
        </w:rPr>
        <w:t>计算，</w:t>
      </w:r>
      <w:r>
        <w:rPr>
          <w:rFonts w:hint="default" w:ascii="Times New Roman" w:hAnsi="Times New Roman" w:eastAsia="仿宋_GB2312" w:cs="Times New Roman"/>
          <w:sz w:val="32"/>
          <w:szCs w:val="32"/>
          <w:lang w:eastAsia="zh-CN"/>
        </w:rPr>
        <w:t>每台每年充电</w:t>
      </w:r>
      <w:r>
        <w:rPr>
          <w:rFonts w:hint="default" w:ascii="Times New Roman" w:hAnsi="Times New Roman" w:eastAsia="仿宋_GB2312" w:cs="Times New Roman"/>
          <w:sz w:val="32"/>
          <w:szCs w:val="32"/>
          <w:lang w:val="en-US" w:eastAsia="zh-CN"/>
        </w:rPr>
        <w:t>3,036.13</w:t>
      </w:r>
      <w:r>
        <w:rPr>
          <w:rFonts w:hint="default" w:ascii="Times New Roman" w:hAnsi="Times New Roman" w:eastAsia="仿宋_GB2312" w:cs="Times New Roman"/>
          <w:sz w:val="32"/>
          <w:szCs w:val="32"/>
          <w:lang w:eastAsia="zh-CN"/>
        </w:rPr>
        <w:t>元测算。</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7" w:right="50" w:firstLine="654"/>
        <w:jc w:val="both"/>
        <w:textAlignment w:val="baseline"/>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lang w:eastAsia="zh-CN"/>
        </w:rPr>
        <w:t>②标识牌制作费，包括站牌的制作和安装，参考《广东省发展改革委关于景区门票定价成本监审的办法》之标识牌制作费</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000</w:t>
      </w:r>
      <w:r>
        <w:rPr>
          <w:rFonts w:hint="default"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lang w:eastAsia="zh-CN"/>
        </w:rPr>
        <w:t>元测算。</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45" w:right="47" w:firstLine="615"/>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③维修费，按观光车辆购买价值</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%维修费率测算。</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45" w:right="47" w:firstLine="615"/>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④财产保全险，按观光车辆每台车</w:t>
      </w:r>
      <w:r>
        <w:rPr>
          <w:rFonts w:hint="default" w:ascii="Times New Roman" w:hAnsi="Times New Roman" w:eastAsia="仿宋_GB2312" w:cs="Times New Roman"/>
          <w:sz w:val="32"/>
          <w:szCs w:val="32"/>
          <w:lang w:val="en-US" w:eastAsia="zh-CN"/>
        </w:rPr>
        <w:t>2000元</w:t>
      </w:r>
      <w:r>
        <w:rPr>
          <w:rFonts w:hint="default" w:ascii="Times New Roman" w:hAnsi="Times New Roman" w:eastAsia="仿宋_GB2312" w:cs="Times New Roman"/>
          <w:sz w:val="32"/>
          <w:szCs w:val="32"/>
          <w:lang w:eastAsia="zh-CN"/>
        </w:rPr>
        <w:t>测算。</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45" w:right="47" w:firstLine="615"/>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⑤广告宣传费，按照《</w:t>
      </w:r>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HYPERLINK "https://baike.baidu.com/item/%E5%85%B3%E4%BA%8E%E5%B9%BF%E5%91%8A%E8%B4%B9%E5%92%8C%E4%B8%9A%E5%8A%A1%E5%AE%A3%E4%BC%A0%E8%B4%B9%E6%94%AF%E5%87%BA%E7%A8%8E%E5%89%8D%E6%89%A3%E9%99%A4%E6%9C%89%E5%85%B3%E4%BA%8B%E9%A1%B9%E7%9A%84%E5%85%AC%E5%91%8A/55924544?fromModule=lemma_inlink" \t "https://baike.baidu.com/item/%E5%B9%BF%E5%91%8A%E8%B4%B9/_blank" </w:instrText>
      </w:r>
      <w:r>
        <w:rPr>
          <w:rFonts w:hint="default" w:ascii="Times New Roman" w:hAnsi="Times New Roman" w:eastAsia="仿宋_GB2312" w:cs="Times New Roman"/>
          <w:sz w:val="32"/>
          <w:szCs w:val="32"/>
          <w:lang w:eastAsia="zh-CN"/>
        </w:rPr>
        <w:fldChar w:fldCharType="separate"/>
      </w:r>
      <w:r>
        <w:rPr>
          <w:rFonts w:hint="default" w:ascii="Times New Roman" w:hAnsi="Times New Roman" w:eastAsia="仿宋_GB2312" w:cs="Times New Roman"/>
          <w:sz w:val="32"/>
          <w:szCs w:val="32"/>
          <w:lang w:eastAsia="zh-CN"/>
        </w:rPr>
        <w:t>关于广告费和业务宣传费支出税前扣除有关事项的公告</w:t>
      </w:r>
      <w:r>
        <w:rPr>
          <w:rFonts w:hint="default" w:ascii="Times New Roman" w:hAnsi="Times New Roman" w:eastAsia="仿宋_GB2312" w:cs="Times New Roman"/>
          <w:sz w:val="32"/>
          <w:szCs w:val="32"/>
          <w:lang w:eastAsia="zh-CN"/>
        </w:rPr>
        <w:fldChar w:fldCharType="end"/>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收入测算。</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32" w:right="89" w:firstLine="630"/>
        <w:jc w:val="both"/>
        <w:textAlignment w:val="baseline"/>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⑥固定资产折旧，固定资产折旧采用平均年限法，按照规定的景区固定资产折旧年限核定。残值率按4%计算。固定资产折旧年限见下表：</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right="90"/>
        <w:jc w:val="center"/>
        <w:textAlignment w:val="baseline"/>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表1 </w:t>
      </w:r>
      <w:r>
        <w:rPr>
          <w:rFonts w:hint="default" w:ascii="Times New Roman" w:hAnsi="Times New Roman" w:eastAsia="仿宋_GB2312" w:cs="Times New Roman"/>
          <w:sz w:val="28"/>
          <w:szCs w:val="28"/>
          <w:lang w:val="en-US" w:eastAsia="zh-CN"/>
        </w:rPr>
        <w:t>广东省景区门票定价成本监审固定资产分类折旧年限表</w:t>
      </w:r>
    </w:p>
    <w:tbl>
      <w:tblPr>
        <w:tblStyle w:val="12"/>
        <w:tblpPr w:leftFromText="180" w:rightFromText="180" w:vertAnchor="text" w:horzAnchor="page" w:tblpX="1983" w:tblpY="338"/>
        <w:tblOverlap w:val="never"/>
        <w:tblW w:w="80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55"/>
        <w:gridCol w:w="2590"/>
        <w:gridCol w:w="14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4055"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资产类别</w:t>
            </w:r>
          </w:p>
        </w:tc>
        <w:tc>
          <w:tcPr>
            <w:tcW w:w="2590"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核定折旧年限</w:t>
            </w:r>
          </w:p>
        </w:tc>
        <w:tc>
          <w:tcPr>
            <w:tcW w:w="1434"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残值率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4055"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营运车辆</w:t>
            </w:r>
          </w:p>
        </w:tc>
        <w:tc>
          <w:tcPr>
            <w:tcW w:w="2590"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p>
        </w:tc>
        <w:tc>
          <w:tcPr>
            <w:tcW w:w="1434"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4055"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其他机器设备</w:t>
            </w:r>
          </w:p>
        </w:tc>
        <w:tc>
          <w:tcPr>
            <w:tcW w:w="2590"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p>
        </w:tc>
        <w:tc>
          <w:tcPr>
            <w:tcW w:w="1434"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4055"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营业用家具、用具、装具</w:t>
            </w:r>
          </w:p>
        </w:tc>
        <w:tc>
          <w:tcPr>
            <w:tcW w:w="2590"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p>
        </w:tc>
        <w:tc>
          <w:tcPr>
            <w:tcW w:w="1434"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4055"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w:t>
            </w:r>
          </w:p>
        </w:tc>
        <w:tc>
          <w:tcPr>
            <w:tcW w:w="2590"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按具体类别核定</w:t>
            </w:r>
          </w:p>
        </w:tc>
        <w:tc>
          <w:tcPr>
            <w:tcW w:w="1434" w:type="dxa"/>
            <w:vAlign w:val="center"/>
          </w:tcPr>
          <w:p>
            <w:pPr>
              <w:pStyle w:val="11"/>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p>
        </w:tc>
      </w:tr>
    </w:tbl>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3" w:right="10" w:firstLine="669"/>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3.管理费用。</w:t>
      </w:r>
      <w:r>
        <w:rPr>
          <w:rFonts w:hint="default" w:ascii="Times New Roman" w:hAnsi="Times New Roman" w:eastAsia="仿宋_GB2312" w:cs="Times New Roman"/>
          <w:sz w:val="32"/>
          <w:szCs w:val="32"/>
          <w:lang w:val="en-US" w:eastAsia="zh-CN"/>
        </w:rPr>
        <w:t>管理费用是以核定收入为基数，按市政同行业上市公司发布管理费率5.66%比例计算管理费112,435.45元。</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3" w:right="10" w:firstLine="669"/>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eastAsia="zh-CN"/>
        </w:rPr>
        <w:t>财务费用。</w:t>
      </w:r>
      <w:r>
        <w:rPr>
          <w:rFonts w:hint="default" w:ascii="Times New Roman" w:hAnsi="Times New Roman" w:eastAsia="仿宋_GB2312" w:cs="Times New Roman"/>
          <w:sz w:val="32"/>
          <w:szCs w:val="32"/>
          <w:lang w:eastAsia="zh-CN"/>
        </w:rPr>
        <w:t>财务费用是指为筹集建设或运营景区所需资金而发生的各项费用。包括利息净支出、汇兑净损失和相关手续费，但不包括资本化的利息支出等。</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2" w:right="90" w:firstLine="656"/>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eastAsia="zh-CN"/>
        </w:rPr>
        <w:t>.税金。</w:t>
      </w:r>
      <w:r>
        <w:rPr>
          <w:rFonts w:hint="default" w:ascii="Times New Roman" w:hAnsi="Times New Roman" w:eastAsia="仿宋_GB2312" w:cs="Times New Roman"/>
          <w:sz w:val="32"/>
          <w:szCs w:val="32"/>
          <w:lang w:eastAsia="zh-CN"/>
        </w:rPr>
        <w:t>按收入</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综合测算。</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right="90" w:firstLine="664"/>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eastAsia="zh-CN"/>
        </w:rPr>
        <w:t>.乘车游客量测算的核定。</w:t>
      </w:r>
      <w:r>
        <w:rPr>
          <w:rFonts w:hint="default" w:ascii="Times New Roman" w:hAnsi="Times New Roman" w:eastAsia="仿宋_GB2312" w:cs="Times New Roman"/>
          <w:sz w:val="32"/>
          <w:szCs w:val="32"/>
          <w:lang w:eastAsia="zh-CN"/>
        </w:rPr>
        <w:t>本次测算是按</w:t>
      </w:r>
      <w:r>
        <w:rPr>
          <w:rFonts w:hint="default" w:ascii="Times New Roman" w:hAnsi="Times New Roman" w:eastAsia="仿宋_GB2312" w:cs="Times New Roman"/>
          <w:sz w:val="32"/>
          <w:szCs w:val="32"/>
          <w:lang w:val="en-US" w:eastAsia="zh-CN"/>
        </w:rPr>
        <w:t>白江湖森林公园2025年度</w:t>
      </w:r>
      <w:r>
        <w:rPr>
          <w:rFonts w:hint="default" w:ascii="Times New Roman" w:hAnsi="Times New Roman" w:eastAsia="仿宋_GB2312" w:cs="Times New Roman"/>
          <w:sz w:val="32"/>
          <w:szCs w:val="32"/>
          <w:lang w:eastAsia="zh-CN"/>
        </w:rPr>
        <w:t>实际乘坐人数</w:t>
      </w:r>
      <w:r>
        <w:rPr>
          <w:rFonts w:hint="default" w:ascii="Times New Roman" w:hAnsi="Times New Roman" w:eastAsia="仿宋_GB2312" w:cs="Times New Roman"/>
          <w:sz w:val="32"/>
          <w:szCs w:val="32"/>
          <w:lang w:val="en-US" w:eastAsia="zh-CN"/>
        </w:rPr>
        <w:t>76289</w:t>
      </w:r>
      <w:r>
        <w:rPr>
          <w:rFonts w:hint="default" w:ascii="Times New Roman" w:hAnsi="Times New Roman" w:eastAsia="仿宋_GB2312" w:cs="Times New Roman"/>
          <w:sz w:val="32"/>
          <w:szCs w:val="32"/>
          <w:lang w:eastAsia="zh-CN"/>
        </w:rPr>
        <w:t>人次作为审定乘车观光车人数。</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1" w:right="70" w:firstLine="661"/>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highlight w:val="none"/>
          <w:lang w:val="en-US" w:eastAsia="zh-CN"/>
        </w:rPr>
        <w:t>7</w:t>
      </w:r>
      <w:r>
        <w:rPr>
          <w:rFonts w:hint="default" w:ascii="Times New Roman" w:hAnsi="Times New Roman" w:eastAsia="仿宋_GB2312" w:cs="Times New Roman"/>
          <w:b/>
          <w:bCs/>
          <w:sz w:val="32"/>
          <w:szCs w:val="32"/>
          <w:highlight w:val="none"/>
          <w:lang w:eastAsia="zh-CN"/>
        </w:rPr>
        <w:t>.车辆及司机数量测</w:t>
      </w:r>
      <w:r>
        <w:rPr>
          <w:rFonts w:hint="default" w:ascii="Times New Roman" w:hAnsi="Times New Roman" w:eastAsia="仿宋_GB2312" w:cs="Times New Roman"/>
          <w:b/>
          <w:bCs/>
          <w:sz w:val="32"/>
          <w:szCs w:val="32"/>
          <w:lang w:eastAsia="zh-CN"/>
        </w:rPr>
        <w:t>算。</w:t>
      </w:r>
      <w:r>
        <w:rPr>
          <w:rFonts w:hint="default" w:ascii="Times New Roman" w:hAnsi="Times New Roman" w:eastAsia="仿宋_GB2312" w:cs="Times New Roman"/>
          <w:sz w:val="32"/>
          <w:szCs w:val="32"/>
          <w:lang w:eastAsia="zh-CN"/>
        </w:rPr>
        <w:t>本次测算车辆及车队的配置，</w:t>
      </w:r>
      <w:r>
        <w:rPr>
          <w:rFonts w:hint="default" w:ascii="Times New Roman" w:hAnsi="Times New Roman" w:eastAsia="仿宋_GB2312" w:cs="Times New Roman"/>
          <w:sz w:val="32"/>
          <w:szCs w:val="32"/>
          <w:lang w:val="en-US" w:eastAsia="zh-CN"/>
        </w:rPr>
        <w:t>分日常运行、</w:t>
      </w:r>
      <w:r>
        <w:rPr>
          <w:rFonts w:hint="eastAsia" w:ascii="Times New Roman" w:hAnsi="Times New Roman" w:eastAsia="仿宋_GB2312" w:cs="Times New Roman"/>
          <w:sz w:val="32"/>
          <w:szCs w:val="32"/>
          <w:lang w:val="en-US" w:eastAsia="zh-CN"/>
        </w:rPr>
        <w:t>周末</w:t>
      </w:r>
      <w:r>
        <w:rPr>
          <w:rFonts w:hint="default" w:ascii="Times New Roman" w:hAnsi="Times New Roman" w:eastAsia="仿宋_GB2312" w:cs="Times New Roman"/>
          <w:sz w:val="32"/>
          <w:szCs w:val="32"/>
          <w:lang w:val="en-US" w:eastAsia="zh-CN"/>
        </w:rPr>
        <w:t>运行和节假日运行等三个运行阶段</w:t>
      </w:r>
      <w:r>
        <w:rPr>
          <w:rFonts w:hint="default" w:ascii="Times New Roman" w:hAnsi="Times New Roman" w:eastAsia="仿宋_GB2312" w:cs="Times New Roman"/>
          <w:sz w:val="32"/>
          <w:szCs w:val="32"/>
          <w:lang w:eastAsia="zh-CN"/>
        </w:rPr>
        <w:t>。由于车辆在运行过程中，通常车辆的充电时间为1-2小时，需要额外的车辆充电备用。以及为了应付突发事件，例如游客陡增、接大团队、活动需要等因素，测算为</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台营运车，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台备用车，司机</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人，调度员</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人。</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outlineLvl w:val="1"/>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五、被监审单位的基本情况</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广州市白江湖森林公园</w:t>
      </w:r>
      <w:r>
        <w:rPr>
          <w:rFonts w:hint="default" w:ascii="Times New Roman" w:hAnsi="Times New Roman" w:eastAsia="仿宋_GB2312" w:cs="Times New Roman"/>
          <w:color w:val="000000"/>
          <w:sz w:val="32"/>
          <w:szCs w:val="32"/>
          <w:highlight w:val="none"/>
        </w:rPr>
        <w:t>（简称白江湖公园）</w:t>
      </w:r>
      <w:r>
        <w:rPr>
          <w:rFonts w:hint="default" w:ascii="Times New Roman" w:hAnsi="Times New Roman" w:eastAsia="仿宋_GB2312" w:cs="Times New Roman"/>
          <w:color w:val="000000"/>
          <w:sz w:val="32"/>
          <w:szCs w:val="32"/>
          <w:highlight w:val="none"/>
          <w:lang w:val="en-US" w:eastAsia="zh-CN"/>
        </w:rPr>
        <w:t>，国家3A级旅游景区，地处广州市东部门户位置，坐落于千年古镇——增城区正果镇，距增城城区25km，距广州市区75km。公园总面积2.47万亩，森林覆盖率约96%，负氧离子浓度高达10000个/立方厘米以上，空气质量为A级，山顶白江湖湖面2万平方米，最高峰神山海拔684米。公园地属南亚热带季风气候，终年气候温和、雨量充沛，园内林海浩瀚、万木葱茏、鸟语花香，生态植被丰富，拥有大量珍稀动植物资源，是一颗镶嵌在南岭山系九连山脉的绿色明珠。</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sz w:val="32"/>
          <w:szCs w:val="32"/>
          <w:highlight w:val="none"/>
          <w:lang w:val="en-US" w:eastAsia="zh-CN"/>
        </w:rPr>
        <w:t>公园依托长约4公里的主溪流进行整体旅游开发建设，用4.0公里溯溪步道、3.5公里山顶绿道和14公里观光车道三条精品路线，串联起神山幽谷、试剑石、百丈飞瀑、天然浴缸、白江湖、丛花谷、打鼓潭、转运水车、呐喊喷泉、玉龙嗥等特色景点，打造成集观光旅游、运动健身、科普教育、森林康养等于一体的多功能绿美生态空间。</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outlineLvl w:val="1"/>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六、成本审核结论</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依据前述原则和方法，审核后的白江湖公园的观光车车票定价成本结论如下：</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sz w:val="32"/>
          <w:szCs w:val="32"/>
          <w:lang w:eastAsia="zh-CN"/>
        </w:rPr>
        <w:t>核定年运营总成本为1,892,867.14元。按2025年实际乘坐观光车的人数为</w:t>
      </w:r>
      <w:r>
        <w:rPr>
          <w:rFonts w:hint="default" w:ascii="Times New Roman" w:hAnsi="Times New Roman" w:eastAsia="仿宋_GB2312" w:cs="Times New Roman"/>
          <w:sz w:val="32"/>
          <w:szCs w:val="32"/>
          <w:lang w:val="en-US" w:eastAsia="zh-CN"/>
        </w:rPr>
        <w:t>76289</w:t>
      </w:r>
      <w:r>
        <w:rPr>
          <w:rFonts w:hint="default" w:ascii="Times New Roman" w:hAnsi="Times New Roman" w:eastAsia="仿宋_GB2312" w:cs="Times New Roman"/>
          <w:sz w:val="32"/>
          <w:szCs w:val="32"/>
          <w:lang w:eastAsia="zh-CN"/>
        </w:rPr>
        <w:t>人次测算，</w:t>
      </w:r>
      <w:r>
        <w:rPr>
          <w:rFonts w:hint="default" w:ascii="Times New Roman" w:hAnsi="Times New Roman" w:eastAsia="仿宋_GB2312" w:cs="Times New Roman"/>
          <w:color w:val="000000"/>
          <w:sz w:val="32"/>
          <w:szCs w:val="32"/>
          <w:highlight w:val="none"/>
        </w:rPr>
        <w:t>人均每次全程乘坐观光车成本为</w:t>
      </w:r>
      <w:r>
        <w:rPr>
          <w:rFonts w:hint="default" w:ascii="Times New Roman" w:hAnsi="Times New Roman" w:eastAsia="仿宋_GB2312" w:cs="Times New Roman"/>
          <w:color w:val="000000"/>
          <w:sz w:val="32"/>
          <w:szCs w:val="32"/>
          <w:highlight w:val="none"/>
          <w:lang w:val="en-US" w:eastAsia="zh-CN"/>
        </w:rPr>
        <w:t>24.81元</w:t>
      </w:r>
      <w:r>
        <w:rPr>
          <w:rFonts w:hint="default" w:ascii="Times New Roman" w:hAnsi="Times New Roman" w:eastAsia="仿宋_GB2312" w:cs="Times New Roman"/>
          <w:color w:val="000000"/>
          <w:sz w:val="32"/>
          <w:szCs w:val="32"/>
          <w:highlight w:val="none"/>
        </w:rPr>
        <w:t>/人次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运营成本为</w:t>
      </w:r>
      <w:r>
        <w:rPr>
          <w:rFonts w:hint="default" w:ascii="Times New Roman" w:hAnsi="Times New Roman" w:eastAsia="仿宋_GB2312" w:cs="Times New Roman"/>
          <w:color w:val="000000"/>
          <w:sz w:val="32"/>
          <w:szCs w:val="32"/>
          <w:highlight w:val="none"/>
          <w:lang w:eastAsia="zh-CN"/>
        </w:rPr>
        <w:t>1,892,867.14</w:t>
      </w:r>
      <w:r>
        <w:rPr>
          <w:rFonts w:hint="default" w:ascii="Times New Roman" w:hAnsi="Times New Roman" w:eastAsia="仿宋_GB2312" w:cs="Times New Roman"/>
          <w:color w:val="000000"/>
          <w:sz w:val="32"/>
          <w:szCs w:val="32"/>
          <w:highlight w:val="none"/>
          <w:lang w:val="en-US" w:eastAsia="zh-CN"/>
        </w:rPr>
        <w:t>元</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eastAsia="zh-CN"/>
        </w:rPr>
        <w:t>实际</w:t>
      </w:r>
      <w:r>
        <w:rPr>
          <w:rFonts w:hint="default" w:ascii="Times New Roman" w:hAnsi="Times New Roman" w:eastAsia="仿宋_GB2312" w:cs="Times New Roman"/>
          <w:color w:val="000000"/>
          <w:sz w:val="32"/>
          <w:szCs w:val="32"/>
          <w:highlight w:val="none"/>
        </w:rPr>
        <w:t>乘坐观光车游客人数</w:t>
      </w:r>
      <w:r>
        <w:rPr>
          <w:rFonts w:hint="default" w:ascii="Times New Roman" w:hAnsi="Times New Roman" w:eastAsia="仿宋_GB2312" w:cs="Times New Roman"/>
          <w:color w:val="000000"/>
          <w:sz w:val="32"/>
          <w:szCs w:val="32"/>
          <w:highlight w:val="none"/>
          <w:lang w:val="en-US" w:eastAsia="zh-CN"/>
        </w:rPr>
        <w:t>76289</w:t>
      </w:r>
      <w:r>
        <w:rPr>
          <w:rFonts w:hint="default" w:ascii="Times New Roman" w:hAnsi="Times New Roman" w:eastAsia="仿宋_GB2312" w:cs="Times New Roman"/>
          <w:color w:val="000000"/>
          <w:sz w:val="32"/>
          <w:szCs w:val="32"/>
          <w:highlight w:val="none"/>
          <w:lang w:eastAsia="zh-CN"/>
        </w:rPr>
        <w:t>人）</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eastAsia="zh-CN"/>
        </w:rPr>
        <w:t>白江湖公园观光车总线路为：东门——神山幽谷——山顶广场（</w:t>
      </w:r>
      <w:r>
        <w:rPr>
          <w:rFonts w:hint="default" w:ascii="Times New Roman" w:hAnsi="Times New Roman" w:eastAsia="仿宋_GB2312" w:cs="Times New Roman"/>
          <w:color w:val="000000"/>
          <w:sz w:val="32"/>
          <w:szCs w:val="32"/>
          <w:highlight w:val="none"/>
          <w:lang w:val="en-US" w:eastAsia="zh-CN"/>
        </w:rPr>
        <w:t>单程5公里</w:t>
      </w:r>
      <w:r>
        <w:rPr>
          <w:rFonts w:hint="default" w:ascii="Times New Roman" w:hAnsi="Times New Roman" w:eastAsia="仿宋_GB2312" w:cs="Times New Roman"/>
          <w:color w:val="000000"/>
          <w:sz w:val="32"/>
          <w:szCs w:val="32"/>
          <w:highlight w:val="none"/>
          <w:lang w:eastAsia="zh-CN"/>
        </w:rPr>
        <w:t>）——丛花谷——环湖停靠点——东门</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eastAsia="zh-CN"/>
        </w:rPr>
        <w:t>全程10公里</w:t>
      </w:r>
      <w:r>
        <w:rPr>
          <w:rFonts w:hint="default" w:ascii="Times New Roman" w:hAnsi="Times New Roman" w:eastAsia="仿宋_GB2312" w:cs="Times New Roman"/>
          <w:color w:val="000000"/>
          <w:sz w:val="32"/>
          <w:szCs w:val="32"/>
          <w:highlight w:val="none"/>
        </w:rPr>
        <w:t>，每人每公里观光车单位成本为</w:t>
      </w:r>
      <w:r>
        <w:rPr>
          <w:rFonts w:hint="default" w:ascii="Times New Roman" w:hAnsi="Times New Roman" w:eastAsia="仿宋_GB2312" w:cs="Times New Roman"/>
          <w:color w:val="000000"/>
          <w:sz w:val="32"/>
          <w:szCs w:val="32"/>
          <w:highlight w:val="none"/>
          <w:lang w:val="en-US" w:eastAsia="zh-CN"/>
        </w:rPr>
        <w:t>2.48元</w:t>
      </w:r>
      <w:r>
        <w:rPr>
          <w:rFonts w:hint="default" w:ascii="Times New Roman" w:hAnsi="Times New Roman" w:eastAsia="仿宋_GB2312" w:cs="Times New Roman"/>
          <w:color w:val="00000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sz w:val="32"/>
          <w:szCs w:val="32"/>
          <w:lang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1598" w:leftChars="304" w:right="45" w:hanging="960" w:hangingChars="3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附件：广州市白江湖森林公园园内观光车定价成本监审核定表</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baseline"/>
        <w:rPr>
          <w:rFonts w:hint="default" w:ascii="Times New Roman" w:hAnsi="Times New Roman" w:eastAsia="仿宋_GB2312" w:cs="Times New Roman"/>
          <w:sz w:val="32"/>
          <w:szCs w:val="32"/>
          <w:lang w:eastAsia="zh-CN"/>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附件：</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b/>
          <w:bCs/>
          <w:i w:val="0"/>
          <w:iCs w:val="0"/>
          <w:snapToGrid w:val="0"/>
          <w:color w:val="000000"/>
          <w:kern w:val="0"/>
          <w:sz w:val="32"/>
          <w:szCs w:val="32"/>
          <w:u w:val="none"/>
          <w:lang w:val="en-US" w:eastAsia="zh-CN" w:bidi="ar"/>
        </w:r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b/>
          <w:bCs/>
          <w:i w:val="0"/>
          <w:iCs w:val="0"/>
          <w:snapToGrid w:val="0"/>
          <w:color w:val="000000"/>
          <w:kern w:val="0"/>
          <w:sz w:val="32"/>
          <w:szCs w:val="32"/>
          <w:u w:val="none"/>
          <w:lang w:val="en-US" w:eastAsia="zh-CN" w:bidi="ar"/>
        </w:rPr>
      </w:pPr>
      <w:r>
        <w:rPr>
          <w:rFonts w:hint="default" w:ascii="Times New Roman" w:hAnsi="Times New Roman" w:eastAsia="仿宋_GB2312" w:cs="Times New Roman"/>
          <w:b/>
          <w:bCs/>
          <w:i w:val="0"/>
          <w:iCs w:val="0"/>
          <w:snapToGrid w:val="0"/>
          <w:color w:val="000000"/>
          <w:kern w:val="0"/>
          <w:sz w:val="32"/>
          <w:szCs w:val="32"/>
          <w:u w:val="none"/>
          <w:lang w:val="en-US" w:eastAsia="zh-CN" w:bidi="ar"/>
        </w:rPr>
        <w:t>广州市白江湖森林公园园内观光车定价成本监审核定表</w:t>
      </w: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b/>
          <w:bCs/>
          <w:i w:val="0"/>
          <w:iCs w:val="0"/>
          <w:snapToGrid w:val="0"/>
          <w:color w:val="000000"/>
          <w:kern w:val="0"/>
          <w:sz w:val="32"/>
          <w:szCs w:val="32"/>
          <w:u w:val="none"/>
          <w:lang w:val="en-US" w:eastAsia="zh-CN" w:bidi="ar"/>
        </w:rPr>
      </w:pPr>
      <w:r>
        <w:rPr>
          <w:rFonts w:hint="eastAsia" w:ascii="Times New Roman" w:hAnsi="Times New Roman" w:cs="Times New Roman"/>
          <w:color w:val="000000"/>
          <w:sz w:val="21"/>
          <w:szCs w:val="21"/>
          <w:highlight w:val="none"/>
          <w:lang w:val="en-US" w:eastAsia="zh-CN"/>
        </w:rPr>
        <w:t xml:space="preserve">                                                                    </w:t>
      </w:r>
      <w:r>
        <w:rPr>
          <w:rFonts w:hint="default" w:ascii="Times New Roman" w:hAnsi="Times New Roman" w:eastAsia="仿宋" w:cs="Times New Roman"/>
          <w:color w:val="000000"/>
          <w:sz w:val="21"/>
          <w:szCs w:val="21"/>
          <w:highlight w:val="none"/>
        </w:rPr>
        <w:t>单位：元</w:t>
      </w:r>
    </w:p>
    <w:tbl>
      <w:tblPr>
        <w:tblStyle w:val="7"/>
        <w:tblW w:w="80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79"/>
        <w:gridCol w:w="1129"/>
        <w:gridCol w:w="1614"/>
        <w:gridCol w:w="1458"/>
        <w:gridCol w:w="15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项  目</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行次及关系</w:t>
            </w:r>
          </w:p>
        </w:tc>
        <w:tc>
          <w:tcPr>
            <w:tcW w:w="16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2025年上报数</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核增减数</w:t>
            </w:r>
          </w:p>
        </w:tc>
        <w:tc>
          <w:tcPr>
            <w:tcW w:w="15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2025年审定数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一、人员薪酬(元)</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1=2+5+9+10+11+12</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1,602,612.26</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-237,131.93</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1,365,480.33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(一)职工工资</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2=3+4</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1,207,388.07</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-198,593.91</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1,008,794.16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(二)社会保险费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149,235.60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149,235.60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(三)福利费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169,034.33</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-27,803.15</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141,231.18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(四)工会经费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24,147.76</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-3,971.88</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20,175.88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(五)职工教育经费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(六)住房公积金</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52,806.50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-6,763.00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46,043.50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二、运营费用(元)</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14=15+</w:t>
            </w:r>
            <w:r>
              <w:rPr>
                <w:rStyle w:val="15"/>
                <w:rFonts w:hint="default" w:ascii="Times New Roman" w:hAnsi="Times New Roman" w:cs="Times New Roman"/>
                <w:lang w:val="en-US" w:eastAsia="zh-CN" w:bidi="ar"/>
              </w:rPr>
              <w:t>…+37</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393,773.32</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-49,600.00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344,173.32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(一)办公费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5,000.00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5,000.00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(二)车辆充电费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30,361.32</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30,361.32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(三)门票印制费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(四)标识牌制作费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3,000.00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(五)资源有偿使用费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(六)土地使用费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(七)景区规划费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(八)绿化养护费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(九)景观文物古建筑维护费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(十)维修费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102,400.00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-32,300.00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70,100.00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(十一)安全保护费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(十二)停车场租赁费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36,500.00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-7,300.00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29,200.00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(十三)差旅费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(十四)会议费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(十五)培训费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10,000.00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(十六)交通费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(十七)公务接待费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(十八)劳务费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(十九)财产保全险</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30,000.00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-10,000.00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(二十)广告宣传费</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8,000.00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8,000.00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(二十一)固定资产折旧</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168,512.00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168,512.00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(二十二)无形资产摊销</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(二十三)其他</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三、管理费用</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131,279.16</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-18,843.71</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112,435.45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四、财务费用(元)</w:t>
            </w:r>
          </w:p>
        </w:tc>
        <w:tc>
          <w:tcPr>
            <w:tcW w:w="1129"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39=40-41+42+43</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1,200.00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(一)利息支出</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c>
          <w:tcPr>
            <w:tcW w:w="1458" w:type="dxa"/>
            <w:tcBorders>
              <w:top w:val="nil"/>
              <w:left w:val="nil"/>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(二)利息收入</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c>
          <w:tcPr>
            <w:tcW w:w="1458" w:type="dxa"/>
            <w:tcBorders>
              <w:top w:val="nil"/>
              <w:left w:val="nil"/>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(三)汇兑损益</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0.00</w:t>
            </w:r>
          </w:p>
        </w:tc>
        <w:tc>
          <w:tcPr>
            <w:tcW w:w="1458" w:type="dxa"/>
            <w:tcBorders>
              <w:top w:val="nil"/>
              <w:left w:val="nil"/>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(四)其他</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1614" w:type="dxa"/>
            <w:tcBorders>
              <w:top w:val="single" w:color="000000" w:sz="4" w:space="0"/>
              <w:left w:val="single" w:color="000000" w:sz="4" w:space="0"/>
              <w:bottom w:val="nil"/>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1,200.00</w:t>
            </w:r>
          </w:p>
        </w:tc>
        <w:tc>
          <w:tcPr>
            <w:tcW w:w="1458" w:type="dxa"/>
            <w:tcBorders>
              <w:top w:val="nil"/>
              <w:left w:val="nil"/>
              <w:bottom w:val="nil"/>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2279" w:type="dxa"/>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五、税金(元)</w:t>
            </w:r>
          </w:p>
        </w:tc>
        <w:tc>
          <w:tcPr>
            <w:tcW w:w="11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69,578.04</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69,578.04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成本合计</w:t>
            </w:r>
          </w:p>
        </w:tc>
        <w:tc>
          <w:tcPr>
            <w:tcW w:w="1129"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45</w:t>
            </w:r>
            <w:r>
              <w:rPr>
                <w:rFonts w:hint="eastAsia" w:ascii="Times New Roman" w:hAnsi="Times New Roman" w:eastAsia="宋体" w:cs="Times New Roman"/>
                <w:i w:val="0"/>
                <w:iCs w:val="0"/>
                <w:color w:val="000000"/>
                <w:sz w:val="20"/>
                <w:szCs w:val="20"/>
                <w:u w:val="none"/>
                <w:lang w:val="en-US" w:eastAsia="zh-CN"/>
              </w:rPr>
              <w:t>=1+14+38+39</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2,198,442.78</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-286,731.93</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1,892,867.14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游客坐车人数/年</w:t>
            </w:r>
          </w:p>
        </w:tc>
        <w:tc>
          <w:tcPr>
            <w:tcW w:w="1129"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46</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76289</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76289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观光车成本/人</w:t>
            </w:r>
          </w:p>
        </w:tc>
        <w:tc>
          <w:tcPr>
            <w:tcW w:w="1129"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47</w:t>
            </w:r>
            <w:r>
              <w:rPr>
                <w:rFonts w:hint="eastAsia" w:ascii="Times New Roman" w:hAnsi="Times New Roman" w:eastAsia="宋体" w:cs="Times New Roman"/>
                <w:i w:val="0"/>
                <w:iCs w:val="0"/>
                <w:color w:val="000000"/>
                <w:sz w:val="20"/>
                <w:szCs w:val="20"/>
                <w:u w:val="none"/>
                <w:lang w:val="en-US" w:eastAsia="zh-CN"/>
              </w:rPr>
              <w:t>=45/46</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28.82</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-4.01</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24.81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观光车总里程（公里）</w:t>
            </w:r>
          </w:p>
        </w:tc>
        <w:tc>
          <w:tcPr>
            <w:tcW w:w="1129"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48</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wordWrap/>
              <w:overflowPunct/>
              <w:topLinePunct w:val="0"/>
              <w:bidi w:val="0"/>
              <w:jc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sz w:val="20"/>
                <w:szCs w:val="20"/>
                <w:u w:val="none"/>
                <w:lang w:eastAsia="zh-CN"/>
              </w:rPr>
              <w:t>-</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2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观光车单位成本（元/公里.人次）</w:t>
            </w:r>
          </w:p>
        </w:tc>
        <w:tc>
          <w:tcPr>
            <w:tcW w:w="112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49</w:t>
            </w:r>
            <w:r>
              <w:rPr>
                <w:rFonts w:hint="eastAsia" w:ascii="Times New Roman" w:hAnsi="Times New Roman" w:eastAsia="宋体" w:cs="Times New Roman"/>
                <w:i w:val="0"/>
                <w:iCs w:val="0"/>
                <w:color w:val="000000"/>
                <w:sz w:val="20"/>
                <w:szCs w:val="20"/>
                <w:u w:val="none"/>
                <w:lang w:val="en-US" w:eastAsia="zh-CN"/>
              </w:rPr>
              <w:t>=47/48</w:t>
            </w:r>
          </w:p>
        </w:tc>
        <w:tc>
          <w:tcPr>
            <w:tcW w:w="16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2.88</w:t>
            </w:r>
          </w:p>
        </w:tc>
        <w:tc>
          <w:tcPr>
            <w:tcW w:w="14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-0.40</w:t>
            </w:r>
          </w:p>
        </w:tc>
        <w:tc>
          <w:tcPr>
            <w:tcW w:w="15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wordWrap/>
              <w:overflowPunct/>
              <w:topLinePunct w:val="0"/>
              <w:bidi w:val="0"/>
              <w:jc w:val="center"/>
              <w:textAlignment w:val="bottom"/>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2.48</w:t>
            </w:r>
          </w:p>
        </w:tc>
      </w:tr>
    </w:tbl>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firstLine="699"/>
        <w:jc w:val="both"/>
        <w:textAlignment w:val="baseline"/>
        <w:rPr>
          <w:rFonts w:hint="default" w:ascii="Times New Roman" w:hAnsi="Times New Roman" w:eastAsia="仿宋_GB2312" w:cs="Times New Roman"/>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firstLine="699"/>
        <w:jc w:val="both"/>
        <w:textAlignment w:val="baseline"/>
        <w:rPr>
          <w:rFonts w:hint="default" w:ascii="Times New Roman" w:hAnsi="Times New Roman" w:eastAsia="仿宋_GB2312" w:cs="Times New Roman"/>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firstLine="699"/>
        <w:jc w:val="both"/>
        <w:textAlignment w:val="baseline"/>
        <w:rPr>
          <w:rFonts w:hint="default" w:ascii="Times New Roman" w:hAnsi="Times New Roman" w:eastAsia="仿宋_GB2312" w:cs="Times New Roman"/>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firstLine="699"/>
        <w:jc w:val="both"/>
        <w:textAlignment w:val="baseline"/>
        <w:rPr>
          <w:rFonts w:hint="default" w:ascii="Times New Roman" w:hAnsi="Times New Roman" w:eastAsia="仿宋_GB2312" w:cs="Times New Roman"/>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firstLine="699"/>
        <w:jc w:val="both"/>
        <w:textAlignment w:val="baseline"/>
        <w:rPr>
          <w:rFonts w:hint="default" w:ascii="Times New Roman" w:hAnsi="Times New Roman" w:eastAsia="仿宋_GB2312" w:cs="Times New Roman"/>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firstLine="699"/>
        <w:jc w:val="both"/>
        <w:textAlignment w:val="baseline"/>
        <w:rPr>
          <w:rFonts w:hint="default" w:ascii="Times New Roman" w:hAnsi="Times New Roman" w:eastAsia="仿宋_GB2312" w:cs="Times New Roman"/>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val="0"/>
        <w:spacing w:line="560" w:lineRule="exact"/>
        <w:ind w:firstLine="699"/>
        <w:jc w:val="both"/>
        <w:textAlignment w:val="baseline"/>
        <w:rPr>
          <w:rFonts w:hint="default" w:ascii="Times New Roman" w:hAnsi="Times New Roman" w:eastAsia="仿宋_GB2312" w:cs="Times New Roman"/>
          <w:sz w:val="32"/>
          <w:szCs w:val="32"/>
          <w:highlight w:val="none"/>
          <w:lang w:eastAsia="zh-CN"/>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sz w:val="32"/>
          <w:szCs w:val="32"/>
        </w:rPr>
      </w:pPr>
    </w:p>
    <w:sectPr>
      <w:pgSz w:w="11906" w:h="16838"/>
      <w:pgMar w:top="1440" w:right="1803"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lang w:eastAsia="zh-CN"/>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46A46"/>
    <w:rsid w:val="002407B2"/>
    <w:rsid w:val="00393E67"/>
    <w:rsid w:val="00725309"/>
    <w:rsid w:val="00851670"/>
    <w:rsid w:val="01806305"/>
    <w:rsid w:val="03033B67"/>
    <w:rsid w:val="0428070B"/>
    <w:rsid w:val="05DF4BE8"/>
    <w:rsid w:val="06557C1B"/>
    <w:rsid w:val="06A21B8B"/>
    <w:rsid w:val="06E755D0"/>
    <w:rsid w:val="08A07679"/>
    <w:rsid w:val="0A785749"/>
    <w:rsid w:val="0D046A46"/>
    <w:rsid w:val="0D381E0B"/>
    <w:rsid w:val="0E1F0F9C"/>
    <w:rsid w:val="103B7154"/>
    <w:rsid w:val="12AB433E"/>
    <w:rsid w:val="12E83B7A"/>
    <w:rsid w:val="157C06D7"/>
    <w:rsid w:val="161B23AB"/>
    <w:rsid w:val="16C36211"/>
    <w:rsid w:val="16EF5034"/>
    <w:rsid w:val="17A60298"/>
    <w:rsid w:val="183879D7"/>
    <w:rsid w:val="183E374F"/>
    <w:rsid w:val="19216AC6"/>
    <w:rsid w:val="19401A14"/>
    <w:rsid w:val="1CA7510E"/>
    <w:rsid w:val="1F474DE8"/>
    <w:rsid w:val="20E70426"/>
    <w:rsid w:val="2145358F"/>
    <w:rsid w:val="22E039A5"/>
    <w:rsid w:val="23CF3A79"/>
    <w:rsid w:val="24024DCD"/>
    <w:rsid w:val="245A7E98"/>
    <w:rsid w:val="27FB0C66"/>
    <w:rsid w:val="2B19039E"/>
    <w:rsid w:val="2B31595B"/>
    <w:rsid w:val="2BA1664E"/>
    <w:rsid w:val="2C0469D2"/>
    <w:rsid w:val="2CDA5934"/>
    <w:rsid w:val="2D1824B2"/>
    <w:rsid w:val="2E8B335E"/>
    <w:rsid w:val="2E8F5E71"/>
    <w:rsid w:val="31E621E0"/>
    <w:rsid w:val="34150A37"/>
    <w:rsid w:val="34190914"/>
    <w:rsid w:val="34E01526"/>
    <w:rsid w:val="35795DD6"/>
    <w:rsid w:val="36115953"/>
    <w:rsid w:val="36183BB7"/>
    <w:rsid w:val="375127D9"/>
    <w:rsid w:val="380908CD"/>
    <w:rsid w:val="38451629"/>
    <w:rsid w:val="39022C18"/>
    <w:rsid w:val="3C65652D"/>
    <w:rsid w:val="3E140DE9"/>
    <w:rsid w:val="408B523E"/>
    <w:rsid w:val="40E82EAE"/>
    <w:rsid w:val="413E6B54"/>
    <w:rsid w:val="41A2189A"/>
    <w:rsid w:val="42C5602D"/>
    <w:rsid w:val="46AB11F1"/>
    <w:rsid w:val="47D12B4A"/>
    <w:rsid w:val="485E04E5"/>
    <w:rsid w:val="48997A4A"/>
    <w:rsid w:val="48C00D5D"/>
    <w:rsid w:val="4DDB409D"/>
    <w:rsid w:val="4ED137BE"/>
    <w:rsid w:val="4FC668E8"/>
    <w:rsid w:val="50C10F02"/>
    <w:rsid w:val="548D0188"/>
    <w:rsid w:val="55220F88"/>
    <w:rsid w:val="56814D19"/>
    <w:rsid w:val="568C4501"/>
    <w:rsid w:val="59842DD4"/>
    <w:rsid w:val="5A2B513A"/>
    <w:rsid w:val="5A5F25C6"/>
    <w:rsid w:val="60BC2FCB"/>
    <w:rsid w:val="61454F28"/>
    <w:rsid w:val="61D53073"/>
    <w:rsid w:val="62D3722E"/>
    <w:rsid w:val="641066DF"/>
    <w:rsid w:val="670F38B5"/>
    <w:rsid w:val="67EB4DFC"/>
    <w:rsid w:val="68E72554"/>
    <w:rsid w:val="68F43CBA"/>
    <w:rsid w:val="69155ECB"/>
    <w:rsid w:val="6C69504A"/>
    <w:rsid w:val="6DE035C6"/>
    <w:rsid w:val="6F45570E"/>
    <w:rsid w:val="72F063BE"/>
    <w:rsid w:val="74E95D33"/>
    <w:rsid w:val="7510653F"/>
    <w:rsid w:val="77A76FD5"/>
    <w:rsid w:val="7E201217"/>
    <w:rsid w:val="7E323D64"/>
    <w:rsid w:val="7EC97D8B"/>
    <w:rsid w:val="7FD7E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Body Text Indent 2"/>
    <w:basedOn w:val="1"/>
    <w:qFormat/>
    <w:uiPriority w:val="0"/>
    <w:pPr>
      <w:spacing w:before="120" w:line="360" w:lineRule="auto"/>
      <w:ind w:firstLine="420"/>
    </w:pPr>
    <w:rPr>
      <w:rFonts w:ascii="楷体_GB2312" w:hAnsi="Times New Roman" w:eastAsia="楷体_GB2312" w:cs="Times New Roman"/>
      <w:color w:val="auto"/>
      <w:kern w:val="2"/>
      <w:szCs w:val="20"/>
    </w:r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Table Text"/>
    <w:basedOn w:val="1"/>
    <w:semiHidden/>
    <w:qFormat/>
    <w:uiPriority w:val="0"/>
    <w:rPr>
      <w:rFonts w:ascii="仿宋" w:hAnsi="仿宋" w:eastAsia="仿宋" w:cs="仿宋"/>
      <w:sz w:val="28"/>
      <w:szCs w:val="28"/>
    </w:rPr>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font01"/>
    <w:basedOn w:val="8"/>
    <w:qFormat/>
    <w:uiPriority w:val="0"/>
    <w:rPr>
      <w:rFonts w:hint="eastAsia" w:ascii="宋体" w:hAnsi="宋体" w:eastAsia="宋体" w:cs="宋体"/>
      <w:color w:val="000000"/>
      <w:sz w:val="22"/>
      <w:szCs w:val="22"/>
      <w:u w:val="none"/>
    </w:rPr>
  </w:style>
  <w:style w:type="character" w:customStyle="1" w:styleId="14">
    <w:name w:val="批注框文本 Char"/>
    <w:basedOn w:val="8"/>
    <w:link w:val="4"/>
    <w:qFormat/>
    <w:uiPriority w:val="0"/>
    <w:rPr>
      <w:rFonts w:ascii="Arial" w:hAnsi="Arial" w:eastAsia="Arial" w:cs="Arial"/>
      <w:snapToGrid w:val="0"/>
      <w:color w:val="000000"/>
      <w:sz w:val="18"/>
      <w:szCs w:val="18"/>
      <w:lang w:eastAsia="en-US"/>
    </w:rPr>
  </w:style>
  <w:style w:type="character" w:customStyle="1" w:styleId="15">
    <w:name w:val="font31"/>
    <w:basedOn w:val="8"/>
    <w:qFormat/>
    <w:uiPriority w:val="0"/>
    <w:rPr>
      <w:rFonts w:hint="eastAsia" w:ascii="宋体" w:hAnsi="宋体" w:eastAsia="宋体" w:cs="宋体"/>
      <w:color w:val="000000"/>
      <w:sz w:val="20"/>
      <w:szCs w:val="20"/>
      <w:u w:val="none"/>
    </w:rPr>
  </w:style>
  <w:style w:type="character" w:customStyle="1" w:styleId="16">
    <w:name w:val="font1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4063</Words>
  <Characters>4969</Characters>
  <Lines>72</Lines>
  <Paragraphs>20</Paragraphs>
  <TotalTime>1</TotalTime>
  <ScaleCrop>false</ScaleCrop>
  <LinksUpToDate>false</LinksUpToDate>
  <CharactersWithSpaces>5043</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2025-06-08T15:36:00Z</dcterms:created>
  <dc:creator>广东京华资产评估13312871852</dc:creator>
  <cp:lastModifiedBy>tongxiaoyun</cp:lastModifiedBy>
  <dcterms:modified xsi:type="dcterms:W3CDTF">2026-04-20T10:25:49Z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87D2846362CE4C6596AC306FCCDD769D_13</vt:lpwstr>
  </property>
  <property fmtid="{D5CDD505-2E9C-101B-9397-08002B2CF9AE}" pid="4" name="KSOTemplateDocerSaveRecord">
    <vt:lpwstr>eyJoZGlkIjoiN2EzMjZiNThlMjZkOWJkYzRlY2ZlZjgwN2IxODljZjciLCJ1c2VySWQiOiI2NDI3NzIxMzkifQ==</vt:lpwstr>
  </property>
</Properties>
</file>