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20" w:lineRule="exact"/>
        <w:jc w:val="left"/>
        <w:rPr>
          <w:rFonts w:hint="eastAsia" w:eastAsia="黑体"/>
          <w:b/>
          <w:sz w:val="44"/>
        </w:rPr>
      </w:pPr>
      <w:bookmarkStart w:id="5" w:name="_GoBack"/>
      <w:bookmarkEnd w:id="5"/>
      <w:bookmarkStart w:id="0" w:name="_Toc29434_WPSOffice_Level2"/>
      <w:r>
        <w:rPr>
          <w:rFonts w:hint="eastAsia" w:ascii="黑体" w:hAnsi="黑体" w:eastAsia="黑体" w:cs="黑体"/>
          <w:sz w:val="28"/>
          <w:szCs w:val="28"/>
          <w:lang w:val="en-US" w:eastAsia="zh-CN"/>
        </w:rPr>
        <w:t>附</w:t>
      </w:r>
      <w:r>
        <w:rPr>
          <w:rFonts w:hint="eastAsia" w:ascii="黑体" w:hAnsi="黑体" w:eastAsia="黑体" w:cs="黑体"/>
          <w:sz w:val="28"/>
          <w:szCs w:val="28"/>
        </w:rPr>
        <w:t>件1</w:t>
      </w:r>
    </w:p>
    <w:p>
      <w:pPr>
        <w:jc w:val="center"/>
        <w:rPr>
          <w:b/>
          <w:sz w:val="44"/>
        </w:rPr>
      </w:pPr>
      <w:r>
        <w:rPr>
          <w:rFonts w:hint="eastAsia"/>
          <w:b/>
          <w:sz w:val="44"/>
        </w:rPr>
        <w:t>项目采购需求书</w:t>
      </w:r>
    </w:p>
    <w:tbl>
      <w:tblPr>
        <w:tblStyle w:val="11"/>
        <w:tblW w:w="9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820"/>
        <w:gridCol w:w="6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20"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类别</w:t>
            </w:r>
          </w:p>
        </w:tc>
        <w:tc>
          <w:tcPr>
            <w:tcW w:w="6457"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采购需求内容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6457"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2026年度</w:t>
            </w:r>
            <w:r>
              <w:rPr>
                <w:rFonts w:hint="eastAsia" w:ascii="仿宋_GB2312" w:hAnsi="仿宋_GB2312" w:eastAsia="仿宋_GB2312" w:cs="仿宋_GB2312"/>
                <w:sz w:val="32"/>
                <w:szCs w:val="32"/>
              </w:rPr>
              <w:t>增城区国土空间</w:t>
            </w:r>
            <w:r>
              <w:rPr>
                <w:rFonts w:hint="eastAsia" w:ascii="仿宋_GB2312" w:hAnsi="仿宋_GB2312" w:eastAsia="仿宋_GB2312" w:cs="仿宋_GB2312"/>
                <w:sz w:val="32"/>
                <w:szCs w:val="32"/>
                <w:lang w:val="en-US" w:eastAsia="zh-CN"/>
              </w:rPr>
              <w:t>总体</w:t>
            </w:r>
            <w:r>
              <w:rPr>
                <w:rFonts w:hint="eastAsia" w:ascii="仿宋_GB2312" w:hAnsi="仿宋_GB2312" w:eastAsia="仿宋_GB2312" w:cs="仿宋_GB2312"/>
                <w:sz w:val="32"/>
                <w:szCs w:val="32"/>
              </w:rPr>
              <w:t>规划</w:t>
            </w:r>
            <w:r>
              <w:rPr>
                <w:rFonts w:hint="eastAsia" w:ascii="仿宋_GB2312" w:hAnsi="仿宋_GB2312" w:eastAsia="仿宋_GB2312" w:cs="仿宋_GB2312"/>
                <w:sz w:val="32"/>
                <w:szCs w:val="32"/>
                <w:lang w:val="en-US" w:eastAsia="zh-CN"/>
              </w:rPr>
              <w:t>局部优化编制技术服务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项目业主情况</w:t>
            </w:r>
          </w:p>
        </w:tc>
        <w:tc>
          <w:tcPr>
            <w:tcW w:w="6457"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项目业主：广州市规划和自然资源局增城区分局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地址：广州市增城区荔城街光明西路108号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联系电话：82629809</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w:t>
            </w:r>
            <w:r>
              <w:rPr>
                <w:rFonts w:hint="eastAsia" w:ascii="仿宋_GB2312" w:hAnsi="仿宋_GB2312" w:eastAsia="仿宋_GB2312" w:cs="仿宋_GB2312"/>
                <w:sz w:val="32"/>
                <w:szCs w:val="32"/>
                <w:lang w:val="en-US" w:eastAsia="zh-CN"/>
              </w:rPr>
              <w:t>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对响应机构的资格要求</w:t>
            </w:r>
          </w:p>
        </w:tc>
        <w:tc>
          <w:tcPr>
            <w:tcW w:w="6457" w:type="dxa"/>
            <w:vAlign w:val="center"/>
          </w:tcPr>
          <w:p>
            <w:pPr>
              <w:numPr>
                <w:ilvl w:val="0"/>
                <w:numId w:val="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具有独立承担民事责任的能力，提供以下相关证照的扫描件之一：（1）企业法人提供企业法人营业执照；（2）事业法人提供事业法人登记证；（3）其他组织提供其他组织的营业执照或执业许可证；（4）自然人提供居民身份证等。分支机构</w:t>
            </w:r>
            <w:r>
              <w:rPr>
                <w:rFonts w:hint="eastAsia" w:ascii="仿宋_GB2312" w:hAnsi="仿宋_GB2312" w:eastAsia="仿宋_GB2312" w:cs="仿宋_GB2312"/>
                <w:sz w:val="32"/>
                <w:szCs w:val="32"/>
                <w:lang w:val="en-US"/>
              </w:rPr>
              <w:t>投标</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的，还须提供分支机构的营业执照（执业许可证）扫描件及总公司（总所）出具给分支机构的授权书。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没有处于被责令停业的状态，没有处于被行政主管部门取消</w:t>
            </w:r>
            <w:r>
              <w:rPr>
                <w:rFonts w:hint="eastAsia" w:ascii="仿宋_GB2312" w:hAnsi="仿宋_GB2312" w:eastAsia="仿宋_GB2312" w:cs="仿宋_GB2312"/>
                <w:sz w:val="32"/>
                <w:szCs w:val="32"/>
                <w:highlight w:val="none"/>
                <w:lang w:val="en-US" w:eastAsia="zh-CN"/>
              </w:rPr>
              <w:t>参与</w:t>
            </w:r>
            <w:r>
              <w:rPr>
                <w:rFonts w:hint="eastAsia" w:ascii="仿宋_GB2312" w:hAnsi="仿宋_GB2312" w:eastAsia="仿宋_GB2312" w:cs="仿宋_GB2312"/>
                <w:sz w:val="32"/>
                <w:szCs w:val="32"/>
                <w:highlight w:val="none"/>
              </w:rPr>
              <w:t>资</w:t>
            </w:r>
            <w:r>
              <w:rPr>
                <w:rFonts w:hint="eastAsia" w:ascii="仿宋_GB2312" w:hAnsi="仿宋_GB2312" w:eastAsia="仿宋_GB2312" w:cs="仿宋_GB2312"/>
                <w:sz w:val="32"/>
                <w:szCs w:val="32"/>
              </w:rPr>
              <w:t>格的处罚期内，没有处于财产被接管、冻结、破产的状态。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3.资质要求：具备在有效期内的城乡规划编制乙级或以上资质。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服务内容和服务要求</w:t>
            </w:r>
          </w:p>
        </w:tc>
        <w:tc>
          <w:tcPr>
            <w:tcW w:w="6457" w:type="dxa"/>
            <w:vAlign w:val="center"/>
          </w:tcPr>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目的是服务于增城区2026年度城镇开发边界外规模落实及城镇开发边界局部优化相关工作，根据增城区</w:t>
            </w:r>
            <w:r>
              <w:rPr>
                <w:rFonts w:hint="eastAsia" w:ascii="仿宋_GB2312" w:hAnsi="仿宋_GB2312" w:eastAsia="仿宋_GB2312" w:cs="仿宋_GB2312"/>
                <w:color w:val="000000" w:themeColor="text1"/>
                <w:sz w:val="32"/>
                <w:szCs w:val="32"/>
                <w14:textFill>
                  <w14:solidFill>
                    <w14:schemeClr w14:val="tx1"/>
                  </w14:solidFill>
                </w14:textFill>
              </w:rPr>
              <w:t>各类用地调整实际诉求与项目需求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季度按需</w:t>
            </w:r>
            <w:r>
              <w:rPr>
                <w:rFonts w:hint="eastAsia" w:ascii="仿宋_GB2312" w:hAnsi="仿宋_GB2312" w:eastAsia="仿宋_GB2312" w:cs="仿宋_GB2312"/>
                <w:color w:val="000000" w:themeColor="text1"/>
                <w:sz w:val="32"/>
                <w:szCs w:val="32"/>
                <w14:textFill>
                  <w14:solidFill>
                    <w14:schemeClr w14:val="tx1"/>
                  </w14:solidFill>
                </w14:textFill>
              </w:rPr>
              <w:t>分类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w:t>
            </w:r>
            <w:r>
              <w:rPr>
                <w:rFonts w:hint="eastAsia" w:ascii="仿宋_GB2312" w:hAnsi="仿宋_GB2312" w:eastAsia="仿宋_GB2312" w:cs="仿宋_GB2312"/>
                <w:color w:val="000000" w:themeColor="text1"/>
                <w:sz w:val="32"/>
                <w:szCs w:val="32"/>
                <w14:textFill>
                  <w14:solidFill>
                    <w14:schemeClr w14:val="tx1"/>
                  </w14:solidFill>
                </w14:textFill>
              </w:rPr>
              <w:t>编制各类优化调整方案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具体工作内容与要求</w:t>
            </w:r>
            <w:r>
              <w:rPr>
                <w:rFonts w:hint="eastAsia" w:ascii="仿宋_GB2312" w:hAnsi="仿宋_GB2312" w:eastAsia="仿宋_GB2312" w:cs="仿宋_GB2312"/>
                <w:sz w:val="32"/>
                <w:szCs w:val="32"/>
                <w:highlight w:val="none"/>
              </w:rPr>
              <w:t>包括但不限于：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1.前期资料收集与准备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收集整理国民经济和社会发展规划、国土空间总体规划、土地利用现状、生态敏感区、地质灾害等相关资料，初步筛选</w:t>
            </w:r>
            <w:r>
              <w:rPr>
                <w:rFonts w:hint="default" w:ascii="仿宋_GB2312" w:hAnsi="仿宋_GB2312" w:eastAsia="仿宋_GB2312" w:cs="仿宋_GB2312"/>
                <w:sz w:val="32"/>
                <w:szCs w:val="32"/>
                <w:lang w:val="en-US"/>
              </w:rPr>
              <w:t>落实</w:t>
            </w:r>
            <w:r>
              <w:rPr>
                <w:rFonts w:hint="eastAsia" w:ascii="仿宋_GB2312" w:hAnsi="仿宋_GB2312" w:eastAsia="仿宋_GB2312" w:cs="仿宋_GB2312"/>
                <w:sz w:val="32"/>
                <w:szCs w:val="32"/>
              </w:rPr>
              <w:t>地块。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方案编制服务包含：规划文本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规划表格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规划图件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附件材料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报批与公告技术支撑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协助完成方案征求部门意见、逐级上报审批，配合开展批前公示、批后公告等全流程工作。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成果交付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提交纸质与电子光盘成果，确保成果符合审批要求并通过验收。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.进度要求:按合同约定期限完成。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.数量：具体按相关主管部门上报审批要求提供纸质、电子版盖章成果。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5.质量要求：</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成交供应商</w:t>
            </w:r>
            <w:r>
              <w:rPr>
                <w:rFonts w:hint="eastAsia" w:ascii="仿宋_GB2312" w:hAnsi="仿宋_GB2312" w:eastAsia="仿宋_GB2312" w:cs="仿宋_GB2312"/>
                <w:color w:val="auto"/>
                <w:sz w:val="32"/>
                <w:szCs w:val="32"/>
              </w:rPr>
              <w:t>应具有开展本项目的专业能力，需为本项目配备1名具有城乡规划</w:t>
            </w:r>
            <w:r>
              <w:rPr>
                <w:rFonts w:hint="eastAsia" w:ascii="仿宋_GB2312" w:hAnsi="仿宋_GB2312" w:eastAsia="仿宋_GB2312" w:cs="仿宋_GB2312"/>
                <w:color w:val="auto"/>
                <w:sz w:val="32"/>
                <w:szCs w:val="32"/>
                <w:lang w:val="en-US" w:eastAsia="zh-CN"/>
              </w:rPr>
              <w:t>或国土类</w:t>
            </w:r>
            <w:r>
              <w:rPr>
                <w:rFonts w:hint="eastAsia" w:ascii="仿宋_GB2312" w:hAnsi="仿宋_GB2312" w:eastAsia="仿宋_GB2312" w:cs="仿宋_GB2312"/>
                <w:color w:val="auto"/>
                <w:sz w:val="32"/>
                <w:szCs w:val="32"/>
              </w:rPr>
              <w:t>专业中级（或以上）技术职称或注册城乡规划师资格的项目负责人，以及不少于4名专业技术人员（均须具有城乡规划</w:t>
            </w:r>
            <w:r>
              <w:rPr>
                <w:rFonts w:hint="eastAsia" w:ascii="仿宋_GB2312" w:hAnsi="仿宋_GB2312" w:eastAsia="仿宋_GB2312" w:cs="仿宋_GB2312"/>
                <w:color w:val="auto"/>
                <w:sz w:val="32"/>
                <w:szCs w:val="32"/>
                <w:lang w:val="en-US" w:eastAsia="zh-CN"/>
              </w:rPr>
              <w:t>或国土</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专业</w:t>
            </w:r>
            <w:r>
              <w:rPr>
                <w:rFonts w:hint="eastAsia" w:ascii="仿宋_GB2312" w:hAnsi="仿宋_GB2312" w:eastAsia="仿宋_GB2312" w:cs="仿宋_GB2312"/>
                <w:color w:val="auto"/>
                <w:sz w:val="32"/>
                <w:szCs w:val="32"/>
              </w:rPr>
              <w:t>初级或以上职称）。(2)针对项目成果编制有详实可行的工作方案并对项目的全过程进行跟踪服务。(3)为保障项目质量水平，需在响应文件中明确相关措施。</w:t>
            </w:r>
            <w:r>
              <w:rPr>
                <w:rFonts w:hint="eastAsia" w:ascii="仿宋_GB2312" w:hAnsi="仿宋_GB2312" w:eastAsia="仿宋_GB2312" w:cs="仿宋_GB2312"/>
                <w:sz w:val="32"/>
                <w:szCs w:val="32"/>
              </w:rPr>
              <w:t>(4)提交的成果深度需满足现行国土空间规划相关法律法规及国家规范和行业标准，满足主管部门审批要求。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.其他要求;(1).</w:t>
            </w:r>
            <w:r>
              <w:rPr>
                <w:rFonts w:hint="eastAsia" w:ascii="仿宋_GB2312" w:hAnsi="仿宋_GB2312" w:eastAsia="仿宋_GB2312" w:cs="仿宋_GB2312"/>
                <w:sz w:val="32"/>
                <w:szCs w:val="32"/>
                <w:lang w:val="en-US" w:eastAsia="zh-CN"/>
              </w:rPr>
              <w:t>成交供应商</w:t>
            </w:r>
            <w:r>
              <w:rPr>
                <w:rFonts w:hint="eastAsia" w:ascii="仿宋_GB2312" w:hAnsi="仿宋_GB2312" w:eastAsia="仿宋_GB2312" w:cs="仿宋_GB2312"/>
                <w:sz w:val="32"/>
                <w:szCs w:val="32"/>
              </w:rPr>
              <w:t>不得对本项目进行分包或转包。(2).</w:t>
            </w:r>
            <w:r>
              <w:rPr>
                <w:rFonts w:hint="eastAsia" w:ascii="仿宋_GB2312" w:hAnsi="仿宋_GB2312" w:eastAsia="仿宋_GB2312" w:cs="仿宋_GB2312"/>
                <w:sz w:val="32"/>
                <w:szCs w:val="32"/>
                <w:lang w:val="en-US" w:eastAsia="zh-CN"/>
              </w:rPr>
              <w:t>成交供应商</w:t>
            </w:r>
            <w:r>
              <w:rPr>
                <w:rFonts w:hint="eastAsia" w:ascii="仿宋_GB2312" w:hAnsi="仿宋_GB2312" w:eastAsia="仿宋_GB2312" w:cs="仿宋_GB2312"/>
                <w:sz w:val="32"/>
                <w:szCs w:val="32"/>
              </w:rPr>
              <w:t>必须制订并执行项目安全保密制度，对我局提供的有关技术资料履行保密责任，不得随意将项目成果外泄，必须在取得我局同意的情况下方可将项目成果提交第三方。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合同履行地点和方式</w:t>
            </w:r>
          </w:p>
        </w:tc>
        <w:tc>
          <w:tcPr>
            <w:tcW w:w="6457" w:type="dxa"/>
            <w:vAlign w:val="center"/>
          </w:tcPr>
          <w:p>
            <w:pPr>
              <w:numPr>
                <w:ilvl w:val="0"/>
                <w:numId w:val="2"/>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地点：广州市增城区。</w:t>
            </w:r>
          </w:p>
          <w:p>
            <w:pPr>
              <w:numPr>
                <w:ilvl w:val="0"/>
                <w:numId w:val="2"/>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履行方式：按国家和省相关规程规范要求按时完成各阶段的工作并保证其成果质量，对项目的全过程进行跟踪服务。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评审方式和计价标准</w:t>
            </w:r>
          </w:p>
        </w:tc>
        <w:tc>
          <w:tcPr>
            <w:tcW w:w="6457"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1.评审方式：综合评审法。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2.报价方式：报总价，最高限价</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万元整，上述金额含税费。原则上超出最高限价的为无效报价。</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（注：报价金额为合同签订金额，该项目的</w:t>
            </w:r>
            <w:r>
              <w:rPr>
                <w:rFonts w:hint="eastAsia" w:ascii="仿宋_GB2312" w:hAnsi="仿宋_GB2312" w:eastAsia="仿宋_GB2312" w:cs="仿宋_GB2312"/>
                <w:sz w:val="32"/>
                <w:szCs w:val="32"/>
              </w:rPr>
              <w:t>合同</w:t>
            </w:r>
            <w:r>
              <w:rPr>
                <w:rFonts w:hint="eastAsia" w:ascii="仿宋_GB2312" w:hAnsi="仿宋_GB2312" w:eastAsia="仿宋_GB2312" w:cs="仿宋_GB2312"/>
                <w:sz w:val="32"/>
                <w:szCs w:val="32"/>
                <w:lang w:val="en-US" w:eastAsia="zh-CN"/>
              </w:rPr>
              <w:t>签订</w:t>
            </w:r>
            <w:r>
              <w:rPr>
                <w:rFonts w:hint="eastAsia" w:ascii="仿宋_GB2312" w:hAnsi="仿宋_GB2312" w:eastAsia="仿宋_GB2312" w:cs="仿宋_GB2312"/>
                <w:sz w:val="32"/>
                <w:szCs w:val="32"/>
              </w:rPr>
              <w:t>金额为包干价，</w:t>
            </w:r>
            <w:r>
              <w:rPr>
                <w:rFonts w:hint="eastAsia" w:ascii="仿宋_GB2312" w:hAnsi="仿宋_GB2312" w:eastAsia="仿宋_GB2312" w:cs="仿宋_GB2312"/>
                <w:sz w:val="32"/>
                <w:szCs w:val="32"/>
                <w:lang w:val="en-US" w:eastAsia="zh-CN"/>
              </w:rPr>
              <w:t>包含人工、交通、税费等完成本项目所需的全部费用。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该项目服务期内所需</w:t>
            </w:r>
            <w:r>
              <w:rPr>
                <w:rFonts w:hint="eastAsia" w:ascii="仿宋_GB2312" w:hAnsi="仿宋_GB2312" w:eastAsia="仿宋_GB2312" w:cs="仿宋_GB2312"/>
                <w:color w:val="000000" w:themeColor="text1"/>
                <w:sz w:val="32"/>
                <w:szCs w:val="32"/>
                <w14:textFill>
                  <w14:solidFill>
                    <w14:schemeClr w14:val="tx1"/>
                  </w14:solidFill>
                </w14:textFill>
              </w:rPr>
              <w:t>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方案的预估工作量约为5</w:t>
            </w:r>
            <w:r>
              <w:rPr>
                <w:rFonts w:hint="eastAsia" w:ascii="仿宋_GB2312" w:hAnsi="仿宋_GB2312" w:eastAsia="仿宋_GB2312" w:cs="仿宋_GB2312"/>
                <w:color w:val="000000" w:themeColor="text1"/>
                <w:sz w:val="32"/>
                <w:szCs w:val="32"/>
                <w14:textFill>
                  <w14:solidFill>
                    <w14:schemeClr w14:val="tx1"/>
                  </w14:solidFill>
                </w14:textFill>
              </w:rPr>
              <w:t>个</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但</w:t>
            </w:r>
            <w:r>
              <w:rPr>
                <w:rFonts w:hint="eastAsia" w:ascii="仿宋_GB2312" w:hAnsi="仿宋_GB2312" w:eastAsia="仿宋_GB2312" w:cs="仿宋_GB2312"/>
                <w:color w:val="000000" w:themeColor="text1"/>
                <w:sz w:val="32"/>
                <w:szCs w:val="32"/>
                <w14:textFill>
                  <w14:solidFill>
                    <w14:schemeClr w14:val="tx1"/>
                  </w14:solidFill>
                </w14:textFill>
              </w:rPr>
              <w:t>实际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工作量按甲方实际委托为准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如项目服务期内甲方实际委托工作量超过预估工作量的，乙方仍应完成全部委托项目。项目服务费仍按合同签订金额结算。）</w:t>
            </w:r>
          </w:p>
          <w:p>
            <w:pPr>
              <w:snapToGrid/>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如出现异常低价报价，则启动异常低价审查：</w:t>
            </w:r>
          </w:p>
          <w:p>
            <w:p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（1）符合性审查通过后，出现下列情形之一的，立即启动异常低价审查：</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1）响应报价低于项目最高限价的45%；</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2）响应报价低于有效报价算术平均值的50%；</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3）响应报价低于有效报价次低报价的50%；</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4）评审小组认为报价明显低于合理成本，可能影响质量与诚信履约的其他情形。</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（2）审查程序</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1）现场质询。评审小组以书面发出质询，要求供应商提交报价合理性说明及成本证明材料。</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2）材料提交。供应商须提交书面说明、成本明细、货源与质量保障等材料；逾期、未按要求提交或拒不说明，视为不能证明合理性。</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3）评审判定。评审小组审核材料真实性、完整性、合理性：</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能证明合理且履约可靠的，报价有效；</w:t>
            </w:r>
          </w:p>
          <w:p>
            <w:pPr>
              <w:numPr>
                <w:ilvl w:val="0"/>
                <w:numId w:val="0"/>
              </w:numPr>
              <w:snapToGrid/>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不能证明、存在履约风险的，响应无效，不推荐为成交候选人。</w:t>
            </w:r>
          </w:p>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4）记录归档。全过程记入评审报告，签字确认并存档。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3.计价标准：参考同类型规划编制项目报价情况，结合增城区的市场行情及项目规模确定。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服务时间</w:t>
            </w:r>
          </w:p>
        </w:tc>
        <w:tc>
          <w:tcPr>
            <w:tcW w:w="6457"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本项目服务期为合同签订之日起12个月。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w:t>
            </w:r>
          </w:p>
        </w:tc>
        <w:tc>
          <w:tcPr>
            <w:tcW w:w="6457" w:type="dxa"/>
            <w:vAlign w:val="center"/>
          </w:tcPr>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1.验收时间：服务完成后验收。</w:t>
            </w:r>
          </w:p>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2.验收程序：</w:t>
            </w:r>
            <w:r>
              <w:rPr>
                <w:rFonts w:hint="eastAsia" w:ascii="仿宋_GB2312" w:hAnsi="仿宋_GB2312" w:eastAsia="仿宋_GB2312" w:cs="仿宋_GB2312"/>
                <w:color w:val="auto"/>
                <w:sz w:val="32"/>
                <w:szCs w:val="32"/>
              </w:rPr>
              <w:t>以上级部门审批通过或数据启用为验收结论。</w:t>
            </w:r>
          </w:p>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3.验收标准：提交的成果满足国家和省相关规程规范，满足主管部门审批要求等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如非因乙方原因导致主管部门审批或备案不通过的，由甲方自行组织验收）</w:t>
            </w:r>
            <w:r>
              <w:rPr>
                <w:rFonts w:hint="eastAsia" w:ascii="仿宋_GB2312" w:hAnsi="仿宋_GB2312" w:eastAsia="仿宋_GB2312" w:cs="仿宋_GB2312"/>
                <w:sz w:val="32"/>
                <w:szCs w:val="32"/>
              </w:rPr>
              <w:t>。</w:t>
            </w:r>
          </w:p>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4.验收不合格的处理方式：负责修编项目成果直至符合主管部门审批要求和合同约定要求。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w:t>
            </w:r>
          </w:p>
        </w:tc>
        <w:tc>
          <w:tcPr>
            <w:tcW w:w="6457" w:type="dxa"/>
            <w:vAlign w:val="center"/>
          </w:tcPr>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期支付</w:t>
            </w:r>
            <w:r>
              <w:rPr>
                <w:rFonts w:hint="eastAsia" w:ascii="仿宋_GB2312" w:hAnsi="仿宋_GB2312" w:eastAsia="仿宋_GB2312" w:cs="仿宋_GB2312"/>
                <w:sz w:val="32"/>
                <w:szCs w:val="32"/>
                <w:lang w:eastAsia="zh-CN"/>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（1）本合同签订生效后，</w:t>
            </w:r>
            <w:r>
              <w:rPr>
                <w:rFonts w:hint="eastAsia" w:ascii="仿宋_GB2312" w:hAnsi="仿宋_GB2312" w:eastAsia="仿宋_GB2312" w:cs="仿宋_GB2312"/>
                <w:sz w:val="32"/>
                <w:szCs w:val="32"/>
                <w:lang w:val="en-US" w:eastAsia="zh-CN"/>
              </w:rPr>
              <w:t>乙方提供有效支付凭证（请款函、银行账户确认书、等额发票等），</w:t>
            </w:r>
            <w:r>
              <w:rPr>
                <w:rFonts w:hint="eastAsia" w:ascii="仿宋_GB2312" w:hAnsi="仿宋_GB2312" w:eastAsia="仿宋_GB2312" w:cs="仿宋_GB2312"/>
                <w:sz w:val="32"/>
                <w:szCs w:val="32"/>
              </w:rPr>
              <w:t>甲方自财政资金拨付到位之日起 15 个工作日内向乙方支付</w:t>
            </w:r>
            <w:r>
              <w:rPr>
                <w:rFonts w:hint="eastAsia" w:ascii="仿宋_GB2312" w:hAnsi="仿宋_GB2312" w:eastAsia="仿宋_GB2312" w:cs="仿宋_GB2312"/>
                <w:sz w:val="32"/>
                <w:szCs w:val="32"/>
                <w:lang w:val="en-US" w:eastAsia="zh-CN"/>
              </w:rPr>
              <w:t>预付款人民币14万元</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服务期满后，乙方完成甲方所委托的全部工作量，提交全部工作</w:t>
            </w:r>
            <w:r>
              <w:rPr>
                <w:rFonts w:hint="eastAsia" w:ascii="仿宋_GB2312" w:hAnsi="仿宋_GB2312" w:eastAsia="仿宋_GB2312" w:cs="仿宋_GB2312"/>
                <w:sz w:val="32"/>
                <w:szCs w:val="32"/>
              </w:rPr>
              <w:t>成果</w:t>
            </w:r>
            <w:r>
              <w:rPr>
                <w:rFonts w:hint="eastAsia" w:ascii="仿宋_GB2312" w:hAnsi="仿宋_GB2312" w:eastAsia="仿宋_GB2312" w:cs="仿宋_GB2312"/>
                <w:sz w:val="32"/>
                <w:szCs w:val="32"/>
                <w:lang w:val="en-US" w:eastAsia="zh-CN"/>
              </w:rPr>
              <w:t>并通过主管</w:t>
            </w:r>
            <w:r>
              <w:rPr>
                <w:rFonts w:hint="eastAsia" w:ascii="仿宋_GB2312" w:hAnsi="仿宋_GB2312" w:eastAsia="仿宋_GB2312" w:cs="仿宋_GB2312"/>
                <w:color w:val="auto"/>
                <w:sz w:val="32"/>
                <w:szCs w:val="32"/>
              </w:rPr>
              <w:t>部门审批或数据启用</w:t>
            </w:r>
            <w:r>
              <w:rPr>
                <w:rFonts w:hint="eastAsia" w:ascii="仿宋_GB2312" w:hAnsi="仿宋_GB2312" w:eastAsia="仿宋_GB2312" w:cs="仿宋_GB2312"/>
                <w:color w:val="auto"/>
                <w:sz w:val="32"/>
                <w:szCs w:val="32"/>
                <w:lang w:val="en-US" w:eastAsia="zh-CN"/>
              </w:rPr>
              <w:t>或甲方验收后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乙方提供有效支付凭证（请款函、银行账户确认书、等额发票、成果材料、验收材料等），</w:t>
            </w:r>
            <w:r>
              <w:rPr>
                <w:rFonts w:hint="eastAsia" w:ascii="仿宋_GB2312" w:hAnsi="仿宋_GB2312" w:eastAsia="仿宋_GB2312" w:cs="仿宋_GB2312"/>
                <w:sz w:val="32"/>
                <w:szCs w:val="32"/>
              </w:rPr>
              <w:t>甲方自财政资金拨付到位之日起 15 个工作日内，向乙方支付合同</w:t>
            </w:r>
            <w:r>
              <w:rPr>
                <w:rFonts w:hint="eastAsia" w:ascii="仿宋_GB2312" w:hAnsi="仿宋_GB2312" w:eastAsia="仿宋_GB2312" w:cs="仿宋_GB2312"/>
                <w:sz w:val="32"/>
                <w:szCs w:val="32"/>
                <w:lang w:val="en-US" w:eastAsia="zh-CN"/>
              </w:rPr>
              <w:t>尾款（尾款金额为合同金额扣除已支付的预付款金额）</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2.任何一方因政策变动、不可抗力(如地震、战争、重大疫情等)、重大情势变更导致本合同无法继续履行的，应在相关事件结束后1个工作日内向对方通报，双方可修订或者解除本合同，协商不成的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任何一方均</w:t>
            </w:r>
            <w:r>
              <w:rPr>
                <w:rFonts w:hint="eastAsia" w:ascii="仿宋_GB2312" w:hAnsi="仿宋_GB2312" w:eastAsia="仿宋_GB2312" w:cs="仿宋_GB2312"/>
                <w:sz w:val="32"/>
                <w:szCs w:val="32"/>
              </w:rPr>
              <w:t>有权解除合同。</w:t>
            </w:r>
            <w:r>
              <w:rPr>
                <w:rFonts w:hint="eastAsia" w:ascii="仿宋_GB2312" w:hAnsi="仿宋_GB2312" w:eastAsia="仿宋_GB2312" w:cs="仿宋_GB2312"/>
                <w:sz w:val="32"/>
                <w:szCs w:val="32"/>
                <w:lang w:val="en-US" w:eastAsia="zh-CN"/>
              </w:rPr>
              <w:t>解除合同时</w:t>
            </w:r>
            <w:r>
              <w:rPr>
                <w:rFonts w:hint="eastAsia" w:ascii="仿宋_GB2312" w:hAnsi="仿宋_GB2312" w:eastAsia="仿宋_GB2312" w:cs="仿宋_GB2312"/>
                <w:sz w:val="32"/>
                <w:szCs w:val="32"/>
              </w:rPr>
              <w:t>，若乙方尚未开展工作的，甲方无需向乙方支付任何费用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甲方已支付的预付款要全额退回;</w:t>
            </w:r>
            <w:r>
              <w:rPr>
                <w:rFonts w:hint="eastAsia" w:ascii="仿宋_GB2312" w:hAnsi="仿宋_GB2312" w:eastAsia="仿宋_GB2312" w:cs="仿宋_GB2312"/>
                <w:color w:val="auto"/>
                <w:sz w:val="32"/>
                <w:szCs w:val="32"/>
                <w:highlight w:val="none"/>
              </w:rPr>
              <w:t>若</w:t>
            </w:r>
            <w:r>
              <w:rPr>
                <w:rFonts w:hint="eastAsia" w:ascii="仿宋_GB2312" w:hAnsi="仿宋_GB2312" w:eastAsia="仿宋_GB2312" w:cs="仿宋_GB2312"/>
                <w:color w:val="auto"/>
                <w:sz w:val="32"/>
                <w:szCs w:val="32"/>
                <w:highlight w:val="none"/>
                <w:lang w:val="en-US" w:eastAsia="zh-CN"/>
              </w:rPr>
              <w:t>乙方已开展相关工作，完成了首个方案的阶段性成果报送甲方但成果尚未通过备案的，甲方按乙方实际发生的合理成本予以补偿，最高不超过合同总额的15%。甲方已支付款项超出该补偿额的，乙方应退还差额；乙方已有N个方案成果通过备案（N≥1）：甲方应付服务费=合同总额的20%×N，但累计支付不超过合同总额。甲方已支付的预付款多退少补（即：应付额高于预付款的，甲方补差；低于预付款的，乙方退差），差额应在合同解除后15个工作日内结清</w:t>
            </w:r>
            <w:r>
              <w:rPr>
                <w:rFonts w:hint="eastAsia" w:ascii="仿宋_GB2312" w:hAnsi="仿宋_GB2312" w:eastAsia="仿宋_GB2312" w:cs="仿宋_GB2312"/>
                <w:color w:val="auto"/>
                <w:sz w:val="32"/>
                <w:szCs w:val="3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违约责任</w:t>
            </w:r>
          </w:p>
        </w:tc>
        <w:tc>
          <w:tcPr>
            <w:tcW w:w="6457" w:type="dxa"/>
            <w:vAlign w:val="center"/>
          </w:tcPr>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1．乙方提供的服务不符合采购文件、</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文件或本合同规定的，甲方有权拒收，并且乙方须向甲方退还已支付的合同款，并支付本合同总价5%的违约金。</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2．乙方未能按甲方时间要求交付货物的/提供服务，从逾期之日起每日按本合同总价3‰的数额向甲方支付违约金；逾期15天以上（含15天）的，甲方有权解除合同，要求乙方支付本合同总价5%的违约金。</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3．甲方逾期付款，则每日按逾期</w:t>
            </w:r>
            <w:r>
              <w:rPr>
                <w:rFonts w:hint="eastAsia" w:ascii="仿宋_GB2312" w:hAnsi="仿宋_GB2312" w:eastAsia="仿宋_GB2312" w:cs="仿宋_GB2312"/>
                <w:color w:val="auto"/>
                <w:sz w:val="32"/>
                <w:szCs w:val="32"/>
                <w:lang w:val="en-US" w:eastAsia="zh-CN"/>
              </w:rPr>
              <w:t>付款</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‱向乙方偿付违约金，甲方向乙方偿付的违约金不超过本合同总价的5%。</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4．其它违约责任按《中华人民共和国民法典》处理。</w:t>
            </w:r>
          </w:p>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5．除甲方事先书面同意外，乙方不得部分或全部转让、转包或分包其应履行的合同项下的义务，否则甲方有权解除合同，要求乙方退还已支付的合同款，并支付本合同总价5%的违约金，给甲方造成的经济损失由乙方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1820"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补充合同和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解决争议方式</w:t>
            </w:r>
          </w:p>
        </w:tc>
        <w:tc>
          <w:tcPr>
            <w:tcW w:w="6457" w:type="dxa"/>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采购合同中如有未尽事宜，双方协商一致后可以签订补充合同，但补充合同不得与《中华人民共和国民法典》相抵触。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对于合同履行中出现的纠纷，双方应友好协商解决。协商不成的，依法向广州市增城区人民法院提起诉讼。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1820" w:type="dxa"/>
            <w:vAlign w:val="center"/>
          </w:tcPr>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6457" w:type="dxa"/>
            <w:vAlign w:val="center"/>
          </w:tcPr>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如果监督管理部门对有关服务已经拟定“合同范本”，业主单位、中选机构应当使用有关“合同范本”；如果监督管理部门未有“合同范本”，业主单位、中选机构应当根据《中华人民共和国民法典》等法律法规的规定自行拟定合同。</w:t>
            </w:r>
          </w:p>
          <w:p>
            <w:pPr>
              <w:tabs>
                <w:tab w:val="left" w:pos="312"/>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2.合同的实质性内容，应当与采购公告、采购结果的内容一致。合同的实质性内容是指合同标的、数量、质量、价款或者报酬、履行期限、履行地点和方式、违约责任和解决争议方法等。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3.合同的变更、终止须由双方协商一致，并以书面形式确定，并须适用《中华人民共和国民法典》等法律法规的规定。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tc>
      </w:tr>
      <w:bookmarkEnd w:id="0"/>
    </w:tbl>
    <w:p>
      <w:pPr>
        <w:adjustRightInd w:val="0"/>
        <w:spacing w:line="520" w:lineRule="exact"/>
        <w:rPr>
          <w:rFonts w:hint="eastAsia" w:ascii="黑体" w:hAnsi="黑体" w:eastAsia="黑体" w:cs="黑体"/>
          <w:sz w:val="28"/>
          <w:szCs w:val="28"/>
        </w:rPr>
        <w:sectPr>
          <w:pgSz w:w="11906" w:h="16838"/>
          <w:pgMar w:top="1440" w:right="1800" w:bottom="1440" w:left="1800" w:header="851" w:footer="992" w:gutter="0"/>
          <w:cols w:space="720" w:num="1"/>
          <w:docGrid w:type="lines" w:linePitch="312" w:charSpace="0"/>
        </w:sectPr>
      </w:pPr>
    </w:p>
    <w:p>
      <w:pPr>
        <w:adjustRightInd w:val="0"/>
        <w:spacing w:line="440" w:lineRule="exact"/>
        <w:rPr>
          <w:rFonts w:hint="eastAsia" w:ascii="黑体" w:hAnsi="黑体" w:eastAsia="黑体" w:cs="黑体"/>
          <w:sz w:val="28"/>
          <w:szCs w:val="28"/>
        </w:rPr>
      </w:pPr>
      <w:r>
        <w:rPr>
          <w:rFonts w:hint="eastAsia" w:ascii="黑体" w:hAnsi="黑体" w:eastAsia="黑体" w:cs="黑体"/>
          <w:sz w:val="28"/>
          <w:szCs w:val="28"/>
        </w:rPr>
        <w:t>附件2</w:t>
      </w:r>
    </w:p>
    <w:tbl>
      <w:tblPr>
        <w:tblStyle w:val="11"/>
        <w:tblW w:w="13976" w:type="dxa"/>
        <w:tblInd w:w="0" w:type="dxa"/>
        <w:tblLayout w:type="fixed"/>
        <w:tblCellMar>
          <w:top w:w="15" w:type="dxa"/>
          <w:left w:w="15" w:type="dxa"/>
          <w:bottom w:w="15" w:type="dxa"/>
          <w:right w:w="15" w:type="dxa"/>
        </w:tblCellMar>
      </w:tblPr>
      <w:tblGrid>
        <w:gridCol w:w="622"/>
        <w:gridCol w:w="608"/>
        <w:gridCol w:w="583"/>
        <w:gridCol w:w="6452"/>
        <w:gridCol w:w="1662"/>
        <w:gridCol w:w="586"/>
        <w:gridCol w:w="436"/>
        <w:gridCol w:w="750"/>
        <w:gridCol w:w="1132"/>
        <w:gridCol w:w="1145"/>
      </w:tblGrid>
      <w:tr>
        <w:tblPrEx>
          <w:tblLayout w:type="fixed"/>
          <w:tblCellMar>
            <w:top w:w="15" w:type="dxa"/>
            <w:left w:w="15" w:type="dxa"/>
            <w:bottom w:w="15" w:type="dxa"/>
            <w:right w:w="15" w:type="dxa"/>
          </w:tblCellMar>
        </w:tblPrEx>
        <w:trPr>
          <w:trHeight w:val="90" w:hRule="atLeast"/>
        </w:trPr>
        <w:tc>
          <w:tcPr>
            <w:tcW w:w="13976" w:type="dxa"/>
            <w:gridSpan w:val="10"/>
            <w:vAlign w:val="center"/>
          </w:tcPr>
          <w:p>
            <w:pPr>
              <w:widowControl/>
              <w:spacing w:line="360" w:lineRule="exact"/>
              <w:jc w:val="center"/>
              <w:textAlignment w:val="center"/>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选定服务机构综合评分表</w:t>
            </w:r>
          </w:p>
        </w:tc>
      </w:tr>
      <w:tr>
        <w:tblPrEx>
          <w:tblLayout w:type="fixed"/>
          <w:tblCellMar>
            <w:top w:w="15" w:type="dxa"/>
            <w:left w:w="15" w:type="dxa"/>
            <w:bottom w:w="15" w:type="dxa"/>
            <w:right w:w="15" w:type="dxa"/>
          </w:tblCellMar>
        </w:tblPrEx>
        <w:trPr>
          <w:trHeight w:val="286" w:hRule="atLeast"/>
        </w:trPr>
        <w:tc>
          <w:tcPr>
            <w:tcW w:w="10513"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项目名称：</w:t>
            </w:r>
            <w:r>
              <w:rPr>
                <w:rFonts w:hint="eastAsia" w:ascii="仿宋_GB2312" w:hAnsi="宋体" w:eastAsia="仿宋_GB2312" w:cs="仿宋_GB2312"/>
                <w:color w:val="000000"/>
                <w:kern w:val="0"/>
                <w:sz w:val="24"/>
                <w:lang w:val="en-US" w:eastAsia="zh-CN" w:bidi="ar"/>
              </w:rPr>
              <w:t>2026年度</w:t>
            </w:r>
            <w:r>
              <w:rPr>
                <w:rFonts w:hint="eastAsia" w:ascii="仿宋_GB2312" w:hAnsi="宋体" w:eastAsia="仿宋_GB2312" w:cs="仿宋_GB2312"/>
                <w:color w:val="000000"/>
                <w:kern w:val="0"/>
                <w:sz w:val="24"/>
                <w:lang w:bidi="ar"/>
              </w:rPr>
              <w:t>增城区国土空间</w:t>
            </w:r>
            <w:r>
              <w:rPr>
                <w:rFonts w:hint="eastAsia" w:ascii="仿宋_GB2312" w:hAnsi="宋体" w:eastAsia="仿宋_GB2312" w:cs="仿宋_GB2312"/>
                <w:color w:val="000000"/>
                <w:kern w:val="0"/>
                <w:sz w:val="24"/>
                <w:lang w:val="en-US" w:eastAsia="zh-CN" w:bidi="ar"/>
              </w:rPr>
              <w:t>总体</w:t>
            </w:r>
            <w:r>
              <w:rPr>
                <w:rFonts w:hint="eastAsia" w:ascii="仿宋_GB2312" w:hAnsi="宋体" w:eastAsia="仿宋_GB2312" w:cs="仿宋_GB2312"/>
                <w:color w:val="000000"/>
                <w:kern w:val="0"/>
                <w:sz w:val="24"/>
                <w:lang w:bidi="ar"/>
              </w:rPr>
              <w:t>规划</w:t>
            </w:r>
            <w:r>
              <w:rPr>
                <w:rFonts w:hint="eastAsia" w:ascii="仿宋_GB2312" w:hAnsi="宋体" w:eastAsia="仿宋_GB2312" w:cs="仿宋_GB2312"/>
                <w:color w:val="000000"/>
                <w:kern w:val="0"/>
                <w:sz w:val="24"/>
                <w:lang w:val="en-US" w:eastAsia="zh-CN" w:bidi="ar"/>
              </w:rPr>
              <w:t>局部优化</w:t>
            </w:r>
            <w:r>
              <w:rPr>
                <w:rFonts w:hint="eastAsia" w:ascii="仿宋_GB2312" w:hAnsi="宋体" w:eastAsia="仿宋_GB2312" w:cs="仿宋_GB2312"/>
                <w:color w:val="000000"/>
                <w:kern w:val="0"/>
                <w:sz w:val="24"/>
                <w:lang w:bidi="ar"/>
              </w:rPr>
              <w:t>编制技术服务</w:t>
            </w:r>
          </w:p>
        </w:tc>
        <w:tc>
          <w:tcPr>
            <w:tcW w:w="3463"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采购单位：广州市规划和自然资源局增城区分局</w:t>
            </w:r>
          </w:p>
        </w:tc>
      </w:tr>
      <w:tr>
        <w:tblPrEx>
          <w:tblLayout w:type="fixed"/>
          <w:tblCellMar>
            <w:top w:w="15" w:type="dxa"/>
            <w:left w:w="15" w:type="dxa"/>
            <w:bottom w:w="15" w:type="dxa"/>
            <w:right w:w="15" w:type="dxa"/>
          </w:tblCellMar>
        </w:tblPrEx>
        <w:trPr>
          <w:trHeight w:val="298"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序号</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类目</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分值</w:t>
            </w:r>
          </w:p>
        </w:tc>
        <w:tc>
          <w:tcPr>
            <w:tcW w:w="8700"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评分标准</w:t>
            </w:r>
          </w:p>
        </w:tc>
        <w:tc>
          <w:tcPr>
            <w:tcW w:w="3463"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val="en-US" w:eastAsia="zh-CN" w:bidi="ar"/>
              </w:rPr>
              <w:t>供应商</w:t>
            </w:r>
            <w:r>
              <w:rPr>
                <w:rFonts w:hint="eastAsia" w:ascii="仿宋_GB2312" w:hAnsi="宋体" w:eastAsia="仿宋_GB2312" w:cs="仿宋_GB2312"/>
                <w:color w:val="000000"/>
                <w:kern w:val="0"/>
                <w:sz w:val="24"/>
                <w:lang w:bidi="ar"/>
              </w:rPr>
              <w:t>及得分</w:t>
            </w:r>
          </w:p>
        </w:tc>
      </w:tr>
      <w:tr>
        <w:tblPrEx>
          <w:tblLayout w:type="fixed"/>
          <w:tblCellMar>
            <w:top w:w="15" w:type="dxa"/>
            <w:left w:w="15" w:type="dxa"/>
            <w:bottom w:w="15" w:type="dxa"/>
            <w:right w:w="15" w:type="dxa"/>
          </w:tblCellMar>
        </w:tblPrEx>
        <w:trPr>
          <w:trHeight w:val="139"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118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90"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商务部分</w:t>
            </w:r>
          </w:p>
        </w:tc>
        <w:tc>
          <w:tcPr>
            <w:tcW w:w="583" w:type="dxa"/>
            <w:vMerge w:val="restart"/>
            <w:tcBorders>
              <w:top w:val="single" w:color="000000" w:sz="4" w:space="0"/>
              <w:left w:val="single" w:color="000000" w:sz="4" w:space="0"/>
              <w:right w:val="single" w:color="000000" w:sz="4" w:space="0"/>
            </w:tcBorders>
            <w:vAlign w:val="center"/>
          </w:tcPr>
          <w:p>
            <w:pPr>
              <w:jc w:val="center"/>
              <w:rPr>
                <w:rFonts w:hint="eastAsia" w:ascii="仿宋_GB2312" w:hAnsi="宋体" w:eastAsia="仿宋_GB2312" w:cs="仿宋_GB2312"/>
                <w:color w:val="000000"/>
                <w:sz w:val="24"/>
                <w:lang w:val="en-US" w:eastAsia="zh-CN"/>
              </w:rPr>
            </w:pPr>
            <w:r>
              <w:rPr>
                <w:rFonts w:hint="eastAsia" w:ascii="仿宋_GB2312" w:hAnsi="宋体" w:eastAsia="仿宋_GB2312" w:cs="仿宋_GB2312"/>
                <w:color w:val="000000"/>
                <w:sz w:val="24"/>
                <w:lang w:val="en-US" w:eastAsia="zh-CN"/>
              </w:rPr>
              <w:t>20</w:t>
            </w: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val="en-US" w:eastAsia="zh-CN" w:bidi="ar"/>
              </w:rPr>
              <w:t>供应商</w:t>
            </w:r>
            <w:r>
              <w:rPr>
                <w:rFonts w:hint="eastAsia" w:ascii="仿宋_GB2312" w:hAnsi="宋体" w:eastAsia="仿宋_GB2312" w:cs="仿宋_GB2312"/>
                <w:color w:val="000000"/>
                <w:sz w:val="24"/>
              </w:rPr>
              <w:t>实施过同类项目，每提供一个业绩得</w:t>
            </w:r>
            <w:r>
              <w:rPr>
                <w:rFonts w:hint="eastAsia" w:ascii="仿宋_GB2312" w:hAnsi="宋体" w:eastAsia="仿宋_GB2312" w:cs="仿宋_GB2312"/>
                <w:color w:val="000000"/>
                <w:sz w:val="24"/>
                <w:lang w:val="en-US" w:eastAsia="zh-CN"/>
              </w:rPr>
              <w:t>5</w:t>
            </w:r>
            <w:r>
              <w:rPr>
                <w:rFonts w:hint="eastAsia" w:ascii="仿宋_GB2312" w:hAnsi="宋体" w:eastAsia="仿宋_GB2312" w:cs="仿宋_GB2312"/>
                <w:color w:val="000000"/>
                <w:sz w:val="24"/>
              </w:rPr>
              <w:t>分，最高得</w:t>
            </w:r>
            <w:r>
              <w:rPr>
                <w:rFonts w:hint="eastAsia" w:ascii="仿宋_GB2312" w:hAnsi="宋体" w:eastAsia="仿宋_GB2312" w:cs="仿宋_GB2312"/>
                <w:color w:val="000000"/>
                <w:sz w:val="24"/>
                <w:lang w:val="en-US" w:eastAsia="zh-CN"/>
              </w:rPr>
              <w:t>20</w:t>
            </w:r>
            <w:r>
              <w:rPr>
                <w:rFonts w:hint="eastAsia" w:ascii="仿宋_GB2312" w:hAnsi="宋体" w:eastAsia="仿宋_GB2312" w:cs="仿宋_GB2312"/>
                <w:color w:val="000000"/>
                <w:sz w:val="24"/>
              </w:rPr>
              <w:t>分。</w:t>
            </w:r>
          </w:p>
        </w:tc>
        <w:tc>
          <w:tcPr>
            <w:tcW w:w="1186" w:type="dxa"/>
            <w:gridSpan w:val="2"/>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31"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注：需提供项目合同复印件,否则不得分。</w:t>
            </w:r>
            <w:r>
              <w:rPr>
                <w:rFonts w:hint="eastAsia" w:ascii="仿宋_GB2312" w:hAnsi="宋体" w:eastAsia="仿宋_GB2312" w:cs="仿宋_GB2312"/>
                <w:color w:val="000000"/>
                <w:sz w:val="24"/>
                <w:lang w:val="en-US" w:eastAsia="zh-CN"/>
              </w:rPr>
              <w:t>若为</w:t>
            </w:r>
            <w:r>
              <w:rPr>
                <w:rFonts w:hint="eastAsia" w:ascii="仿宋_GB2312" w:hAnsi="宋体" w:eastAsia="仿宋_GB2312" w:cs="仿宋_GB2312"/>
                <w:color w:val="000000"/>
                <w:sz w:val="24"/>
              </w:rPr>
              <w:t>联合体，则联合体任意一方满足即可得分。</w:t>
            </w:r>
          </w:p>
        </w:tc>
        <w:tc>
          <w:tcPr>
            <w:tcW w:w="1186" w:type="dxa"/>
            <w:gridSpan w:val="2"/>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626"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拟投入的项目团队</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lang w:eastAsia="zh-CN"/>
              </w:rPr>
            </w:pPr>
            <w:r>
              <w:rPr>
                <w:rFonts w:hint="eastAsia" w:ascii="仿宋_GB2312" w:hAnsi="宋体" w:eastAsia="仿宋_GB2312" w:cs="仿宋_GB2312"/>
                <w:color w:val="000000"/>
                <w:kern w:val="0"/>
                <w:sz w:val="24"/>
                <w:lang w:val="en-US" w:eastAsia="zh-CN" w:bidi="ar"/>
              </w:rPr>
              <w:t>20</w:t>
            </w: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1、拟派项目负责人情况：</w:t>
            </w:r>
            <w:r>
              <w:rPr>
                <w:rFonts w:hint="default" w:ascii="Calibri" w:hAnsi="Calibri" w:eastAsia="仿宋_GB2312" w:cs="Calibri"/>
                <w:color w:val="000000"/>
                <w:kern w:val="0"/>
                <w:sz w:val="18"/>
                <w:szCs w:val="18"/>
                <w:lang w:bidi="ar"/>
              </w:rPr>
              <w:t>①</w:t>
            </w:r>
            <w:r>
              <w:rPr>
                <w:rFonts w:hint="eastAsia" w:ascii="仿宋_GB2312" w:hAnsi="宋体" w:eastAsia="仿宋_GB2312" w:cs="仿宋_GB2312"/>
                <w:color w:val="000000"/>
                <w:kern w:val="0"/>
                <w:sz w:val="24"/>
                <w:lang w:bidi="ar"/>
              </w:rPr>
              <w:t>具有城乡规划或国土类专业正高级职称的，得</w:t>
            </w:r>
            <w:r>
              <w:rPr>
                <w:rFonts w:hint="eastAsia" w:ascii="仿宋_GB2312" w:hAnsi="宋体" w:eastAsia="仿宋_GB2312" w:cs="仿宋_GB2312"/>
                <w:color w:val="000000"/>
                <w:kern w:val="0"/>
                <w:sz w:val="24"/>
                <w:lang w:val="en-US" w:eastAsia="zh-CN" w:bidi="ar"/>
              </w:rPr>
              <w:t>8</w:t>
            </w:r>
            <w:r>
              <w:rPr>
                <w:rFonts w:hint="eastAsia" w:ascii="仿宋_GB2312" w:hAnsi="宋体" w:eastAsia="仿宋_GB2312" w:cs="仿宋_GB2312"/>
                <w:color w:val="000000"/>
                <w:kern w:val="0"/>
                <w:sz w:val="24"/>
                <w:lang w:bidi="ar"/>
              </w:rPr>
              <w:t>分</w:t>
            </w:r>
            <w:r>
              <w:rPr>
                <w:rFonts w:hint="eastAsia" w:ascii="仿宋_GB2312" w:hAnsi="宋体" w:eastAsia="仿宋_GB2312" w:cs="仿宋_GB2312"/>
                <w:color w:val="000000"/>
                <w:kern w:val="0"/>
                <w:sz w:val="24"/>
                <w:lang w:eastAsia="zh-CN" w:bidi="ar"/>
              </w:rPr>
              <w:t>；</w:t>
            </w:r>
            <w:r>
              <w:rPr>
                <w:rFonts w:hint="eastAsia" w:eastAsia="仿宋_GB2312" w:cs="Calibri"/>
                <w:color w:val="000000"/>
                <w:kern w:val="0"/>
                <w:sz w:val="18"/>
                <w:szCs w:val="18"/>
                <w:lang w:val="en-US" w:eastAsia="zh-CN" w:bidi="ar"/>
              </w:rPr>
              <w:t>②</w:t>
            </w:r>
            <w:r>
              <w:rPr>
                <w:rFonts w:hint="eastAsia" w:ascii="仿宋_GB2312" w:hAnsi="宋体" w:eastAsia="仿宋_GB2312" w:cs="仿宋_GB2312"/>
                <w:color w:val="000000"/>
                <w:kern w:val="0"/>
                <w:sz w:val="24"/>
                <w:lang w:bidi="ar"/>
              </w:rPr>
              <w:t>具有城乡规划或国土类专业副高级职称的，得</w:t>
            </w:r>
            <w:r>
              <w:rPr>
                <w:rFonts w:hint="eastAsia" w:ascii="仿宋_GB2312" w:hAnsi="宋体" w:eastAsia="仿宋_GB2312" w:cs="仿宋_GB2312"/>
                <w:color w:val="000000"/>
                <w:kern w:val="0"/>
                <w:sz w:val="24"/>
                <w:lang w:val="en-US" w:eastAsia="zh-CN" w:bidi="ar"/>
              </w:rPr>
              <w:t>5</w:t>
            </w:r>
            <w:r>
              <w:rPr>
                <w:rFonts w:hint="eastAsia" w:ascii="仿宋_GB2312" w:hAnsi="宋体" w:eastAsia="仿宋_GB2312" w:cs="仿宋_GB2312"/>
                <w:color w:val="000000"/>
                <w:kern w:val="0"/>
                <w:sz w:val="24"/>
                <w:lang w:bidi="ar"/>
              </w:rPr>
              <w:t>分</w:t>
            </w:r>
            <w:r>
              <w:rPr>
                <w:rFonts w:hint="eastAsia" w:ascii="仿宋_GB2312" w:hAnsi="宋体" w:eastAsia="仿宋_GB2312" w:cs="仿宋_GB2312"/>
                <w:color w:val="000000"/>
                <w:kern w:val="0"/>
                <w:sz w:val="24"/>
                <w:lang w:eastAsia="zh-CN" w:bidi="ar"/>
              </w:rPr>
              <w:t>；</w:t>
            </w:r>
            <w:r>
              <w:rPr>
                <w:rFonts w:hint="eastAsia" w:ascii="仿宋_GB2312" w:hAnsi="宋体" w:eastAsia="仿宋_GB2312" w:cs="仿宋_GB2312"/>
                <w:color w:val="000000"/>
                <w:kern w:val="0"/>
                <w:sz w:val="24"/>
                <w:lang w:val="en-US" w:eastAsia="zh-CN" w:bidi="ar"/>
              </w:rPr>
              <w:t>③</w:t>
            </w:r>
            <w:r>
              <w:rPr>
                <w:rFonts w:hint="eastAsia" w:ascii="仿宋_GB2312" w:hAnsi="宋体" w:eastAsia="仿宋_GB2312" w:cs="仿宋_GB2312"/>
                <w:color w:val="000000"/>
                <w:kern w:val="0"/>
                <w:sz w:val="24"/>
                <w:lang w:bidi="ar"/>
              </w:rPr>
              <w:t>具有城乡规划或国土类专业中级职称</w:t>
            </w:r>
            <w:r>
              <w:rPr>
                <w:rFonts w:hint="eastAsia" w:ascii="仿宋_GB2312" w:hAnsi="宋体" w:eastAsia="仿宋_GB2312" w:cs="仿宋_GB2312"/>
                <w:color w:val="000000"/>
                <w:kern w:val="0"/>
                <w:sz w:val="24"/>
                <w:lang w:val="en-US" w:eastAsia="zh-CN" w:bidi="ar"/>
              </w:rPr>
              <w:t>或注册城乡规划师</w:t>
            </w:r>
            <w:r>
              <w:rPr>
                <w:rFonts w:hint="eastAsia" w:ascii="仿宋_GB2312" w:hAnsi="宋体" w:eastAsia="仿宋_GB2312" w:cs="仿宋_GB2312"/>
                <w:color w:val="000000"/>
                <w:kern w:val="0"/>
                <w:sz w:val="24"/>
                <w:lang w:bidi="ar"/>
              </w:rPr>
              <w:t>资格的，得</w:t>
            </w:r>
            <w:r>
              <w:rPr>
                <w:rFonts w:hint="eastAsia" w:ascii="仿宋_GB2312" w:hAnsi="宋体" w:eastAsia="仿宋_GB2312" w:cs="仿宋_GB2312"/>
                <w:color w:val="000000"/>
                <w:kern w:val="0"/>
                <w:sz w:val="24"/>
                <w:lang w:val="en-US" w:eastAsia="zh-CN" w:bidi="ar"/>
              </w:rPr>
              <w:t>3</w:t>
            </w:r>
            <w:r>
              <w:rPr>
                <w:rFonts w:hint="eastAsia" w:ascii="仿宋_GB2312" w:hAnsi="宋体" w:eastAsia="仿宋_GB2312" w:cs="仿宋_GB2312"/>
                <w:color w:val="000000"/>
                <w:kern w:val="0"/>
                <w:sz w:val="24"/>
                <w:lang w:bidi="ar"/>
              </w:rPr>
              <w:t>分；本项最多得</w:t>
            </w:r>
            <w:r>
              <w:rPr>
                <w:rFonts w:hint="eastAsia" w:ascii="仿宋_GB2312" w:hAnsi="宋体" w:eastAsia="仿宋_GB2312" w:cs="仿宋_GB2312"/>
                <w:color w:val="000000"/>
                <w:kern w:val="0"/>
                <w:sz w:val="24"/>
                <w:lang w:val="en-US" w:eastAsia="zh-CN" w:bidi="ar"/>
              </w:rPr>
              <w:t>8</w:t>
            </w:r>
            <w:r>
              <w:rPr>
                <w:rFonts w:hint="eastAsia" w:ascii="仿宋_GB2312" w:hAnsi="宋体" w:eastAsia="仿宋_GB2312" w:cs="仿宋_GB2312"/>
                <w:color w:val="000000"/>
                <w:kern w:val="0"/>
                <w:sz w:val="24"/>
                <w:lang w:bidi="ar"/>
              </w:rPr>
              <w:t>分。</w:t>
            </w:r>
          </w:p>
        </w:tc>
        <w:tc>
          <w:tcPr>
            <w:tcW w:w="1186" w:type="dxa"/>
            <w:gridSpan w:val="2"/>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959"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2、除项目负责人外，团队其他技术人员中具有</w:t>
            </w:r>
            <w:r>
              <w:rPr>
                <w:rFonts w:hint="eastAsia" w:ascii="仿宋_GB2312" w:hAnsi="宋体" w:eastAsia="仿宋_GB2312" w:cs="仿宋_GB2312"/>
                <w:color w:val="000000"/>
                <w:kern w:val="0"/>
                <w:sz w:val="24"/>
                <w:lang w:val="en-US" w:eastAsia="zh-CN" w:bidi="ar"/>
              </w:rPr>
              <w:t>城乡规划</w:t>
            </w:r>
            <w:r>
              <w:rPr>
                <w:rFonts w:hint="eastAsia" w:ascii="仿宋_GB2312" w:hAnsi="宋体" w:eastAsia="仿宋_GB2312" w:cs="仿宋_GB2312"/>
                <w:color w:val="000000"/>
                <w:kern w:val="0"/>
                <w:sz w:val="24"/>
                <w:lang w:bidi="ar"/>
              </w:rPr>
              <w:t>或国土类专业中级职称(或以上)职称或注册</w:t>
            </w:r>
            <w:r>
              <w:rPr>
                <w:rFonts w:hint="eastAsia" w:ascii="仿宋_GB2312" w:hAnsi="宋体" w:eastAsia="仿宋_GB2312" w:cs="仿宋_GB2312"/>
                <w:color w:val="000000"/>
                <w:kern w:val="0"/>
                <w:sz w:val="24"/>
                <w:lang w:val="en-US" w:eastAsia="zh-CN" w:bidi="ar"/>
              </w:rPr>
              <w:t>城乡</w:t>
            </w:r>
            <w:r>
              <w:rPr>
                <w:rFonts w:hint="eastAsia" w:ascii="仿宋_GB2312" w:hAnsi="宋体" w:eastAsia="仿宋_GB2312" w:cs="仿宋_GB2312"/>
                <w:color w:val="000000"/>
                <w:kern w:val="0"/>
                <w:sz w:val="24"/>
                <w:lang w:bidi="ar"/>
              </w:rPr>
              <w:t>规划师资格，每人得</w:t>
            </w:r>
            <w:r>
              <w:rPr>
                <w:rFonts w:hint="eastAsia" w:ascii="仿宋_GB2312" w:hAnsi="宋体" w:eastAsia="仿宋_GB2312" w:cs="仿宋_GB2312"/>
                <w:color w:val="000000"/>
                <w:kern w:val="0"/>
                <w:sz w:val="24"/>
                <w:lang w:val="en-US" w:eastAsia="zh-CN" w:bidi="ar"/>
              </w:rPr>
              <w:t>4</w:t>
            </w:r>
            <w:r>
              <w:rPr>
                <w:rFonts w:hint="eastAsia" w:ascii="仿宋_GB2312" w:hAnsi="宋体" w:eastAsia="仿宋_GB2312" w:cs="仿宋_GB2312"/>
                <w:color w:val="000000"/>
                <w:kern w:val="0"/>
                <w:sz w:val="24"/>
                <w:lang w:bidi="ar"/>
              </w:rPr>
              <w:t>分，</w:t>
            </w:r>
            <w:r>
              <w:rPr>
                <w:rFonts w:hint="eastAsia" w:ascii="仿宋_GB2312" w:hAnsi="宋体" w:eastAsia="仿宋_GB2312" w:cs="仿宋_GB2312"/>
                <w:color w:val="000000"/>
                <w:kern w:val="0"/>
                <w:sz w:val="24"/>
                <w:lang w:val="en-US" w:eastAsia="zh-CN" w:bidi="ar"/>
              </w:rPr>
              <w:t>城乡</w:t>
            </w:r>
            <w:r>
              <w:rPr>
                <w:rFonts w:hint="eastAsia" w:ascii="仿宋_GB2312" w:hAnsi="宋体" w:eastAsia="仿宋_GB2312" w:cs="仿宋_GB2312"/>
                <w:color w:val="000000"/>
                <w:kern w:val="0"/>
                <w:sz w:val="24"/>
                <w:lang w:bidi="ar"/>
              </w:rPr>
              <w:t>规划或国土类专业初级职称的，每人得2分；本项最多得</w:t>
            </w:r>
            <w:r>
              <w:rPr>
                <w:rFonts w:hint="eastAsia" w:ascii="仿宋_GB2312" w:hAnsi="宋体" w:eastAsia="仿宋_GB2312" w:cs="仿宋_GB2312"/>
                <w:color w:val="000000"/>
                <w:kern w:val="0"/>
                <w:sz w:val="24"/>
                <w:lang w:val="en-US" w:eastAsia="zh-CN" w:bidi="ar"/>
              </w:rPr>
              <w:t>12</w:t>
            </w:r>
            <w:r>
              <w:rPr>
                <w:rFonts w:hint="eastAsia" w:ascii="仿宋_GB2312" w:hAnsi="宋体" w:eastAsia="仿宋_GB2312" w:cs="仿宋_GB2312"/>
                <w:color w:val="000000"/>
                <w:kern w:val="0"/>
                <w:sz w:val="24"/>
                <w:lang w:bidi="ar"/>
              </w:rPr>
              <w:t>分。</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65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sz w:val="24"/>
              </w:rPr>
              <w:t>注：须提供相应的资格证书、职称证、响应截止时间前三个月内任意一个月在本单位缴纳的社保证明复印件。</w:t>
            </w:r>
            <w:r>
              <w:rPr>
                <w:rFonts w:hint="eastAsia" w:ascii="仿宋_GB2312" w:hAnsi="宋体" w:eastAsia="仿宋_GB2312" w:cs="仿宋_GB2312"/>
                <w:color w:val="000000"/>
                <w:sz w:val="24"/>
                <w:lang w:val="en-US" w:eastAsia="zh-CN"/>
              </w:rPr>
              <w:t>若为</w:t>
            </w:r>
            <w:r>
              <w:rPr>
                <w:rFonts w:hint="eastAsia" w:ascii="仿宋_GB2312" w:hAnsi="宋体" w:eastAsia="仿宋_GB2312" w:cs="仿宋_GB2312"/>
                <w:color w:val="000000"/>
                <w:sz w:val="24"/>
              </w:rPr>
              <w:t>联合体，则联合体任意一方满足即可得分。</w:t>
            </w:r>
          </w:p>
        </w:tc>
        <w:tc>
          <w:tcPr>
            <w:tcW w:w="1186" w:type="dxa"/>
            <w:gridSpan w:val="2"/>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563" w:hRule="atLeast"/>
        </w:trPr>
        <w:tc>
          <w:tcPr>
            <w:tcW w:w="62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3</w:t>
            </w:r>
          </w:p>
        </w:tc>
        <w:tc>
          <w:tcPr>
            <w:tcW w:w="60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工作方案</w:t>
            </w:r>
          </w:p>
        </w:tc>
        <w:tc>
          <w:tcPr>
            <w:tcW w:w="583"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sz w:val="24"/>
                <w:lang w:val="en-US" w:eastAsia="zh-CN"/>
              </w:rPr>
            </w:pPr>
            <w:r>
              <w:rPr>
                <w:rFonts w:hint="eastAsia" w:ascii="仿宋_GB2312" w:hAnsi="宋体" w:eastAsia="仿宋_GB2312" w:cs="仿宋_GB2312"/>
                <w:sz w:val="24"/>
                <w:lang w:val="en-US" w:eastAsia="zh-CN"/>
              </w:rPr>
              <w:t>30</w:t>
            </w: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r>
              <w:rPr>
                <w:rFonts w:hint="eastAsia" w:ascii="仿宋_GB2312" w:hAnsi="宋体" w:eastAsia="仿宋_GB2312" w:cs="仿宋_GB2312"/>
                <w:kern w:val="0"/>
                <w:sz w:val="24"/>
                <w:lang w:val="en-US" w:eastAsia="zh-CN" w:bidi="ar"/>
              </w:rPr>
              <w:t>工作方案全面。有</w:t>
            </w:r>
            <w:r>
              <w:rPr>
                <w:rFonts w:hint="eastAsia" w:ascii="仿宋_GB2312" w:hAnsi="宋体" w:eastAsia="仿宋_GB2312" w:cs="仿宋_GB2312"/>
                <w:kern w:val="0"/>
                <w:sz w:val="24"/>
                <w:lang w:bidi="ar"/>
              </w:rPr>
              <w:t>明确、完整的技术路线，</w:t>
            </w:r>
            <w:r>
              <w:rPr>
                <w:rFonts w:hint="eastAsia" w:ascii="仿宋_GB2312" w:hAnsi="宋体" w:eastAsia="仿宋_GB2312" w:cs="仿宋_GB2312"/>
                <w:kern w:val="0"/>
                <w:sz w:val="24"/>
                <w:lang w:val="en-US" w:eastAsia="zh-CN" w:bidi="ar"/>
              </w:rPr>
              <w:t>技术方法和手段能有效保障方案编制的准确性和可行性；且针对国土空间规划修改工作有详细且可行的实施计划和工作方法，有完善的成果编制计划的，得30分</w:t>
            </w:r>
            <w:r>
              <w:rPr>
                <w:rFonts w:hint="eastAsia" w:ascii="仿宋_GB2312" w:hAnsi="宋体" w:eastAsia="仿宋_GB2312" w:cs="仿宋_GB2312"/>
                <w:kern w:val="0"/>
                <w:sz w:val="24"/>
                <w:lang w:bidi="ar"/>
              </w:rPr>
              <w:t>；</w:t>
            </w:r>
          </w:p>
        </w:tc>
        <w:tc>
          <w:tcPr>
            <w:tcW w:w="1186" w:type="dxa"/>
            <w:gridSpan w:val="2"/>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388" w:hRule="atLeast"/>
        </w:trPr>
        <w:tc>
          <w:tcPr>
            <w:tcW w:w="622"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583"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sz w:val="24"/>
              </w:rPr>
            </w:pPr>
            <w:r>
              <w:rPr>
                <w:rFonts w:hint="eastAsia" w:ascii="仿宋_GB2312" w:hAnsi="宋体" w:eastAsia="仿宋_GB2312" w:cs="仿宋_GB2312"/>
                <w:sz w:val="24"/>
              </w:rPr>
              <w:t>2、</w:t>
            </w:r>
            <w:r>
              <w:rPr>
                <w:rFonts w:hint="eastAsia" w:ascii="仿宋_GB2312" w:hAnsi="宋体" w:eastAsia="仿宋_GB2312" w:cs="仿宋_GB2312"/>
                <w:sz w:val="24"/>
                <w:lang w:val="en-US" w:eastAsia="zh-CN"/>
              </w:rPr>
              <w:t>工作方案较全面。有</w:t>
            </w:r>
            <w:r>
              <w:rPr>
                <w:rFonts w:hint="eastAsia" w:ascii="仿宋_GB2312" w:hAnsi="宋体" w:eastAsia="仿宋_GB2312" w:cs="仿宋_GB2312"/>
                <w:kern w:val="0"/>
                <w:sz w:val="24"/>
                <w:lang w:bidi="ar"/>
              </w:rPr>
              <w:t>明确</w:t>
            </w:r>
            <w:r>
              <w:rPr>
                <w:rFonts w:hint="eastAsia" w:ascii="仿宋_GB2312" w:hAnsi="宋体" w:eastAsia="仿宋_GB2312" w:cs="仿宋_GB2312"/>
                <w:kern w:val="0"/>
                <w:sz w:val="24"/>
                <w:lang w:eastAsia="zh-CN" w:bidi="ar"/>
              </w:rPr>
              <w:t>的</w:t>
            </w:r>
            <w:r>
              <w:rPr>
                <w:rFonts w:hint="eastAsia" w:ascii="仿宋_GB2312" w:hAnsi="宋体" w:eastAsia="仿宋_GB2312" w:cs="仿宋_GB2312"/>
                <w:sz w:val="24"/>
                <w:lang w:val="en-US" w:eastAsia="zh-CN"/>
              </w:rPr>
              <w:t>技术路线，技术方法和手段能满足项目需求；针对国土空间规划修改</w:t>
            </w:r>
            <w:r>
              <w:rPr>
                <w:rFonts w:hint="eastAsia" w:ascii="仿宋_GB2312" w:hAnsi="宋体" w:eastAsia="仿宋_GB2312" w:cs="仿宋_GB2312"/>
                <w:kern w:val="0"/>
                <w:sz w:val="24"/>
                <w:lang w:val="en-US" w:eastAsia="zh-CN" w:bidi="ar"/>
              </w:rPr>
              <w:t>工作</w:t>
            </w:r>
            <w:r>
              <w:rPr>
                <w:rFonts w:hint="eastAsia" w:ascii="仿宋_GB2312" w:hAnsi="宋体" w:eastAsia="仿宋_GB2312" w:cs="仿宋_GB2312"/>
                <w:sz w:val="24"/>
                <w:lang w:val="en-US" w:eastAsia="zh-CN"/>
              </w:rPr>
              <w:t>有对应的实施计划和</w:t>
            </w:r>
            <w:r>
              <w:rPr>
                <w:rFonts w:hint="eastAsia" w:ascii="仿宋_GB2312" w:hAnsi="宋体" w:eastAsia="仿宋_GB2312" w:cs="仿宋_GB2312"/>
                <w:kern w:val="0"/>
                <w:sz w:val="24"/>
                <w:lang w:val="en-US" w:eastAsia="zh-CN" w:bidi="ar"/>
              </w:rPr>
              <w:t>工作</w:t>
            </w:r>
            <w:r>
              <w:rPr>
                <w:rFonts w:hint="eastAsia" w:ascii="仿宋_GB2312" w:hAnsi="宋体" w:eastAsia="仿宋_GB2312" w:cs="仿宋_GB2312"/>
                <w:sz w:val="24"/>
                <w:lang w:val="en-US" w:eastAsia="zh-CN"/>
              </w:rPr>
              <w:t>方法，但不够详细，或成果编制计划较简单、需优化的</w:t>
            </w:r>
            <w:r>
              <w:rPr>
                <w:rFonts w:hint="eastAsia" w:ascii="仿宋_GB2312" w:hAnsi="宋体" w:eastAsia="仿宋_GB2312" w:cs="仿宋_GB2312"/>
                <w:color w:val="000000"/>
                <w:kern w:val="0"/>
                <w:sz w:val="24"/>
                <w:lang w:val="en-US" w:eastAsia="zh-CN" w:bidi="ar"/>
              </w:rPr>
              <w:t>，得24分</w:t>
            </w:r>
            <w:r>
              <w:rPr>
                <w:rFonts w:hint="eastAsia" w:ascii="仿宋_GB2312" w:hAnsi="宋体" w:eastAsia="仿宋_GB2312" w:cs="仿宋_GB2312"/>
                <w:color w:val="000000"/>
                <w:kern w:val="0"/>
                <w:sz w:val="24"/>
                <w:lang w:bidi="ar"/>
              </w:rPr>
              <w:t>；</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90" w:hRule="atLeast"/>
        </w:trPr>
        <w:tc>
          <w:tcPr>
            <w:tcW w:w="622"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583"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sz w:val="24"/>
              </w:rPr>
            </w:pPr>
            <w:r>
              <w:rPr>
                <w:rFonts w:hint="eastAsia" w:ascii="仿宋_GB2312" w:hAnsi="宋体" w:eastAsia="仿宋_GB2312" w:cs="仿宋_GB2312"/>
                <w:sz w:val="24"/>
              </w:rPr>
              <w:t>3、</w:t>
            </w:r>
            <w:r>
              <w:rPr>
                <w:rFonts w:hint="eastAsia" w:ascii="仿宋_GB2312" w:hAnsi="宋体" w:eastAsia="仿宋_GB2312" w:cs="仿宋_GB2312"/>
                <w:sz w:val="24"/>
                <w:lang w:val="en-US" w:eastAsia="zh-CN"/>
              </w:rPr>
              <w:t>工作方案一般。有技术路线，技术方法和手段基本满足项目需求；缺乏针对国土空间规划修改</w:t>
            </w:r>
            <w:r>
              <w:rPr>
                <w:rFonts w:hint="eastAsia" w:ascii="仿宋_GB2312" w:hAnsi="宋体" w:eastAsia="仿宋_GB2312" w:cs="仿宋_GB2312"/>
                <w:kern w:val="0"/>
                <w:sz w:val="24"/>
                <w:lang w:val="en-US" w:eastAsia="zh-CN" w:bidi="ar"/>
              </w:rPr>
              <w:t>工作</w:t>
            </w:r>
            <w:r>
              <w:rPr>
                <w:rFonts w:hint="eastAsia" w:ascii="仿宋_GB2312" w:hAnsi="宋体" w:eastAsia="仿宋_GB2312" w:cs="仿宋_GB2312"/>
                <w:sz w:val="24"/>
                <w:lang w:val="en-US" w:eastAsia="zh-CN"/>
              </w:rPr>
              <w:t>的实施计划和</w:t>
            </w:r>
            <w:r>
              <w:rPr>
                <w:rFonts w:hint="eastAsia" w:ascii="仿宋_GB2312" w:hAnsi="宋体" w:eastAsia="仿宋_GB2312" w:cs="仿宋_GB2312"/>
                <w:kern w:val="0"/>
                <w:sz w:val="24"/>
                <w:lang w:val="en-US" w:eastAsia="zh-CN" w:bidi="ar"/>
              </w:rPr>
              <w:t>工作</w:t>
            </w:r>
            <w:r>
              <w:rPr>
                <w:rFonts w:hint="eastAsia" w:ascii="仿宋_GB2312" w:hAnsi="宋体" w:eastAsia="仿宋_GB2312" w:cs="仿宋_GB2312"/>
                <w:sz w:val="24"/>
                <w:lang w:val="en-US" w:eastAsia="zh-CN"/>
              </w:rPr>
              <w:t>方法，或无成果编制计划，</w:t>
            </w:r>
            <w:r>
              <w:rPr>
                <w:rFonts w:hint="eastAsia" w:ascii="仿宋_GB2312" w:hAnsi="宋体" w:eastAsia="仿宋_GB2312" w:cs="仿宋_GB2312"/>
                <w:sz w:val="24"/>
              </w:rPr>
              <w:t>仅明确了大致工作方向</w:t>
            </w:r>
            <w:r>
              <w:rPr>
                <w:rFonts w:hint="eastAsia" w:ascii="仿宋_GB2312" w:hAnsi="宋体" w:eastAsia="仿宋_GB2312" w:cs="仿宋_GB2312"/>
                <w:sz w:val="24"/>
                <w:lang w:val="en-US" w:eastAsia="zh-CN"/>
              </w:rPr>
              <w:t>的，得18分</w:t>
            </w:r>
            <w:r>
              <w:rPr>
                <w:rFonts w:hint="eastAsia" w:ascii="仿宋_GB2312" w:hAnsi="宋体" w:eastAsia="仿宋_GB2312" w:cs="仿宋_GB2312"/>
                <w:sz w:val="24"/>
              </w:rPr>
              <w:t>；</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71" w:hRule="atLeast"/>
        </w:trPr>
        <w:tc>
          <w:tcPr>
            <w:tcW w:w="622"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583"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sz w:val="24"/>
                <w:lang w:eastAsia="zh-CN"/>
              </w:rPr>
            </w:pPr>
            <w:r>
              <w:rPr>
                <w:rFonts w:hint="eastAsia" w:ascii="仿宋_GB2312" w:hAnsi="宋体" w:eastAsia="仿宋_GB2312" w:cs="仿宋_GB2312"/>
                <w:sz w:val="24"/>
              </w:rPr>
              <w:t>4、</w:t>
            </w:r>
            <w:r>
              <w:rPr>
                <w:rFonts w:hint="eastAsia" w:ascii="仿宋_GB2312" w:hAnsi="宋体" w:eastAsia="仿宋_GB2312" w:cs="仿宋_GB2312"/>
                <w:sz w:val="24"/>
                <w:lang w:val="en-US" w:eastAsia="zh-CN"/>
              </w:rPr>
              <w:t>工作方案存在明显不足。</w:t>
            </w:r>
            <w:r>
              <w:rPr>
                <w:rFonts w:hint="eastAsia" w:ascii="仿宋_GB2312" w:hAnsi="宋体" w:eastAsia="仿宋_GB2312" w:cs="仿宋_GB2312"/>
                <w:sz w:val="24"/>
              </w:rPr>
              <w:t>有简单的技术路线框架，</w:t>
            </w:r>
            <w:r>
              <w:rPr>
                <w:rFonts w:hint="eastAsia" w:ascii="仿宋_GB2312" w:hAnsi="宋体" w:eastAsia="仿宋_GB2312" w:cs="仿宋_GB2312"/>
                <w:sz w:val="24"/>
                <w:lang w:val="en-US" w:eastAsia="zh-CN"/>
              </w:rPr>
              <w:t>但</w:t>
            </w:r>
            <w:r>
              <w:rPr>
                <w:rFonts w:hint="eastAsia" w:ascii="仿宋_GB2312" w:hAnsi="宋体" w:eastAsia="仿宋_GB2312" w:cs="仿宋_GB2312"/>
                <w:sz w:val="24"/>
              </w:rPr>
              <w:t>技术方法和手段存在明显不足，</w:t>
            </w:r>
            <w:r>
              <w:rPr>
                <w:rFonts w:hint="eastAsia" w:ascii="仿宋_GB2312" w:hAnsi="宋体" w:eastAsia="仿宋_GB2312" w:cs="仿宋_GB2312"/>
                <w:sz w:val="24"/>
                <w:lang w:val="en-US" w:eastAsia="zh-CN"/>
              </w:rPr>
              <w:t>难以</w:t>
            </w:r>
            <w:r>
              <w:rPr>
                <w:rFonts w:hint="eastAsia" w:ascii="仿宋_GB2312" w:hAnsi="宋体" w:eastAsia="仿宋_GB2312" w:cs="仿宋_GB2312"/>
                <w:sz w:val="24"/>
              </w:rPr>
              <w:t>适配国土空间规划修改</w:t>
            </w:r>
            <w:r>
              <w:rPr>
                <w:rFonts w:hint="eastAsia" w:ascii="仿宋_GB2312" w:hAnsi="宋体" w:eastAsia="仿宋_GB2312" w:cs="仿宋_GB2312"/>
                <w:sz w:val="24"/>
                <w:lang w:val="en-US" w:eastAsia="zh-CN"/>
              </w:rPr>
              <w:t>工作</w:t>
            </w:r>
            <w:r>
              <w:rPr>
                <w:rFonts w:hint="eastAsia" w:ascii="仿宋_GB2312" w:hAnsi="宋体" w:eastAsia="仿宋_GB2312" w:cs="仿宋_GB2312"/>
                <w:sz w:val="24"/>
              </w:rPr>
              <w:t>的需求，无成果编制计划</w:t>
            </w:r>
            <w:r>
              <w:rPr>
                <w:rFonts w:hint="eastAsia" w:ascii="仿宋_GB2312" w:hAnsi="宋体" w:eastAsia="仿宋_GB2312" w:cs="仿宋_GB2312"/>
                <w:sz w:val="24"/>
                <w:lang w:val="en-US" w:eastAsia="zh-CN"/>
              </w:rPr>
              <w:t>的，得12分</w:t>
            </w:r>
            <w:r>
              <w:rPr>
                <w:rFonts w:hint="eastAsia" w:ascii="仿宋_GB2312" w:hAnsi="宋体" w:eastAsia="仿宋_GB2312" w:cs="仿宋_GB2312"/>
                <w:sz w:val="24"/>
                <w:lang w:eastAsia="zh-CN"/>
              </w:rPr>
              <w:t>；</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71" w:hRule="atLeast"/>
        </w:trPr>
        <w:tc>
          <w:tcPr>
            <w:tcW w:w="622"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583" w:type="dxa"/>
            <w:vMerge w:val="continue"/>
            <w:tcBorders>
              <w:left w:val="single" w:color="000000" w:sz="4" w:space="0"/>
              <w:right w:val="single" w:color="000000" w:sz="4" w:space="0"/>
            </w:tcBorders>
            <w:vAlign w:val="center"/>
          </w:tcPr>
          <w:p>
            <w:pPr>
              <w:jc w:val="center"/>
              <w:rPr>
                <w:rFonts w:hint="eastAsia" w:ascii="仿宋_GB2312" w:hAnsi="宋体" w:eastAsia="仿宋_GB2312" w:cs="仿宋_GB2312"/>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仿宋_GB2312" w:hAnsi="宋体" w:eastAsia="仿宋_GB2312" w:cs="仿宋_GB2312"/>
                <w:sz w:val="24"/>
                <w:lang w:val="en-US" w:eastAsia="zh-CN"/>
              </w:rPr>
            </w:pPr>
            <w:r>
              <w:rPr>
                <w:rFonts w:hint="eastAsia" w:ascii="仿宋_GB2312" w:hAnsi="宋体" w:eastAsia="仿宋_GB2312" w:cs="仿宋_GB2312"/>
                <w:sz w:val="24"/>
                <w:lang w:val="en-US" w:eastAsia="zh-CN"/>
              </w:rPr>
              <w:t>5、没有提交工作方案，或工作方案完全不符合项目实际需求的，不得分。</w:t>
            </w:r>
          </w:p>
        </w:tc>
        <w:tc>
          <w:tcPr>
            <w:tcW w:w="1186" w:type="dxa"/>
            <w:gridSpan w:val="2"/>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570"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4</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项目质量保障措施</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r>
              <w:rPr>
                <w:rFonts w:hint="eastAsia" w:ascii="仿宋_GB2312" w:hAnsi="宋体" w:eastAsia="仿宋_GB2312" w:cs="仿宋_GB2312"/>
                <w:color w:val="000000"/>
                <w:kern w:val="0"/>
                <w:sz w:val="24"/>
                <w:lang w:val="en-US" w:eastAsia="zh-CN" w:bidi="ar"/>
              </w:rPr>
              <w:t>0</w:t>
            </w: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kern w:val="2"/>
                <w:sz w:val="24"/>
                <w:lang w:bidi="ar"/>
              </w:rPr>
              <w:t>1、质量控制体系完善、保障措施全面，覆盖人员配置、过程管理、成果审核全环节，质量目标明确可量化，质量检验标准具体可落地，能充分保障项目质量</w:t>
            </w:r>
            <w:r>
              <w:rPr>
                <w:rFonts w:hint="eastAsia" w:ascii="仿宋_GB2312" w:hAnsi="宋体" w:eastAsia="仿宋_GB2312" w:cs="仿宋_GB2312"/>
                <w:kern w:val="2"/>
                <w:sz w:val="24"/>
                <w:lang w:val="en-US" w:eastAsia="zh-CN" w:bidi="ar"/>
              </w:rPr>
              <w:t>的，得10分</w:t>
            </w:r>
            <w:r>
              <w:rPr>
                <w:rFonts w:hint="eastAsia" w:ascii="仿宋_GB2312" w:hAnsi="宋体" w:eastAsia="仿宋_GB2312" w:cs="仿宋_GB2312"/>
                <w:kern w:val="2"/>
                <w:sz w:val="24"/>
                <w:lang w:bidi="ar"/>
              </w:rPr>
              <w:t xml:space="preserve">； </w:t>
            </w:r>
          </w:p>
        </w:tc>
        <w:tc>
          <w:tcPr>
            <w:tcW w:w="1186" w:type="dxa"/>
            <w:gridSpan w:val="2"/>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57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kern w:val="2"/>
                <w:sz w:val="24"/>
                <w:lang w:bidi="ar"/>
              </w:rPr>
              <w:t>2、质量控制体系较完善，质量控制体系及相关保障要素基本健全</w:t>
            </w:r>
            <w:r>
              <w:rPr>
                <w:rFonts w:hint="eastAsia" w:ascii="仿宋_GB2312" w:hAnsi="宋体" w:eastAsia="仿宋_GB2312" w:cs="仿宋_GB2312"/>
                <w:kern w:val="2"/>
                <w:sz w:val="24"/>
                <w:lang w:val="en-US" w:eastAsia="zh-CN" w:bidi="ar"/>
              </w:rPr>
              <w:t>或</w:t>
            </w:r>
            <w:r>
              <w:rPr>
                <w:rFonts w:hint="eastAsia" w:ascii="仿宋_GB2312" w:hAnsi="宋体" w:eastAsia="仿宋_GB2312" w:cs="仿宋_GB2312"/>
                <w:kern w:val="2"/>
                <w:sz w:val="24"/>
                <w:lang w:bidi="ar"/>
              </w:rPr>
              <w:t>一般，基本能确保项目质量和成果审核的</w:t>
            </w:r>
            <w:r>
              <w:rPr>
                <w:rFonts w:hint="eastAsia" w:ascii="仿宋_GB2312" w:hAnsi="宋体" w:eastAsia="仿宋_GB2312" w:cs="仿宋_GB2312"/>
                <w:kern w:val="2"/>
                <w:sz w:val="24"/>
                <w:lang w:val="en-US" w:eastAsia="zh-CN" w:bidi="ar"/>
              </w:rPr>
              <w:t>，</w:t>
            </w:r>
            <w:r>
              <w:rPr>
                <w:rFonts w:hint="eastAsia" w:ascii="仿宋_GB2312" w:hAnsi="宋体" w:eastAsia="仿宋_GB2312" w:cs="仿宋_GB2312"/>
                <w:kern w:val="2"/>
                <w:sz w:val="24"/>
                <w:lang w:bidi="ar"/>
              </w:rPr>
              <w:t>得7分；</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570"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kern w:val="2"/>
                <w:sz w:val="24"/>
                <w:lang w:bidi="ar"/>
              </w:rPr>
              <w:t>3、质量保障措施及控制体系流于形式、不够健全，或仅有基础的保障措施但缺乏明确的质量控制和检验标准的</w:t>
            </w:r>
            <w:r>
              <w:rPr>
                <w:rFonts w:hint="eastAsia" w:ascii="仿宋_GB2312" w:hAnsi="宋体" w:eastAsia="仿宋_GB2312" w:cs="仿宋_GB2312"/>
                <w:kern w:val="2"/>
                <w:sz w:val="24"/>
                <w:lang w:eastAsia="zh-CN" w:bidi="ar"/>
              </w:rPr>
              <w:t>，</w:t>
            </w:r>
            <w:r>
              <w:rPr>
                <w:rFonts w:hint="eastAsia" w:ascii="仿宋_GB2312" w:hAnsi="宋体" w:eastAsia="仿宋_GB2312" w:cs="仿宋_GB2312"/>
                <w:kern w:val="2"/>
                <w:sz w:val="24"/>
                <w:lang w:bidi="ar"/>
              </w:rPr>
              <w:t>得4分；</w:t>
            </w:r>
          </w:p>
        </w:tc>
        <w:tc>
          <w:tcPr>
            <w:tcW w:w="1186" w:type="dxa"/>
            <w:gridSpan w:val="2"/>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57"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rPr>
            </w:pPr>
            <w:r>
              <w:rPr>
                <w:rFonts w:hint="eastAsia" w:ascii="仿宋_GB2312" w:hAnsi="宋体" w:eastAsia="仿宋_GB2312" w:cs="仿宋_GB2312"/>
                <w:kern w:val="2"/>
                <w:sz w:val="24"/>
                <w:lang w:bidi="ar"/>
              </w:rPr>
              <w:t>4、无任何项目质量保障措施及控制体系的</w:t>
            </w:r>
            <w:r>
              <w:rPr>
                <w:rFonts w:hint="eastAsia" w:ascii="仿宋_GB2312" w:hAnsi="宋体" w:eastAsia="仿宋_GB2312" w:cs="仿宋_GB2312"/>
                <w:kern w:val="2"/>
                <w:sz w:val="24"/>
                <w:lang w:eastAsia="zh-CN" w:bidi="ar"/>
              </w:rPr>
              <w:t>，</w:t>
            </w:r>
            <w:r>
              <w:rPr>
                <w:rFonts w:hint="eastAsia" w:ascii="仿宋_GB2312" w:hAnsi="宋体" w:eastAsia="仿宋_GB2312" w:cs="仿宋_GB2312"/>
                <w:kern w:val="2"/>
                <w:sz w:val="24"/>
                <w:lang w:bidi="ar"/>
              </w:rPr>
              <w:t>不得分。</w:t>
            </w:r>
          </w:p>
        </w:tc>
        <w:tc>
          <w:tcPr>
            <w:tcW w:w="1186" w:type="dxa"/>
            <w:gridSpan w:val="2"/>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432" w:hRule="atLeast"/>
        </w:trPr>
        <w:tc>
          <w:tcPr>
            <w:tcW w:w="6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5</w:t>
            </w:r>
          </w:p>
        </w:tc>
        <w:tc>
          <w:tcPr>
            <w:tcW w:w="60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报价</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val="en-US" w:eastAsia="zh-CN" w:bidi="ar"/>
              </w:rPr>
              <w:t>2</w:t>
            </w:r>
            <w:r>
              <w:rPr>
                <w:rFonts w:hint="eastAsia" w:ascii="仿宋_GB2312" w:hAnsi="宋体" w:eastAsia="仿宋_GB2312" w:cs="仿宋_GB2312"/>
                <w:color w:val="000000"/>
                <w:kern w:val="0"/>
                <w:sz w:val="24"/>
                <w:lang w:bidi="ar"/>
              </w:rPr>
              <w:t>0</w:t>
            </w: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val="en-US" w:eastAsia="zh-CN" w:bidi="ar"/>
              </w:rPr>
              <w:t>供应商</w:t>
            </w:r>
            <w:r>
              <w:rPr>
                <w:rFonts w:hint="eastAsia" w:ascii="仿宋_GB2312" w:hAnsi="宋体" w:eastAsia="仿宋_GB2312" w:cs="仿宋_GB2312"/>
                <w:color w:val="000000"/>
                <w:kern w:val="0"/>
                <w:sz w:val="24"/>
                <w:highlight w:val="none"/>
                <w:lang w:bidi="ar"/>
              </w:rPr>
              <w:t>报价得分＝（评标基准价/</w:t>
            </w:r>
            <w:r>
              <w:rPr>
                <w:rFonts w:hint="eastAsia" w:ascii="仿宋_GB2312" w:hAnsi="宋体" w:eastAsia="仿宋_GB2312" w:cs="仿宋_GB2312"/>
                <w:color w:val="000000"/>
                <w:kern w:val="0"/>
                <w:sz w:val="24"/>
                <w:highlight w:val="none"/>
                <w:lang w:val="en-US" w:eastAsia="zh-CN" w:bidi="ar"/>
              </w:rPr>
              <w:t>响应</w:t>
            </w:r>
            <w:r>
              <w:rPr>
                <w:rFonts w:hint="eastAsia" w:ascii="仿宋_GB2312" w:hAnsi="宋体" w:eastAsia="仿宋_GB2312" w:cs="仿宋_GB2312"/>
                <w:color w:val="000000"/>
                <w:kern w:val="0"/>
                <w:sz w:val="24"/>
                <w:highlight w:val="none"/>
                <w:lang w:bidi="ar"/>
              </w:rPr>
              <w:t>报价）×价格分值。</w:t>
            </w:r>
          </w:p>
        </w:tc>
        <w:tc>
          <w:tcPr>
            <w:tcW w:w="1186" w:type="dxa"/>
            <w:gridSpan w:val="2"/>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restart"/>
            <w:tcBorders>
              <w:top w:val="single" w:color="000000" w:sz="4" w:space="0"/>
              <w:left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617" w:hRule="atLeast"/>
        </w:trPr>
        <w:tc>
          <w:tcPr>
            <w:tcW w:w="62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60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color w:val="000000"/>
                <w:sz w:val="24"/>
              </w:rPr>
            </w:pPr>
          </w:p>
        </w:tc>
        <w:tc>
          <w:tcPr>
            <w:tcW w:w="8700" w:type="dxa"/>
            <w:gridSpan w:val="3"/>
            <w:tcBorders>
              <w:top w:val="single" w:color="000000" w:sz="4" w:space="0"/>
              <w:left w:val="single" w:color="000000" w:sz="4" w:space="0"/>
              <w:bottom w:val="single" w:color="000000" w:sz="4" w:space="0"/>
              <w:right w:val="single" w:color="000000" w:sz="4" w:space="0"/>
            </w:tcBorders>
            <w:vAlign w:val="center"/>
          </w:tcPr>
          <w:p>
            <w:pPr>
              <w:widowControl/>
              <w:tabs>
                <w:tab w:val="left" w:pos="1104"/>
              </w:tabs>
              <w:jc w:val="left"/>
              <w:textAlignment w:val="center"/>
              <w:rPr>
                <w:rFonts w:hint="eastAsia" w:ascii="仿宋_GB2312" w:hAnsi="宋体" w:eastAsia="仿宋_GB2312" w:cs="仿宋_GB2312"/>
                <w:color w:val="000000"/>
                <w:sz w:val="24"/>
                <w:highlight w:val="none"/>
              </w:rPr>
            </w:pPr>
            <w:r>
              <w:rPr>
                <w:rFonts w:hint="eastAsia" w:ascii="仿宋_GB2312" w:hAnsi="宋体" w:eastAsia="仿宋_GB2312" w:cs="仿宋_GB2312"/>
                <w:color w:val="000000"/>
                <w:kern w:val="0"/>
                <w:sz w:val="24"/>
                <w:highlight w:val="none"/>
                <w:lang w:bidi="ar"/>
              </w:rPr>
              <w:t>注：满足招标文件要求且报价最低的供应商报价为评标基准价，最低报价不是中标的唯一依据。</w:t>
            </w:r>
          </w:p>
        </w:tc>
        <w:tc>
          <w:tcPr>
            <w:tcW w:w="1186" w:type="dxa"/>
            <w:gridSpan w:val="2"/>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vMerge w:val="continue"/>
            <w:tcBorders>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86" w:hRule="atLeast"/>
        </w:trPr>
        <w:tc>
          <w:tcPr>
            <w:tcW w:w="10513"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总得分</w:t>
            </w:r>
          </w:p>
        </w:tc>
        <w:tc>
          <w:tcPr>
            <w:tcW w:w="118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286" w:hRule="atLeast"/>
        </w:trPr>
        <w:tc>
          <w:tcPr>
            <w:tcW w:w="10513"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color w:val="000000"/>
                <w:sz w:val="24"/>
              </w:rPr>
            </w:pPr>
            <w:r>
              <w:rPr>
                <w:rFonts w:hint="eastAsia" w:ascii="仿宋_GB2312" w:hAnsi="宋体" w:eastAsia="仿宋_GB2312" w:cs="仿宋_GB2312"/>
                <w:color w:val="000000"/>
                <w:kern w:val="0"/>
                <w:sz w:val="24"/>
                <w:lang w:bidi="ar"/>
              </w:rPr>
              <w:t>得分排名</w:t>
            </w:r>
          </w:p>
        </w:tc>
        <w:tc>
          <w:tcPr>
            <w:tcW w:w="118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宋体" w:eastAsia="仿宋_GB2312" w:cs="仿宋_GB2312"/>
                <w:color w:val="000000"/>
                <w:sz w:val="24"/>
              </w:rPr>
            </w:pPr>
          </w:p>
        </w:tc>
      </w:tr>
      <w:tr>
        <w:tblPrEx>
          <w:tblLayout w:type="fixed"/>
          <w:tblCellMar>
            <w:top w:w="15" w:type="dxa"/>
            <w:left w:w="15" w:type="dxa"/>
            <w:bottom w:w="15" w:type="dxa"/>
            <w:right w:w="15" w:type="dxa"/>
          </w:tblCellMar>
        </w:tblPrEx>
        <w:trPr>
          <w:trHeight w:val="601" w:hRule="atLeast"/>
        </w:trPr>
        <w:tc>
          <w:tcPr>
            <w:tcW w:w="13976" w:type="dxa"/>
            <w:gridSpan w:val="10"/>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ascii="方正楷体_GBK" w:hAnsi="方正楷体_GBK" w:eastAsia="方正楷体_GBK" w:cs="方正楷体_GBK"/>
                <w:color w:val="000000"/>
                <w:sz w:val="24"/>
              </w:rPr>
            </w:pPr>
            <w:r>
              <w:rPr>
                <w:rFonts w:hint="eastAsia" w:ascii="方正楷体_GBK" w:hAnsi="方正楷体_GBK" w:eastAsia="方正楷体_GBK" w:cs="方正楷体_GBK"/>
                <w:color w:val="000000"/>
                <w:kern w:val="0"/>
                <w:sz w:val="24"/>
                <w:lang w:bidi="ar"/>
              </w:rPr>
              <w:t>备注</w:t>
            </w:r>
            <w:r>
              <w:rPr>
                <w:rFonts w:hint="eastAsia" w:ascii="方正楷体_GBK" w:hAnsi="方正楷体_GBK" w:eastAsia="方正楷体_GBK" w:cs="方正楷体_GBK"/>
                <w:color w:val="000000"/>
                <w:kern w:val="0"/>
                <w:sz w:val="24"/>
                <w:lang w:val="en-US" w:eastAsia="zh-CN" w:bidi="ar"/>
              </w:rPr>
              <w:t>;</w:t>
            </w:r>
            <w:r>
              <w:rPr>
                <w:rFonts w:hint="eastAsia" w:ascii="方正楷体_GBK" w:hAnsi="方正楷体_GBK" w:eastAsia="方正楷体_GBK" w:cs="方正楷体_GBK"/>
                <w:color w:val="000000"/>
                <w:kern w:val="0"/>
                <w:sz w:val="24"/>
                <w:lang w:bidi="ar"/>
              </w:rPr>
              <w:t>本次评标采用综合评分法，总得分最高者为中选单位。综合评分相等的，以响应报价得分高的优先。响应报价得分也相等的，以方案评分得分高的优先，如果方案评分也相等的，则由评委以投票方式进行表决，确定相等得分的服务单位的排序。</w:t>
            </w:r>
          </w:p>
        </w:tc>
      </w:tr>
      <w:tr>
        <w:tblPrEx>
          <w:tblLayout w:type="fixed"/>
          <w:tblCellMar>
            <w:top w:w="15" w:type="dxa"/>
            <w:left w:w="15" w:type="dxa"/>
            <w:bottom w:w="15" w:type="dxa"/>
            <w:right w:w="15" w:type="dxa"/>
          </w:tblCellMar>
        </w:tblPrEx>
        <w:trPr>
          <w:trHeight w:val="209" w:hRule="atLeast"/>
        </w:trPr>
        <w:tc>
          <w:tcPr>
            <w:tcW w:w="622" w:type="dxa"/>
            <w:vAlign w:val="center"/>
          </w:tcPr>
          <w:p>
            <w:pPr>
              <w:rPr>
                <w:rFonts w:hint="eastAsia" w:ascii="宋体" w:hAnsi="宋体" w:cs="宋体"/>
                <w:color w:val="000000"/>
                <w:sz w:val="24"/>
              </w:rPr>
            </w:pPr>
          </w:p>
        </w:tc>
        <w:tc>
          <w:tcPr>
            <w:tcW w:w="608" w:type="dxa"/>
            <w:vAlign w:val="center"/>
          </w:tcPr>
          <w:p>
            <w:pPr>
              <w:rPr>
                <w:rFonts w:hint="eastAsia" w:ascii="宋体" w:hAnsi="宋体" w:cs="宋体"/>
                <w:color w:val="000000"/>
                <w:sz w:val="24"/>
              </w:rPr>
            </w:pPr>
          </w:p>
        </w:tc>
        <w:tc>
          <w:tcPr>
            <w:tcW w:w="583" w:type="dxa"/>
            <w:vAlign w:val="center"/>
          </w:tcPr>
          <w:p>
            <w:pPr>
              <w:rPr>
                <w:rFonts w:hint="eastAsia" w:ascii="宋体" w:hAnsi="宋体" w:cs="宋体"/>
                <w:color w:val="000000"/>
                <w:sz w:val="24"/>
              </w:rPr>
            </w:pPr>
          </w:p>
        </w:tc>
        <w:tc>
          <w:tcPr>
            <w:tcW w:w="6452" w:type="dxa"/>
            <w:vAlign w:val="center"/>
          </w:tcPr>
          <w:p>
            <w:pPr>
              <w:rPr>
                <w:rFonts w:hint="eastAsia" w:ascii="宋体" w:hAnsi="宋体" w:cs="宋体"/>
                <w:color w:val="000000"/>
                <w:sz w:val="24"/>
              </w:rPr>
            </w:pPr>
          </w:p>
        </w:tc>
        <w:tc>
          <w:tcPr>
            <w:tcW w:w="1662" w:type="dxa"/>
            <w:vAlign w:val="center"/>
          </w:tcPr>
          <w:p>
            <w:pPr>
              <w:rPr>
                <w:rFonts w:hint="eastAsia" w:ascii="宋体" w:hAnsi="宋体" w:cs="宋体"/>
                <w:color w:val="000000"/>
                <w:sz w:val="24"/>
              </w:rPr>
            </w:pPr>
          </w:p>
        </w:tc>
        <w:tc>
          <w:tcPr>
            <w:tcW w:w="1022" w:type="dxa"/>
            <w:gridSpan w:val="2"/>
            <w:vAlign w:val="center"/>
          </w:tcPr>
          <w:p>
            <w:pPr>
              <w:rPr>
                <w:rFonts w:hint="eastAsia" w:ascii="宋体" w:hAnsi="宋体" w:cs="宋体"/>
                <w:color w:val="000000"/>
                <w:sz w:val="24"/>
              </w:rPr>
            </w:pPr>
          </w:p>
        </w:tc>
        <w:tc>
          <w:tcPr>
            <w:tcW w:w="3027" w:type="dxa"/>
            <w:gridSpan w:val="3"/>
            <w:vAlign w:val="center"/>
          </w:tcPr>
          <w:p>
            <w:pPr>
              <w:rPr>
                <w:rFonts w:hint="eastAsia" w:ascii="宋体" w:hAnsi="宋体" w:cs="宋体"/>
                <w:color w:val="000000"/>
                <w:sz w:val="24"/>
              </w:rPr>
            </w:pPr>
          </w:p>
        </w:tc>
      </w:tr>
      <w:tr>
        <w:tblPrEx>
          <w:tblLayout w:type="fixed"/>
          <w:tblCellMar>
            <w:top w:w="15" w:type="dxa"/>
            <w:left w:w="15" w:type="dxa"/>
            <w:bottom w:w="15" w:type="dxa"/>
            <w:right w:w="15" w:type="dxa"/>
          </w:tblCellMar>
        </w:tblPrEx>
        <w:trPr>
          <w:trHeight w:val="420" w:hRule="atLeast"/>
        </w:trPr>
        <w:tc>
          <w:tcPr>
            <w:tcW w:w="13976" w:type="dxa"/>
            <w:gridSpan w:val="10"/>
            <w:vAlign w:val="center"/>
          </w:tcPr>
          <w:p>
            <w:pPr>
              <w:widowControl/>
              <w:jc w:val="left"/>
              <w:textAlignment w:val="center"/>
              <w:rPr>
                <w:rFonts w:ascii="Times New Roman" w:hAnsi="Times New Roman"/>
                <w:color w:val="000000"/>
                <w:sz w:val="24"/>
              </w:rPr>
            </w:pPr>
            <w:r>
              <w:rPr>
                <w:rFonts w:ascii="Times New Roman" w:hAnsi="Times New Roman"/>
                <w:color w:val="000000"/>
                <w:kern w:val="0"/>
                <w:sz w:val="24"/>
                <w:lang w:bidi="ar"/>
              </w:rPr>
              <w:t xml:space="preserve">     </w:t>
            </w:r>
            <w:r>
              <w:rPr>
                <w:rFonts w:hint="eastAsia" w:ascii="仿宋_GB2312" w:hAnsi="Times New Roman" w:eastAsia="仿宋_GB2312" w:cs="仿宋_GB2312"/>
                <w:color w:val="000000"/>
                <w:kern w:val="0"/>
                <w:sz w:val="24"/>
                <w:lang w:bidi="ar"/>
              </w:rPr>
              <w:t>综上，经综合评审，</w:t>
            </w:r>
            <w:r>
              <w:rPr>
                <w:rStyle w:val="19"/>
                <w:lang w:bidi="ar"/>
              </w:rPr>
              <w:t>****</w:t>
            </w:r>
            <w:r>
              <w:rPr>
                <w:rFonts w:hint="eastAsia" w:ascii="仿宋_GB2312" w:hAnsi="Times New Roman" w:eastAsia="仿宋_GB2312" w:cs="仿宋_GB2312"/>
                <w:color w:val="000000"/>
                <w:kern w:val="0"/>
                <w:sz w:val="24"/>
                <w:lang w:bidi="ar"/>
              </w:rPr>
              <w:t>为本次</w:t>
            </w:r>
            <w:r>
              <w:rPr>
                <w:rFonts w:hint="eastAsia" w:ascii="仿宋_GB2312" w:hAnsi="Times New Roman" w:eastAsia="仿宋_GB2312" w:cs="仿宋_GB2312"/>
                <w:color w:val="000000"/>
                <w:kern w:val="0"/>
                <w:sz w:val="24"/>
                <w:lang w:val="en-US" w:eastAsia="zh-CN" w:bidi="ar"/>
              </w:rPr>
              <w:t>2026年度</w:t>
            </w:r>
            <w:r>
              <w:rPr>
                <w:rFonts w:hint="eastAsia" w:ascii="仿宋_GB2312" w:hAnsi="Times New Roman" w:eastAsia="仿宋_GB2312" w:cs="仿宋_GB2312"/>
                <w:color w:val="000000"/>
                <w:kern w:val="0"/>
                <w:sz w:val="24"/>
                <w:lang w:bidi="ar"/>
              </w:rPr>
              <w:t>增城区国土空间</w:t>
            </w:r>
            <w:r>
              <w:rPr>
                <w:rFonts w:hint="eastAsia" w:ascii="仿宋_GB2312" w:hAnsi="Times New Roman" w:eastAsia="仿宋_GB2312" w:cs="仿宋_GB2312"/>
                <w:color w:val="000000"/>
                <w:kern w:val="0"/>
                <w:sz w:val="24"/>
                <w:lang w:val="en-US" w:eastAsia="zh-CN" w:bidi="ar"/>
              </w:rPr>
              <w:t>总体</w:t>
            </w:r>
            <w:r>
              <w:rPr>
                <w:rFonts w:hint="eastAsia" w:ascii="仿宋_GB2312" w:hAnsi="Times New Roman" w:eastAsia="仿宋_GB2312" w:cs="仿宋_GB2312"/>
                <w:color w:val="000000"/>
                <w:kern w:val="0"/>
                <w:sz w:val="24"/>
                <w:lang w:bidi="ar"/>
              </w:rPr>
              <w:t>规划</w:t>
            </w:r>
            <w:r>
              <w:rPr>
                <w:rFonts w:hint="eastAsia" w:ascii="仿宋_GB2312" w:hAnsi="Times New Roman" w:eastAsia="仿宋_GB2312" w:cs="仿宋_GB2312"/>
                <w:color w:val="000000"/>
                <w:kern w:val="0"/>
                <w:sz w:val="24"/>
                <w:lang w:val="en-US" w:eastAsia="zh-CN" w:bidi="ar"/>
              </w:rPr>
              <w:t>局部优化</w:t>
            </w:r>
            <w:r>
              <w:rPr>
                <w:rFonts w:hint="eastAsia" w:ascii="仿宋_GB2312" w:hAnsi="Times New Roman" w:eastAsia="仿宋_GB2312" w:cs="仿宋_GB2312"/>
                <w:color w:val="000000"/>
                <w:kern w:val="0"/>
                <w:sz w:val="24"/>
                <w:lang w:bidi="ar"/>
              </w:rPr>
              <w:t>编制技术服务项目采购中选单位，报价为</w:t>
            </w:r>
            <w:r>
              <w:rPr>
                <w:rStyle w:val="19"/>
                <w:lang w:bidi="ar"/>
              </w:rPr>
              <w:t xml:space="preserve">       </w:t>
            </w:r>
            <w:r>
              <w:rPr>
                <w:rStyle w:val="21"/>
                <w:rFonts w:hint="eastAsia"/>
                <w:lang w:bidi="ar"/>
              </w:rPr>
              <w:t>元</w:t>
            </w:r>
            <w:r>
              <w:rPr>
                <w:rFonts w:hint="eastAsia" w:ascii="仿宋_GB2312" w:hAnsi="Times New Roman" w:eastAsia="仿宋_GB2312" w:cs="仿宋_GB2312"/>
                <w:color w:val="000000"/>
                <w:kern w:val="0"/>
                <w:sz w:val="24"/>
                <w:lang w:bidi="ar"/>
              </w:rPr>
              <w:t>。</w:t>
            </w:r>
          </w:p>
        </w:tc>
      </w:tr>
      <w:tr>
        <w:tblPrEx>
          <w:tblLayout w:type="fixed"/>
          <w:tblCellMar>
            <w:top w:w="15" w:type="dxa"/>
            <w:left w:w="15" w:type="dxa"/>
            <w:bottom w:w="15" w:type="dxa"/>
            <w:right w:w="15" w:type="dxa"/>
          </w:tblCellMar>
        </w:tblPrEx>
        <w:trPr>
          <w:trHeight w:val="493" w:hRule="atLeast"/>
        </w:trPr>
        <w:tc>
          <w:tcPr>
            <w:tcW w:w="13976" w:type="dxa"/>
            <w:gridSpan w:val="10"/>
            <w:vAlign w:val="center"/>
          </w:tcPr>
          <w:p>
            <w:pPr>
              <w:widowControl/>
              <w:jc w:val="left"/>
              <w:textAlignment w:val="center"/>
              <w:rPr>
                <w:rFonts w:ascii="Times New Roman" w:hAnsi="Times New Roman"/>
                <w:color w:val="000000"/>
                <w:sz w:val="24"/>
              </w:rPr>
            </w:pPr>
            <w:r>
              <w:rPr>
                <w:rFonts w:ascii="Times New Roman" w:hAnsi="Times New Roman"/>
                <w:color w:val="000000"/>
                <w:kern w:val="0"/>
                <w:sz w:val="24"/>
                <w:lang w:bidi="ar"/>
              </w:rPr>
              <w:t>评委签名：</w:t>
            </w:r>
          </w:p>
        </w:tc>
      </w:tr>
      <w:tr>
        <w:tblPrEx>
          <w:tblLayout w:type="fixed"/>
          <w:tblCellMar>
            <w:top w:w="15" w:type="dxa"/>
            <w:left w:w="15" w:type="dxa"/>
            <w:bottom w:w="15" w:type="dxa"/>
            <w:right w:w="15" w:type="dxa"/>
          </w:tblCellMar>
        </w:tblPrEx>
        <w:trPr>
          <w:trHeight w:val="316" w:hRule="atLeast"/>
        </w:trPr>
        <w:tc>
          <w:tcPr>
            <w:tcW w:w="13976" w:type="dxa"/>
            <w:gridSpan w:val="10"/>
            <w:vAlign w:val="center"/>
          </w:tcPr>
          <w:p>
            <w:pPr>
              <w:widowControl/>
              <w:jc w:val="right"/>
              <w:textAlignment w:val="center"/>
              <w:rPr>
                <w:rFonts w:ascii="Times New Roman" w:hAnsi="Times New Roman"/>
                <w:color w:val="000000"/>
                <w:sz w:val="24"/>
              </w:rPr>
            </w:pPr>
            <w:r>
              <w:rPr>
                <w:rFonts w:ascii="Times New Roman" w:hAnsi="Times New Roman"/>
                <w:color w:val="000000"/>
                <w:kern w:val="0"/>
                <w:sz w:val="24"/>
                <w:lang w:bidi="ar"/>
              </w:rPr>
              <w:t>日期：</w:t>
            </w:r>
            <w:r>
              <w:rPr>
                <w:rStyle w:val="21"/>
                <w:lang w:bidi="ar"/>
              </w:rPr>
              <w:t>202</w:t>
            </w:r>
            <w:r>
              <w:rPr>
                <w:rStyle w:val="21"/>
                <w:rFonts w:hint="eastAsia"/>
                <w:lang w:val="en-US" w:eastAsia="zh-CN" w:bidi="ar"/>
              </w:rPr>
              <w:t>6</w:t>
            </w:r>
            <w:r>
              <w:rPr>
                <w:rFonts w:hint="eastAsia" w:ascii="仿宋_GB2312" w:hAnsi="Times New Roman" w:eastAsia="仿宋_GB2312" w:cs="仿宋_GB2312"/>
                <w:color w:val="000000"/>
                <w:kern w:val="0"/>
                <w:sz w:val="24"/>
                <w:lang w:bidi="ar"/>
              </w:rPr>
              <w:t>年</w:t>
            </w:r>
            <w:r>
              <w:rPr>
                <w:rStyle w:val="21"/>
                <w:lang w:bidi="ar"/>
              </w:rPr>
              <w:t xml:space="preserve">  </w:t>
            </w:r>
            <w:r>
              <w:rPr>
                <w:rFonts w:hint="eastAsia" w:ascii="仿宋_GB2312" w:hAnsi="Times New Roman" w:eastAsia="仿宋_GB2312" w:cs="仿宋_GB2312"/>
                <w:color w:val="000000"/>
                <w:kern w:val="0"/>
                <w:sz w:val="24"/>
                <w:lang w:bidi="ar"/>
              </w:rPr>
              <w:t>月</w:t>
            </w:r>
            <w:r>
              <w:rPr>
                <w:rStyle w:val="21"/>
                <w:lang w:bidi="ar"/>
              </w:rPr>
              <w:t xml:space="preserve">   </w:t>
            </w:r>
            <w:r>
              <w:rPr>
                <w:rFonts w:hint="eastAsia" w:ascii="仿宋_GB2312" w:hAnsi="Times New Roman" w:eastAsia="仿宋_GB2312" w:cs="仿宋_GB2312"/>
                <w:color w:val="000000"/>
                <w:kern w:val="0"/>
                <w:sz w:val="24"/>
                <w:lang w:bidi="ar"/>
              </w:rPr>
              <w:t>日</w:t>
            </w:r>
          </w:p>
        </w:tc>
      </w:tr>
    </w:tbl>
    <w:p>
      <w:pPr>
        <w:adjustRightInd w:val="0"/>
        <w:spacing w:line="520" w:lineRule="exact"/>
        <w:rPr>
          <w:rFonts w:hint="eastAsia" w:ascii="黑体" w:hAnsi="黑体" w:eastAsia="黑体" w:cs="黑体"/>
          <w:sz w:val="28"/>
          <w:szCs w:val="28"/>
        </w:rPr>
        <w:sectPr>
          <w:pgSz w:w="16838" w:h="11906" w:orient="landscape"/>
          <w:pgMar w:top="1746" w:right="1440" w:bottom="1746" w:left="1440" w:header="851" w:footer="992" w:gutter="0"/>
          <w:cols w:space="720" w:num="1"/>
          <w:docGrid w:type="lines" w:linePitch="319" w:charSpace="0"/>
        </w:sectPr>
      </w:pPr>
      <w:bookmarkStart w:id="1" w:name="OLE_LINK5"/>
    </w:p>
    <w:bookmarkEnd w:id="1"/>
    <w:p>
      <w:pPr>
        <w:spacing w:line="520" w:lineRule="exact"/>
        <w:rPr>
          <w:rFonts w:hint="eastAsia" w:ascii="黑体" w:hAnsi="黑体" w:eastAsia="黑体" w:cs="黑体"/>
          <w:sz w:val="28"/>
          <w:szCs w:val="28"/>
        </w:rPr>
      </w:pPr>
      <w:r>
        <w:rPr>
          <w:rFonts w:hint="eastAsia" w:ascii="黑体" w:hAnsi="黑体" w:eastAsia="黑体" w:cs="黑体"/>
          <w:sz w:val="28"/>
          <w:szCs w:val="28"/>
        </w:rPr>
        <w:t>附件3</w:t>
      </w:r>
    </w:p>
    <w:p>
      <w:pPr>
        <w:pStyle w:val="14"/>
        <w:spacing w:line="480" w:lineRule="auto"/>
        <w:ind w:firstLine="0" w:firstLineChars="0"/>
        <w:jc w:val="center"/>
        <w:rPr>
          <w:rFonts w:hint="eastAsia" w:ascii="微软雅黑" w:hAnsi="黑体"/>
          <w:b/>
          <w:sz w:val="40"/>
          <w:szCs w:val="24"/>
          <w:lang w:val="zh-CN"/>
        </w:rPr>
      </w:pPr>
      <w:r>
        <w:rPr>
          <w:rFonts w:hint="eastAsia" w:cs="宋体"/>
          <w:b/>
          <w:sz w:val="40"/>
          <w:szCs w:val="24"/>
          <w:lang w:val="zh-CN"/>
        </w:rPr>
        <w:t>报价书（参考模板）</w:t>
      </w:r>
    </w:p>
    <w:p>
      <w:pPr>
        <w:pStyle w:val="14"/>
        <w:spacing w:line="580" w:lineRule="exact"/>
        <w:ind w:firstLine="560"/>
        <w:rPr>
          <w:rFonts w:ascii="Times New Roman" w:hAnsi="Times New Roman" w:eastAsia="仿宋_GB2312"/>
          <w:b/>
          <w:bCs/>
          <w:sz w:val="28"/>
          <w:szCs w:val="28"/>
        </w:rPr>
      </w:pPr>
      <w:r>
        <w:rPr>
          <w:rFonts w:ascii="Times New Roman" w:hAnsi="Times New Roman" w:eastAsia="仿宋_GB2312"/>
          <w:color w:val="000000"/>
          <w:kern w:val="0"/>
          <w:sz w:val="28"/>
          <w:szCs w:val="28"/>
        </w:rPr>
        <w:t>致：</w:t>
      </w:r>
      <w:bookmarkStart w:id="2" w:name="_Hlk193980229"/>
      <w:r>
        <w:rPr>
          <w:rFonts w:ascii="Times New Roman" w:hAnsi="Times New Roman" w:eastAsia="仿宋_GB2312"/>
          <w:b/>
          <w:bCs/>
          <w:sz w:val="28"/>
          <w:szCs w:val="28"/>
          <w:u w:val="single"/>
        </w:rPr>
        <w:t xml:space="preserve">                 </w:t>
      </w:r>
    </w:p>
    <w:bookmarkEnd w:id="2"/>
    <w:p>
      <w:pPr>
        <w:autoSpaceDE w:val="0"/>
        <w:autoSpaceDN w:val="0"/>
        <w:adjustRightInd w:val="0"/>
        <w:spacing w:line="580" w:lineRule="exact"/>
        <w:ind w:firstLine="560" w:firstLineChars="200"/>
        <w:rPr>
          <w:rFonts w:ascii="Times New Roman" w:hAnsi="Times New Roman" w:eastAsia="仿宋_GB2312"/>
          <w:color w:val="000000"/>
          <w:kern w:val="0"/>
          <w:sz w:val="28"/>
          <w:szCs w:val="28"/>
          <w:u w:val="single"/>
        </w:rPr>
      </w:pPr>
      <w:r>
        <w:rPr>
          <w:rFonts w:ascii="Times New Roman" w:hAnsi="Times New Roman" w:eastAsia="仿宋_GB2312"/>
          <w:color w:val="000000"/>
          <w:kern w:val="0"/>
          <w:sz w:val="28"/>
          <w:szCs w:val="28"/>
        </w:rPr>
        <w:t>1.根据已收到的</w:t>
      </w:r>
      <w:r>
        <w:rPr>
          <w:rFonts w:ascii="Times New Roman" w:hAnsi="Times New Roman" w:eastAsia="仿宋_GB2312"/>
          <w:color w:val="000000"/>
          <w:kern w:val="0"/>
          <w:sz w:val="28"/>
          <w:szCs w:val="28"/>
          <w:u w:val="single"/>
        </w:rPr>
        <w:t xml:space="preserve">               </w:t>
      </w:r>
      <w:r>
        <w:rPr>
          <w:rFonts w:ascii="Times New Roman" w:hAnsi="Times New Roman" w:eastAsia="仿宋_GB2312"/>
          <w:color w:val="000000"/>
          <w:kern w:val="0"/>
          <w:sz w:val="28"/>
          <w:szCs w:val="28"/>
        </w:rPr>
        <w:t>采购需求的全部内容，我单位经研究上述采购文件的所有内容后，我方愿按约定实施和完成本项目，质量、工期达到采购文件的标准，</w:t>
      </w:r>
      <w:r>
        <w:rPr>
          <w:rFonts w:ascii="Times New Roman" w:hAnsi="Times New Roman" w:eastAsia="仿宋_GB2312"/>
          <w:b/>
          <w:bCs/>
          <w:color w:val="0000FF"/>
          <w:kern w:val="0"/>
          <w:sz w:val="28"/>
          <w:szCs w:val="28"/>
        </w:rPr>
        <w:t>报价</w:t>
      </w:r>
      <w:r>
        <w:rPr>
          <w:rFonts w:hint="eastAsia" w:ascii="Times New Roman" w:hAnsi="Times New Roman" w:eastAsia="仿宋_GB2312"/>
          <w:b/>
          <w:bCs/>
          <w:color w:val="0000FF"/>
          <w:kern w:val="0"/>
          <w:sz w:val="28"/>
          <w:szCs w:val="28"/>
        </w:rPr>
        <w:t>为</w:t>
      </w:r>
      <w:r>
        <w:rPr>
          <w:rFonts w:ascii="Times New Roman" w:hAnsi="Times New Roman" w:eastAsia="仿宋_GB2312"/>
          <w:b/>
          <w:bCs/>
          <w:color w:val="0000FF"/>
          <w:kern w:val="0"/>
          <w:sz w:val="28"/>
          <w:szCs w:val="28"/>
          <w:u w:val="single"/>
        </w:rPr>
        <w:t xml:space="preserve">     </w:t>
      </w:r>
      <w:r>
        <w:rPr>
          <w:rFonts w:hint="eastAsia" w:ascii="Times New Roman" w:hAnsi="Times New Roman" w:eastAsia="仿宋_GB2312"/>
          <w:b/>
          <w:bCs/>
          <w:color w:val="0000FF"/>
          <w:kern w:val="0"/>
          <w:sz w:val="28"/>
          <w:szCs w:val="28"/>
          <w:u w:val="single"/>
        </w:rPr>
        <w:t>（保留小数点后两位小数）</w:t>
      </w:r>
      <w:r>
        <w:rPr>
          <w:rFonts w:ascii="Times New Roman" w:hAnsi="Times New Roman" w:eastAsia="仿宋_GB2312"/>
          <w:color w:val="0000FF"/>
          <w:kern w:val="0"/>
          <w:sz w:val="28"/>
          <w:szCs w:val="28"/>
        </w:rPr>
        <w:t>。</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2．我方承诺不修改、撤销报价文件。</w:t>
      </w:r>
    </w:p>
    <w:p>
      <w:pPr>
        <w:spacing w:line="58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3．如我方取得项目：</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（1）我方承诺在收到成交通知书后与你方签订合同。</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（2）我方保证在按采购文件与你方的</w:t>
      </w:r>
      <w:r>
        <w:rPr>
          <w:rFonts w:ascii="Times New Roman" w:hAnsi="Times New Roman" w:eastAsia="仿宋_GB2312"/>
          <w:bCs/>
          <w:color w:val="000000"/>
          <w:kern w:val="0"/>
          <w:sz w:val="28"/>
          <w:szCs w:val="28"/>
        </w:rPr>
        <w:t>项目实施计划</w:t>
      </w:r>
      <w:r>
        <w:rPr>
          <w:rFonts w:ascii="Times New Roman" w:hAnsi="Times New Roman" w:eastAsia="仿宋_GB2312"/>
          <w:color w:val="000000"/>
          <w:kern w:val="0"/>
          <w:sz w:val="28"/>
          <w:szCs w:val="28"/>
        </w:rPr>
        <w:t>完成整个项目。</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（3）除非另外达成协议并生效，你方的成交通知书和本报价文件将构成约束我们双方的合同。</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4.我方在此声明，所递交的报价文件及有关资料内容完整、真实和准确。                    </w:t>
      </w:r>
    </w:p>
    <w:p>
      <w:pPr>
        <w:autoSpaceDE w:val="0"/>
        <w:autoSpaceDN w:val="0"/>
        <w:adjustRightInd w:val="0"/>
        <w:spacing w:line="580" w:lineRule="exact"/>
        <w:ind w:firstLine="560" w:firstLineChars="200"/>
        <w:rPr>
          <w:rFonts w:ascii="Times New Roman" w:hAnsi="Times New Roman" w:eastAsia="仿宋_GB2312"/>
          <w:color w:val="000000"/>
          <w:kern w:val="0"/>
          <w:sz w:val="28"/>
          <w:szCs w:val="28"/>
        </w:rPr>
      </w:pPr>
    </w:p>
    <w:p>
      <w:pPr>
        <w:autoSpaceDE w:val="0"/>
        <w:autoSpaceDN w:val="0"/>
        <w:adjustRightInd w:val="0"/>
        <w:spacing w:line="580" w:lineRule="exact"/>
        <w:ind w:right="840" w:firstLine="1680" w:firstLineChars="6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    供 应 商:</w:t>
      </w:r>
      <w:r>
        <w:rPr>
          <w:rFonts w:ascii="Times New Roman" w:hAnsi="Times New Roman" w:eastAsia="仿宋_GB2312"/>
          <w:color w:val="000000"/>
          <w:kern w:val="0"/>
          <w:sz w:val="28"/>
          <w:szCs w:val="28"/>
          <w:u w:val="single"/>
        </w:rPr>
        <w:t xml:space="preserve">                      </w:t>
      </w:r>
      <w:r>
        <w:rPr>
          <w:rFonts w:ascii="Times New Roman" w:hAnsi="Times New Roman" w:eastAsia="仿宋_GB2312"/>
          <w:color w:val="000000"/>
          <w:kern w:val="0"/>
          <w:sz w:val="28"/>
          <w:szCs w:val="28"/>
        </w:rPr>
        <w:t>(公章)</w:t>
      </w:r>
    </w:p>
    <w:p>
      <w:pPr>
        <w:autoSpaceDE w:val="0"/>
        <w:autoSpaceDN w:val="0"/>
        <w:adjustRightInd w:val="0"/>
        <w:spacing w:line="580" w:lineRule="exact"/>
        <w:ind w:firstLine="1400" w:firstLineChars="500"/>
        <w:rPr>
          <w:rFonts w:ascii="Times New Roman" w:hAnsi="Times New Roman" w:eastAsia="仿宋_GB2312"/>
          <w:color w:val="000000"/>
          <w:kern w:val="0"/>
          <w:sz w:val="28"/>
          <w:szCs w:val="28"/>
          <w:u w:val="single"/>
        </w:rPr>
      </w:pPr>
      <w:r>
        <w:rPr>
          <w:rFonts w:ascii="Times New Roman" w:hAnsi="Times New Roman" w:eastAsia="仿宋_GB2312"/>
          <w:color w:val="000000"/>
          <w:kern w:val="0"/>
          <w:sz w:val="28"/>
          <w:szCs w:val="28"/>
        </w:rPr>
        <w:t xml:space="preserve">      地    址：</w:t>
      </w:r>
      <w:r>
        <w:rPr>
          <w:rFonts w:ascii="Times New Roman" w:hAnsi="Times New Roman" w:eastAsia="仿宋_GB2312"/>
          <w:color w:val="000000"/>
          <w:kern w:val="0"/>
          <w:sz w:val="28"/>
          <w:szCs w:val="28"/>
          <w:u w:val="single"/>
        </w:rPr>
        <w:t xml:space="preserve">                     </w:t>
      </w:r>
    </w:p>
    <w:p>
      <w:pPr>
        <w:autoSpaceDE w:val="0"/>
        <w:autoSpaceDN w:val="0"/>
        <w:adjustRightInd w:val="0"/>
        <w:spacing w:line="580" w:lineRule="exact"/>
        <w:ind w:firstLine="1400" w:firstLineChars="500"/>
        <w:rPr>
          <w:rFonts w:ascii="Times New Roman" w:hAnsi="Times New Roman" w:eastAsia="仿宋_GB2312"/>
          <w:color w:val="000000"/>
          <w:kern w:val="0"/>
          <w:sz w:val="28"/>
          <w:szCs w:val="28"/>
          <w:u w:val="single"/>
        </w:rPr>
      </w:pPr>
      <w:r>
        <w:rPr>
          <w:rFonts w:ascii="Times New Roman" w:hAnsi="Times New Roman" w:eastAsia="仿宋_GB2312"/>
          <w:color w:val="000000"/>
          <w:kern w:val="0"/>
          <w:sz w:val="28"/>
          <w:szCs w:val="28"/>
        </w:rPr>
        <w:t xml:space="preserve">      联 系 人：</w:t>
      </w:r>
      <w:r>
        <w:rPr>
          <w:rFonts w:ascii="Times New Roman" w:hAnsi="Times New Roman" w:eastAsia="仿宋_GB2312"/>
          <w:color w:val="000000"/>
          <w:kern w:val="0"/>
          <w:sz w:val="28"/>
          <w:szCs w:val="28"/>
          <w:u w:val="single"/>
        </w:rPr>
        <w:t xml:space="preserve">                     </w:t>
      </w:r>
    </w:p>
    <w:p>
      <w:pPr>
        <w:autoSpaceDE w:val="0"/>
        <w:autoSpaceDN w:val="0"/>
        <w:adjustRightInd w:val="0"/>
        <w:spacing w:line="580" w:lineRule="exact"/>
        <w:ind w:firstLine="1400" w:firstLineChars="500"/>
        <w:rPr>
          <w:rFonts w:ascii="Times New Roman" w:hAnsi="Times New Roman" w:eastAsia="仿宋_GB2312"/>
          <w:color w:val="000000"/>
          <w:kern w:val="0"/>
          <w:sz w:val="28"/>
          <w:szCs w:val="28"/>
          <w:u w:val="single"/>
        </w:rPr>
      </w:pPr>
      <w:r>
        <w:rPr>
          <w:rFonts w:ascii="Times New Roman" w:hAnsi="Times New Roman" w:eastAsia="仿宋_GB2312"/>
          <w:color w:val="000000"/>
          <w:kern w:val="0"/>
          <w:sz w:val="28"/>
          <w:szCs w:val="28"/>
        </w:rPr>
        <w:t xml:space="preserve">      联系方式：</w:t>
      </w:r>
      <w:r>
        <w:rPr>
          <w:rFonts w:ascii="Times New Roman" w:hAnsi="Times New Roman" w:eastAsia="仿宋_GB2312"/>
          <w:color w:val="000000"/>
          <w:kern w:val="0"/>
          <w:sz w:val="28"/>
          <w:szCs w:val="28"/>
          <w:u w:val="single"/>
        </w:rPr>
        <w:t xml:space="preserve">                     </w:t>
      </w:r>
    </w:p>
    <w:p>
      <w:pPr>
        <w:pStyle w:val="2"/>
        <w:jc w:val="center"/>
        <w:rPr>
          <w:rFonts w:hint="eastAsia" w:ascii="宋体" w:hAnsi="宋体"/>
          <w:sz w:val="32"/>
          <w:szCs w:val="32"/>
        </w:rPr>
      </w:pPr>
      <w:r>
        <w:rPr>
          <w:rFonts w:hint="eastAsia" w:ascii="宋体" w:hAnsi="宋体"/>
          <w:sz w:val="32"/>
          <w:szCs w:val="32"/>
        </w:rPr>
        <w:t>企业营业执照复印件</w:t>
      </w:r>
    </w:p>
    <w:p>
      <w:pPr>
        <w:pStyle w:val="14"/>
        <w:ind w:firstLine="0" w:firstLineChars="0"/>
        <w:rPr>
          <w:rFonts w:hint="eastAsia"/>
        </w:rPr>
      </w:pPr>
    </w:p>
    <w:p>
      <w:pPr>
        <w:pStyle w:val="14"/>
        <w:ind w:firstLine="0" w:firstLineChars="0"/>
        <w:rPr>
          <w:rFonts w:hint="eastAsia"/>
        </w:rPr>
      </w:pPr>
    </w:p>
    <w:p>
      <w:pPr>
        <w:pStyle w:val="14"/>
        <w:ind w:firstLine="0" w:firstLineChars="0"/>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14"/>
        <w:ind w:firstLine="0" w:firstLineChars="0"/>
        <w:jc w:val="left"/>
        <w:rPr>
          <w:rFonts w:hint="eastAsia"/>
        </w:rPr>
      </w:pPr>
    </w:p>
    <w:p>
      <w:pPr>
        <w:pStyle w:val="2"/>
        <w:jc w:val="center"/>
        <w:rPr>
          <w:rFonts w:hint="eastAsia" w:ascii="宋体" w:hAnsi="宋体"/>
          <w:sz w:val="32"/>
          <w:szCs w:val="32"/>
        </w:rPr>
      </w:pPr>
      <w:r>
        <w:rPr>
          <w:rFonts w:hint="eastAsia" w:ascii="宋体" w:hAnsi="宋体"/>
          <w:sz w:val="32"/>
          <w:szCs w:val="32"/>
        </w:rPr>
        <w:t>资质证书复印件</w:t>
      </w:r>
    </w:p>
    <w:p>
      <w:pPr>
        <w:pStyle w:val="16"/>
        <w:spacing w:line="360" w:lineRule="auto"/>
        <w:rPr>
          <w:rFonts w:hint="eastAsia" w:ascii="宋体" w:hAnsi="宋体"/>
        </w:rPr>
      </w:pPr>
    </w:p>
    <w:p>
      <w:pPr>
        <w:widowControl/>
        <w:jc w:val="left"/>
        <w:rPr>
          <w:rFonts w:hint="eastAsia" w:ascii="宋体" w:hAnsi="宋体"/>
          <w:b/>
          <w:bCs/>
          <w:kern w:val="44"/>
          <w:sz w:val="32"/>
          <w:szCs w:val="32"/>
        </w:rPr>
      </w:pPr>
      <w:bookmarkStart w:id="3" w:name="_Toc181806103"/>
      <w:bookmarkStart w:id="4" w:name="_Toc188451892"/>
      <w:r>
        <w:rPr>
          <w:rFonts w:hint="eastAsia" w:ascii="宋体" w:hAnsi="宋体"/>
          <w:sz w:val="32"/>
          <w:szCs w:val="32"/>
        </w:rPr>
        <w:br w:type="page"/>
      </w:r>
    </w:p>
    <w:p>
      <w:pPr>
        <w:pStyle w:val="2"/>
        <w:jc w:val="center"/>
        <w:rPr>
          <w:rFonts w:hint="eastAsia" w:ascii="宋体" w:hAnsi="宋体"/>
          <w:kern w:val="0"/>
          <w:sz w:val="24"/>
        </w:rPr>
      </w:pPr>
      <w:r>
        <w:rPr>
          <w:rFonts w:ascii="宋体" w:hAnsi="宋体"/>
          <w:sz w:val="32"/>
          <w:szCs w:val="32"/>
        </w:rPr>
        <w:t>供应商认为需要补充的其他内容（如有）</w:t>
      </w:r>
      <w:bookmarkEnd w:id="3"/>
      <w:bookmarkEnd w:id="4"/>
    </w:p>
    <w:p>
      <w:pPr>
        <w:pStyle w:val="3"/>
        <w:rPr>
          <w:rFonts w:hint="eastAsia" w:ascii="微软雅黑" w:hAnsi="黑体"/>
          <w:b/>
          <w:sz w:val="40"/>
        </w:rPr>
      </w:pPr>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F2C387-9F22-453D-A1DC-6CCA9E1B5E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embedRegular r:id="rId2" w:fontKey="{32C89890-1E0C-439A-8117-A36412E994FD}"/>
  </w:font>
  <w:font w:name="仿宋_GB2312">
    <w:panose1 w:val="02010609030101010101"/>
    <w:charset w:val="86"/>
    <w:family w:val="modern"/>
    <w:pitch w:val="default"/>
    <w:sig w:usb0="00000001" w:usb1="080E0000" w:usb2="00000000" w:usb3="00000000" w:csb0="00040000" w:csb1="00000000"/>
    <w:embedRegular r:id="rId3" w:fontKey="{323EE8AD-BD1A-4143-BB01-D1A4B9C3DA73}"/>
  </w:font>
  <w:font w:name="方正楷体_GBK">
    <w:panose1 w:val="03000509000000000000"/>
    <w:charset w:val="86"/>
    <w:family w:val="script"/>
    <w:pitch w:val="default"/>
    <w:sig w:usb0="00000000" w:usb1="00000000" w:usb2="00000000" w:usb3="00000000" w:csb0="00000000" w:csb1="00000000"/>
    <w:embedRegular r:id="rId4" w:fontKey="{550AEE11-96A3-4B39-9430-E58D908ACBE0}"/>
  </w:font>
  <w:font w:name="微软雅黑">
    <w:panose1 w:val="020B0503020204020204"/>
    <w:charset w:val="86"/>
    <w:family w:val="auto"/>
    <w:pitch w:val="default"/>
    <w:sig w:usb0="80000287" w:usb1="2ACF3C50" w:usb2="00000016" w:usb3="00000000" w:csb0="0004001F" w:csb1="00000000"/>
    <w:embedRegular r:id="rId5" w:fontKey="{DDA0EE67-6BA5-43A2-A706-5EAFDFE307B4}"/>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A9D2F"/>
    <w:multiLevelType w:val="singleLevel"/>
    <w:tmpl w:val="2C0A9D2F"/>
    <w:lvl w:ilvl="0" w:tentative="0">
      <w:start w:val="1"/>
      <w:numFmt w:val="decimal"/>
      <w:lvlText w:val="%1."/>
      <w:lvlJc w:val="left"/>
      <w:pPr>
        <w:tabs>
          <w:tab w:val="left" w:pos="312"/>
        </w:tabs>
      </w:pPr>
    </w:lvl>
  </w:abstractNum>
  <w:abstractNum w:abstractNumId="1">
    <w:nsid w:val="698FFD82"/>
    <w:multiLevelType w:val="singleLevel"/>
    <w:tmpl w:val="698FFD8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FFE"/>
    <w:rsid w:val="0006417C"/>
    <w:rsid w:val="000A5D4F"/>
    <w:rsid w:val="0012435D"/>
    <w:rsid w:val="00141CFF"/>
    <w:rsid w:val="0016366D"/>
    <w:rsid w:val="00163F51"/>
    <w:rsid w:val="00163F8E"/>
    <w:rsid w:val="0022181C"/>
    <w:rsid w:val="00252CC0"/>
    <w:rsid w:val="00282E49"/>
    <w:rsid w:val="00287090"/>
    <w:rsid w:val="002B65C5"/>
    <w:rsid w:val="003C2723"/>
    <w:rsid w:val="003E318D"/>
    <w:rsid w:val="00402D05"/>
    <w:rsid w:val="00435309"/>
    <w:rsid w:val="00477C7F"/>
    <w:rsid w:val="004B534E"/>
    <w:rsid w:val="00537D29"/>
    <w:rsid w:val="00593D0D"/>
    <w:rsid w:val="005E3BD5"/>
    <w:rsid w:val="00611173"/>
    <w:rsid w:val="00642579"/>
    <w:rsid w:val="0069701A"/>
    <w:rsid w:val="00697952"/>
    <w:rsid w:val="00731609"/>
    <w:rsid w:val="007B395A"/>
    <w:rsid w:val="007C43C8"/>
    <w:rsid w:val="008173E1"/>
    <w:rsid w:val="008C38F6"/>
    <w:rsid w:val="008D7832"/>
    <w:rsid w:val="008D7FCD"/>
    <w:rsid w:val="008E3935"/>
    <w:rsid w:val="008E6765"/>
    <w:rsid w:val="009525A6"/>
    <w:rsid w:val="009541A6"/>
    <w:rsid w:val="00A54AD3"/>
    <w:rsid w:val="00A95F96"/>
    <w:rsid w:val="00AC0260"/>
    <w:rsid w:val="00AC530D"/>
    <w:rsid w:val="00AF0718"/>
    <w:rsid w:val="00B344F6"/>
    <w:rsid w:val="00B66687"/>
    <w:rsid w:val="00B97735"/>
    <w:rsid w:val="00BB37CE"/>
    <w:rsid w:val="00C447B2"/>
    <w:rsid w:val="00C663D0"/>
    <w:rsid w:val="00C81C91"/>
    <w:rsid w:val="00C925D3"/>
    <w:rsid w:val="00CA06BA"/>
    <w:rsid w:val="00CE24EE"/>
    <w:rsid w:val="00D04AC3"/>
    <w:rsid w:val="00D62EE9"/>
    <w:rsid w:val="00DC5080"/>
    <w:rsid w:val="00E66671"/>
    <w:rsid w:val="00EF4EE1"/>
    <w:rsid w:val="00F00EA0"/>
    <w:rsid w:val="00F56BA1"/>
    <w:rsid w:val="00F670A2"/>
    <w:rsid w:val="00FC5B2D"/>
    <w:rsid w:val="00FC6F4D"/>
    <w:rsid w:val="01522504"/>
    <w:rsid w:val="020E43D0"/>
    <w:rsid w:val="02144F0A"/>
    <w:rsid w:val="030A42B4"/>
    <w:rsid w:val="03480F78"/>
    <w:rsid w:val="03765B74"/>
    <w:rsid w:val="037A06CF"/>
    <w:rsid w:val="038B48F0"/>
    <w:rsid w:val="0445488A"/>
    <w:rsid w:val="04801A82"/>
    <w:rsid w:val="04BA2672"/>
    <w:rsid w:val="05CC5C1A"/>
    <w:rsid w:val="06676A74"/>
    <w:rsid w:val="07C03626"/>
    <w:rsid w:val="082C74D1"/>
    <w:rsid w:val="0A307C63"/>
    <w:rsid w:val="0AC35666"/>
    <w:rsid w:val="0AD1180B"/>
    <w:rsid w:val="0B272786"/>
    <w:rsid w:val="0B8466F3"/>
    <w:rsid w:val="0C534BBD"/>
    <w:rsid w:val="0C8436B4"/>
    <w:rsid w:val="0C934B73"/>
    <w:rsid w:val="0D0C6DF6"/>
    <w:rsid w:val="0D3606B5"/>
    <w:rsid w:val="0D5505D3"/>
    <w:rsid w:val="0D9618D2"/>
    <w:rsid w:val="0DE25424"/>
    <w:rsid w:val="10105435"/>
    <w:rsid w:val="103D1CFD"/>
    <w:rsid w:val="11212F4C"/>
    <w:rsid w:val="114D19D7"/>
    <w:rsid w:val="11525869"/>
    <w:rsid w:val="117E4BFB"/>
    <w:rsid w:val="11C46D63"/>
    <w:rsid w:val="124C6944"/>
    <w:rsid w:val="12AB6822"/>
    <w:rsid w:val="133A3852"/>
    <w:rsid w:val="13A866C8"/>
    <w:rsid w:val="13DD3499"/>
    <w:rsid w:val="13E30EB9"/>
    <w:rsid w:val="13F95C65"/>
    <w:rsid w:val="14161D0B"/>
    <w:rsid w:val="148A5125"/>
    <w:rsid w:val="14D17596"/>
    <w:rsid w:val="15FF6914"/>
    <w:rsid w:val="164975D3"/>
    <w:rsid w:val="16915D81"/>
    <w:rsid w:val="17091903"/>
    <w:rsid w:val="17273D80"/>
    <w:rsid w:val="17B2520C"/>
    <w:rsid w:val="17EC3598"/>
    <w:rsid w:val="180A53B4"/>
    <w:rsid w:val="181C294C"/>
    <w:rsid w:val="19250DCF"/>
    <w:rsid w:val="19C21C4E"/>
    <w:rsid w:val="19CD13F9"/>
    <w:rsid w:val="1A05696A"/>
    <w:rsid w:val="1B7219F4"/>
    <w:rsid w:val="1C002407"/>
    <w:rsid w:val="1CA14B49"/>
    <w:rsid w:val="1CD1015C"/>
    <w:rsid w:val="1D9E6B67"/>
    <w:rsid w:val="1DE57DF2"/>
    <w:rsid w:val="1DED309E"/>
    <w:rsid w:val="1F6D5969"/>
    <w:rsid w:val="1F7B0339"/>
    <w:rsid w:val="201B35E0"/>
    <w:rsid w:val="20D44015"/>
    <w:rsid w:val="22E5080A"/>
    <w:rsid w:val="23286084"/>
    <w:rsid w:val="23661E55"/>
    <w:rsid w:val="24AD73FC"/>
    <w:rsid w:val="25276E6C"/>
    <w:rsid w:val="25552108"/>
    <w:rsid w:val="25C06F22"/>
    <w:rsid w:val="27035F9D"/>
    <w:rsid w:val="275709D6"/>
    <w:rsid w:val="27686D15"/>
    <w:rsid w:val="28CC6EF3"/>
    <w:rsid w:val="28D2540B"/>
    <w:rsid w:val="292421D6"/>
    <w:rsid w:val="293D7DAB"/>
    <w:rsid w:val="29424FF6"/>
    <w:rsid w:val="294F1615"/>
    <w:rsid w:val="297B506E"/>
    <w:rsid w:val="29B8706B"/>
    <w:rsid w:val="2BDF6FA7"/>
    <w:rsid w:val="2C1075CF"/>
    <w:rsid w:val="2C562E89"/>
    <w:rsid w:val="2DDB63E1"/>
    <w:rsid w:val="2E311428"/>
    <w:rsid w:val="2E38169B"/>
    <w:rsid w:val="2E3F078D"/>
    <w:rsid w:val="2E5D0F06"/>
    <w:rsid w:val="2F7908EC"/>
    <w:rsid w:val="30603997"/>
    <w:rsid w:val="32156DA3"/>
    <w:rsid w:val="32750715"/>
    <w:rsid w:val="328B48FF"/>
    <w:rsid w:val="32CF3A67"/>
    <w:rsid w:val="335C3936"/>
    <w:rsid w:val="33E549AD"/>
    <w:rsid w:val="348F7F77"/>
    <w:rsid w:val="34AF6723"/>
    <w:rsid w:val="34CD0D08"/>
    <w:rsid w:val="36A5671C"/>
    <w:rsid w:val="371722A2"/>
    <w:rsid w:val="375021F0"/>
    <w:rsid w:val="37D239EE"/>
    <w:rsid w:val="37D37E90"/>
    <w:rsid w:val="381D34AF"/>
    <w:rsid w:val="38210A03"/>
    <w:rsid w:val="3A7E2DD8"/>
    <w:rsid w:val="3AA21F1A"/>
    <w:rsid w:val="3B2A7828"/>
    <w:rsid w:val="3BAE7643"/>
    <w:rsid w:val="3BBF5902"/>
    <w:rsid w:val="3C0505AB"/>
    <w:rsid w:val="3C06591A"/>
    <w:rsid w:val="3C150C0F"/>
    <w:rsid w:val="3C1D7464"/>
    <w:rsid w:val="3C237E90"/>
    <w:rsid w:val="3C661BAB"/>
    <w:rsid w:val="3C6D30D1"/>
    <w:rsid w:val="3C7163F0"/>
    <w:rsid w:val="3D3C76EE"/>
    <w:rsid w:val="3D7E68B0"/>
    <w:rsid w:val="3E1934EA"/>
    <w:rsid w:val="3EDB3D50"/>
    <w:rsid w:val="3F2A7E89"/>
    <w:rsid w:val="3FFDAA50"/>
    <w:rsid w:val="414966A0"/>
    <w:rsid w:val="42006710"/>
    <w:rsid w:val="424C5428"/>
    <w:rsid w:val="42D10872"/>
    <w:rsid w:val="42D344CA"/>
    <w:rsid w:val="43506507"/>
    <w:rsid w:val="437C5CC6"/>
    <w:rsid w:val="43DE2A2C"/>
    <w:rsid w:val="43ED405C"/>
    <w:rsid w:val="44157CEF"/>
    <w:rsid w:val="44B718CC"/>
    <w:rsid w:val="458469C7"/>
    <w:rsid w:val="46141846"/>
    <w:rsid w:val="46BA75B2"/>
    <w:rsid w:val="46CA773F"/>
    <w:rsid w:val="46D3275A"/>
    <w:rsid w:val="472B44F4"/>
    <w:rsid w:val="47D30E60"/>
    <w:rsid w:val="47FB7EB7"/>
    <w:rsid w:val="48105528"/>
    <w:rsid w:val="48800D48"/>
    <w:rsid w:val="48C25593"/>
    <w:rsid w:val="49410A49"/>
    <w:rsid w:val="494B486A"/>
    <w:rsid w:val="494D5DC7"/>
    <w:rsid w:val="49965C35"/>
    <w:rsid w:val="4A610104"/>
    <w:rsid w:val="4A840854"/>
    <w:rsid w:val="4A8D27C5"/>
    <w:rsid w:val="4A8F177F"/>
    <w:rsid w:val="4ABA4AC4"/>
    <w:rsid w:val="4B023A4B"/>
    <w:rsid w:val="4BC26A20"/>
    <w:rsid w:val="4C7254CE"/>
    <w:rsid w:val="4C79052D"/>
    <w:rsid w:val="4DA01B04"/>
    <w:rsid w:val="4EA95355"/>
    <w:rsid w:val="4EBA1977"/>
    <w:rsid w:val="4F862803"/>
    <w:rsid w:val="4F9C7C80"/>
    <w:rsid w:val="4FCE2849"/>
    <w:rsid w:val="50391218"/>
    <w:rsid w:val="50417324"/>
    <w:rsid w:val="505C23DD"/>
    <w:rsid w:val="50715259"/>
    <w:rsid w:val="5093023B"/>
    <w:rsid w:val="50E34BC9"/>
    <w:rsid w:val="51040551"/>
    <w:rsid w:val="515131C0"/>
    <w:rsid w:val="520F7DBD"/>
    <w:rsid w:val="52224183"/>
    <w:rsid w:val="522A6CB3"/>
    <w:rsid w:val="5285762E"/>
    <w:rsid w:val="52874935"/>
    <w:rsid w:val="52882D41"/>
    <w:rsid w:val="5318769C"/>
    <w:rsid w:val="539415B5"/>
    <w:rsid w:val="5473231B"/>
    <w:rsid w:val="54EE38BA"/>
    <w:rsid w:val="550C12CA"/>
    <w:rsid w:val="564660D3"/>
    <w:rsid w:val="571D2B94"/>
    <w:rsid w:val="57BC70EE"/>
    <w:rsid w:val="582D14BD"/>
    <w:rsid w:val="582D6AC7"/>
    <w:rsid w:val="58736B53"/>
    <w:rsid w:val="58CD5C27"/>
    <w:rsid w:val="58CE1D15"/>
    <w:rsid w:val="58D6647A"/>
    <w:rsid w:val="593B0BE5"/>
    <w:rsid w:val="59AB5AF6"/>
    <w:rsid w:val="59D60188"/>
    <w:rsid w:val="5A923CFE"/>
    <w:rsid w:val="5A9B19F3"/>
    <w:rsid w:val="5B073150"/>
    <w:rsid w:val="5B08247A"/>
    <w:rsid w:val="5B7D493A"/>
    <w:rsid w:val="5B9B3075"/>
    <w:rsid w:val="5BB2700B"/>
    <w:rsid w:val="5BC41CC4"/>
    <w:rsid w:val="5BFF389F"/>
    <w:rsid w:val="5C3A2B96"/>
    <w:rsid w:val="5CC74DC8"/>
    <w:rsid w:val="5E2A5373"/>
    <w:rsid w:val="5E79170B"/>
    <w:rsid w:val="5F2A2495"/>
    <w:rsid w:val="5FCC673D"/>
    <w:rsid w:val="5FEC7E72"/>
    <w:rsid w:val="60854711"/>
    <w:rsid w:val="60953E12"/>
    <w:rsid w:val="609E0F14"/>
    <w:rsid w:val="61D52D19"/>
    <w:rsid w:val="61E6018A"/>
    <w:rsid w:val="62E26E1B"/>
    <w:rsid w:val="641E5645"/>
    <w:rsid w:val="64383D24"/>
    <w:rsid w:val="645C37B9"/>
    <w:rsid w:val="645F6C1C"/>
    <w:rsid w:val="65237CDF"/>
    <w:rsid w:val="654F54D4"/>
    <w:rsid w:val="65731250"/>
    <w:rsid w:val="67682AF8"/>
    <w:rsid w:val="677F6629"/>
    <w:rsid w:val="6A7E69DB"/>
    <w:rsid w:val="6B632393"/>
    <w:rsid w:val="6B6712DB"/>
    <w:rsid w:val="6C175E8D"/>
    <w:rsid w:val="6C8E29FC"/>
    <w:rsid w:val="6CA02B32"/>
    <w:rsid w:val="6E6A6783"/>
    <w:rsid w:val="6E704C4D"/>
    <w:rsid w:val="6ECD53E2"/>
    <w:rsid w:val="6FD27021"/>
    <w:rsid w:val="6FEB07A3"/>
    <w:rsid w:val="70545965"/>
    <w:rsid w:val="70B634B0"/>
    <w:rsid w:val="7195355F"/>
    <w:rsid w:val="7456344A"/>
    <w:rsid w:val="74922A51"/>
    <w:rsid w:val="75CC33CF"/>
    <w:rsid w:val="768B7161"/>
    <w:rsid w:val="77B84256"/>
    <w:rsid w:val="78543EB8"/>
    <w:rsid w:val="7857745C"/>
    <w:rsid w:val="788836CE"/>
    <w:rsid w:val="78C65D46"/>
    <w:rsid w:val="794D67DD"/>
    <w:rsid w:val="79FA3ACF"/>
    <w:rsid w:val="7A0D7B6C"/>
    <w:rsid w:val="7B361DEC"/>
    <w:rsid w:val="7BEB18E1"/>
    <w:rsid w:val="7C4A2F98"/>
    <w:rsid w:val="7CAD29DF"/>
    <w:rsid w:val="7CDD16B4"/>
    <w:rsid w:val="7D133188"/>
    <w:rsid w:val="7DA85D87"/>
    <w:rsid w:val="7DBF55BA"/>
    <w:rsid w:val="7DE7DEA8"/>
    <w:rsid w:val="7E024CF8"/>
    <w:rsid w:val="7E3F619C"/>
    <w:rsid w:val="7F596565"/>
    <w:rsid w:val="7F7B3F43"/>
    <w:rsid w:val="7F877781"/>
    <w:rsid w:val="7FB83A5B"/>
    <w:rsid w:val="7FC52527"/>
    <w:rsid w:val="87FB8D71"/>
    <w:rsid w:val="ED7A6816"/>
    <w:rsid w:val="FB7EF3A1"/>
    <w:rsid w:val="FBCF7CB1"/>
    <w:rsid w:val="FEEE83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unhideWhenUsed/>
    <w:qFormat/>
    <w:uiPriority w:val="99"/>
    <w:pPr>
      <w:ind w:firstLine="420"/>
    </w:pPr>
    <w:rPr>
      <w:rFonts w:cs="Times New Roman"/>
      <w:szCs w:val="22"/>
    </w:rPr>
  </w:style>
  <w:style w:type="paragraph" w:styleId="4">
    <w:name w:val="annotation text"/>
    <w:basedOn w:val="1"/>
    <w:unhideWhenUsed/>
    <w:qFormat/>
    <w:uiPriority w:val="99"/>
    <w:pPr>
      <w:jc w:val="left"/>
    </w:pPr>
  </w:style>
  <w:style w:type="paragraph" w:styleId="5">
    <w:name w:val="Body Text Indent"/>
    <w:basedOn w:val="1"/>
    <w:qFormat/>
    <w:uiPriority w:val="0"/>
    <w:pPr>
      <w:ind w:left="434" w:hanging="434"/>
    </w:pPr>
    <w:rPr>
      <w:sz w:val="2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Hyperlink"/>
    <w:unhideWhenUsed/>
    <w:qFormat/>
    <w:uiPriority w:val="99"/>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_Style 12"/>
    <w:basedOn w:val="1"/>
    <w:qFormat/>
    <w:uiPriority w:val="34"/>
    <w:pPr>
      <w:ind w:firstLine="420" w:firstLineChars="200"/>
    </w:pPr>
  </w:style>
  <w:style w:type="paragraph" w:customStyle="1" w:styleId="14">
    <w:name w:val="1正文"/>
    <w:basedOn w:val="1"/>
    <w:qFormat/>
    <w:uiPriority w:val="0"/>
    <w:pPr>
      <w:adjustRightInd w:val="0"/>
      <w:snapToGrid w:val="0"/>
      <w:spacing w:line="360" w:lineRule="auto"/>
      <w:ind w:firstLine="480" w:firstLineChars="200"/>
    </w:pPr>
    <w:rPr>
      <w:rFonts w:ascii="宋体" w:hAnsi="宋体"/>
      <w:szCs w:val="22"/>
    </w:rPr>
  </w:style>
  <w:style w:type="paragraph" w:customStyle="1" w:styleId="15">
    <w:name w:val="_Style 14"/>
    <w:unhideWhenUsed/>
    <w:qFormat/>
    <w:uiPriority w:val="99"/>
    <w:rPr>
      <w:rFonts w:ascii="Calibri" w:hAnsi="Calibri" w:eastAsia="宋体" w:cs="Times New Roman"/>
      <w:kern w:val="2"/>
      <w:sz w:val="21"/>
      <w:szCs w:val="24"/>
      <w:lang w:val="en-US" w:eastAsia="zh-CN" w:bidi="ar-SA"/>
    </w:rPr>
  </w:style>
  <w:style w:type="paragraph" w:customStyle="1" w:styleId="16">
    <w:name w:val="null3"/>
    <w:basedOn w:val="1"/>
    <w:qFormat/>
    <w:uiPriority w:val="0"/>
    <w:pPr>
      <w:widowControl/>
      <w:jc w:val="left"/>
    </w:pPr>
    <w:rPr>
      <w:rFonts w:ascii="Calibri" w:hAnsi="Calibri" w:eastAsia="宋体" w:cs="Times New Roman"/>
      <w:kern w:val="0"/>
      <w:sz w:val="24"/>
    </w:rPr>
  </w:style>
  <w:style w:type="character" w:customStyle="1" w:styleId="17">
    <w:name w:val="font31"/>
    <w:qFormat/>
    <w:uiPriority w:val="0"/>
    <w:rPr>
      <w:rFonts w:ascii="宋体" w:hAnsi="宋体" w:eastAsia="宋体" w:cs="宋体"/>
      <w:color w:val="000000"/>
      <w:sz w:val="18"/>
      <w:szCs w:val="18"/>
      <w:u w:val="none"/>
    </w:rPr>
  </w:style>
  <w:style w:type="character" w:customStyle="1" w:styleId="18">
    <w:name w:val="页眉 字符"/>
    <w:link w:val="7"/>
    <w:qFormat/>
    <w:uiPriority w:val="0"/>
    <w:rPr>
      <w:rFonts w:ascii="Calibri" w:hAnsi="Calibri" w:eastAsia="宋体" w:cs="Times New Roman"/>
      <w:kern w:val="2"/>
      <w:sz w:val="18"/>
      <w:szCs w:val="18"/>
    </w:rPr>
  </w:style>
  <w:style w:type="character" w:customStyle="1" w:styleId="19">
    <w:name w:val="font51"/>
    <w:qFormat/>
    <w:uiPriority w:val="0"/>
    <w:rPr>
      <w:rFonts w:hint="default" w:ascii="Times New Roman" w:hAnsi="Times New Roman" w:cs="Times New Roman"/>
      <w:color w:val="000000"/>
      <w:sz w:val="24"/>
      <w:szCs w:val="24"/>
      <w:u w:val="single"/>
    </w:rPr>
  </w:style>
  <w:style w:type="character" w:customStyle="1" w:styleId="20">
    <w:name w:val="页脚 字符"/>
    <w:link w:val="6"/>
    <w:qFormat/>
    <w:uiPriority w:val="99"/>
    <w:rPr>
      <w:rFonts w:ascii="Calibri" w:hAnsi="Calibri" w:eastAsia="宋体" w:cs="Times New Roman"/>
      <w:kern w:val="2"/>
      <w:sz w:val="18"/>
      <w:szCs w:val="18"/>
    </w:rPr>
  </w:style>
  <w:style w:type="character" w:customStyle="1" w:styleId="21">
    <w:name w:val="font6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5336</Words>
  <Characters>5451</Characters>
  <Lines>29</Lines>
  <Paragraphs>8</Paragraphs>
  <ScaleCrop>false</ScaleCrop>
  <LinksUpToDate>false</LinksUpToDate>
  <CharactersWithSpaces>5656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2020-06-23T14:51:00Z</dcterms:created>
  <dc:creator>吴昊</dc:creator>
  <cp:lastModifiedBy>NTKO</cp:lastModifiedBy>
  <cp:lastPrinted>2025-06-10T17:45:00Z</cp:lastPrinted>
  <dcterms:modified xsi:type="dcterms:W3CDTF">2026-05-28T02:53:48Z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3CE61F0D07F84A0C918FA9B4C28509D1_13</vt:lpwstr>
  </property>
  <property fmtid="{D5CDD505-2E9C-101B-9397-08002B2CF9AE}" pid="4" name="KSOTemplateDocerSaveRecord">
    <vt:lpwstr>eyJoZGlkIjoiMTQ2YzhhMGVhNzNjODA2MmY1NTIwOGU1YTE0MDJjMjgiLCJ1c2VySWQiOiIyODMxOTkyMDcifQ==</vt:lpwstr>
  </property>
</Properties>
</file>