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240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16"/>
          <w:sz w:val="36"/>
          <w:szCs w:val="36"/>
          <w:highlight w:val="none"/>
        </w:rPr>
      </w:pPr>
    </w:p>
    <w:tbl>
      <w:tblPr>
        <w:tblStyle w:val="4"/>
        <w:tblW w:w="99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870"/>
        <w:gridCol w:w="3258"/>
        <w:gridCol w:w="4440"/>
        <w:gridCol w:w="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90" w:type="dxa"/>
            <w:gridSpan w:val="5"/>
            <w:noWrap w:val="0"/>
            <w:vAlign w:val="center"/>
          </w:tcPr>
          <w:p>
            <w:pPr>
              <w:pStyle w:val="3"/>
              <w:spacing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36"/>
                <w:szCs w:val="36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pacing w:val="16"/>
                <w:sz w:val="36"/>
                <w:szCs w:val="32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-99695</wp:posOffset>
                      </wp:positionH>
                      <wp:positionV relativeFrom="paragraph">
                        <wp:posOffset>-370840</wp:posOffset>
                      </wp:positionV>
                      <wp:extent cx="1285240" cy="352425"/>
                      <wp:effectExtent l="0" t="0" r="10160" b="952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908685" y="448945"/>
                                <a:ext cx="847725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 w:val="0"/>
                                    <w:snapToGrid w:val="0"/>
                                    <w:spacing w:line="240" w:lineRule="auto"/>
                                    <w:textAlignment w:val="auto"/>
                                    <w:rPr>
                                      <w:rFonts w:hint="eastAsia" w:ascii="黑体" w:hAnsi="黑体" w:eastAsia="黑体" w:cs="黑体"/>
                                      <w:spacing w:val="16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pacing w:val="16"/>
                                      <w:sz w:val="32"/>
                                      <w:szCs w:val="32"/>
                                      <w:lang w:eastAsia="zh-CN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spacing w:val="16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85pt;margin-top:-29.2pt;height:27.75pt;width:101.2pt;z-index:251659264;mso-width-relative:page;mso-height-relative:page;" fillcolor="#FFFFFF" filled="t" stroked="f" coordsize="21600,21600" o:gfxdata="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FRTZ9NUAAAAKAQAADwAAAAAAAAABACAAAAAiAAAAZHJzL2Rvd25yZXYueG1sUEsBAhQAFAAAAAgA&#10;h07iQAmUe7BhAgAApgQAAA4AAAAAAAAAAQAgAAAAJAEAAGRycy9lMm9Eb2MueG1sUEsFBgAAAAAG&#10;AAYAWQEAAPc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黑体" w:hAnsi="黑体" w:eastAsia="黑体" w:cs="黑体"/>
                                <w:spacing w:val="16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pacing w:val="16"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pacing w:val="16"/>
                                <w:sz w:val="32"/>
                                <w:szCs w:val="32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16"/>
                <w:sz w:val="36"/>
                <w:szCs w:val="36"/>
                <w:highlight w:val="none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16"/>
                <w:sz w:val="36"/>
                <w:szCs w:val="36"/>
                <w:highlight w:val="none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16"/>
                <w:sz w:val="36"/>
                <w:szCs w:val="36"/>
                <w:highlight w:val="none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16"/>
                <w:sz w:val="36"/>
                <w:szCs w:val="36"/>
                <w:highlight w:val="none"/>
                <w:lang w:eastAsia="zh-CN"/>
              </w:rPr>
              <w:t>增城区总量控制类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pacing w:val="16"/>
                <w:sz w:val="36"/>
                <w:szCs w:val="36"/>
                <w:highlight w:val="none"/>
              </w:rPr>
              <w:t>引进人才入户指标计分表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30"/>
                <w:szCs w:val="30"/>
                <w:highlight w:val="none"/>
                <w:lang w:val="en-US" w:eastAsia="zh-CN"/>
              </w:rPr>
              <w:t>A类入户指标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30"/>
                <w:szCs w:val="30"/>
                <w:highlight w:val="none"/>
                <w:lang w:eastAsia="zh-CN"/>
              </w:rPr>
              <w:t>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申报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</w:rPr>
              <w:t>单位（公章）：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填表时间：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  <w:t>类别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3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  <w:t>指标内容及分值</w:t>
            </w: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  <w:t>说明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16"/>
                <w:kern w:val="0"/>
                <w:sz w:val="24"/>
                <w:szCs w:val="24"/>
                <w:highlight w:val="none"/>
              </w:rPr>
              <w:t>自评分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  <w:jc w:val="center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基础项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社保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限</w:t>
            </w:r>
          </w:p>
        </w:tc>
        <w:tc>
          <w:tcPr>
            <w:tcW w:w="3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在申报单位连续缴纳社保月数：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个月1分，累计不超过80分。</w:t>
            </w: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在同一申报单位社保缴纳时间需连续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不能中断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或补缴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，若出现在子公司或分公司缴纳社保情况，需提供相关工商证明登记材料。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57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加分项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程度</w:t>
            </w:r>
          </w:p>
        </w:tc>
        <w:tc>
          <w:tcPr>
            <w:tcW w:w="3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1.本科及以上（90分）；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2.大专（80分）。</w:t>
            </w: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只取最高分，不累计加分。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专业技术资格</w:t>
            </w:r>
          </w:p>
        </w:tc>
        <w:tc>
          <w:tcPr>
            <w:tcW w:w="3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1.专业技术资格（职称）：中级及以上（90分）；初级（80分）；</w:t>
            </w: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只取最高分，不累计加分。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2.专业技术人员职业（执业）资格（80分）。</w:t>
            </w:r>
            <w:bookmarkStart w:id="2" w:name="_GoBack"/>
            <w:bookmarkEnd w:id="2"/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只取最高分，不累计加分。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0" w:hRule="atLeast"/>
          <w:jc w:val="center"/>
        </w:trPr>
        <w:tc>
          <w:tcPr>
            <w:tcW w:w="5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  <w:t>能力</w:t>
            </w:r>
          </w:p>
        </w:tc>
        <w:tc>
          <w:tcPr>
            <w:tcW w:w="3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技能人员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职业资格/职业技能等级：技师及以上（90分）；三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、四、五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级（80分)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获得“增城工匠”荣誉（80分）。</w:t>
            </w: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1.只取最高分，不累计加分。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2.持技能人员职业资格/职业技能等级证书入户的，证书需在技能人才评价证书全国联网查询系统成功核验；由企业发证的技能证书，该发证企业须有面向社会开展职业技能等级认定的资质，如果发证企业仅限面向本单位职工开展职业技能等级认定，申报人拿证时应为该发证单位职工（以正常缴纳的社保记录为准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eastAsia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3.</w:t>
            </w:r>
            <w:bookmarkStart w:id="0" w:name="OLE_LINK4"/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证书等级为三、四、五级的，获证时间不晚于工作方案印发之日，需证岗一致，且符合单位主营业务范围。</w:t>
            </w:r>
            <w:bookmarkEnd w:id="0"/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2" w:hRule="atLeast"/>
          <w:jc w:val="center"/>
        </w:trPr>
        <w:tc>
          <w:tcPr>
            <w:tcW w:w="5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级别</w:t>
            </w:r>
          </w:p>
        </w:tc>
        <w:tc>
          <w:tcPr>
            <w:tcW w:w="3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引进单位法人、股东、董事长、董事、监事、经理、其他高级管理人员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，院长、校长等同级别管理人员（正副职皆可）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0分）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。（限</w:t>
            </w:r>
            <w:bookmarkStart w:id="1" w:name="OLE_LINK1"/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A类入户指标申报单位的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一、二、三、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四、七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类</w:t>
            </w:r>
            <w:bookmarkEnd w:id="1"/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需单位提供任职文件。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A类入户指标申报单位中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前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类单位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以公司出具的任职证明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、组织架构为准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，其他单位须在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工作方案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印发之日前进行工商登记并在国家企业信用信息公示系统备案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  <w:lang w:val="en-US" w:eastAsia="zh-CN"/>
              </w:rPr>
              <w:t>，提供备案登记证明。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5" w:hRule="atLeast"/>
          <w:jc w:val="center"/>
        </w:trPr>
        <w:tc>
          <w:tcPr>
            <w:tcW w:w="5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纳税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情况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highlight w:val="none"/>
              </w:rPr>
              <w:t>前三个纳税年度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-202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0"/>
                <w:sz w:val="24"/>
                <w:szCs w:val="24"/>
                <w:highlight w:val="none"/>
              </w:rPr>
              <w:t>在我区缴纳个人所得税累计达1万元（含）以上的人员。（80分）。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一个纳税年度指当年的1月1日至12月31日，以税款所属期为准。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仅计算申报人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办理年度汇算后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</w:rPr>
              <w:t>在引进单位的纳税额（以个人所得税APP-收入纳税明细截图为准），且所得项目为工资薪金所得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91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  <w:t>合计总分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16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both"/>
        <w:textAlignment w:val="auto"/>
        <w:rPr>
          <w:rFonts w:ascii="Times New Roman" w:hAnsi="Times New Roman" w:eastAsia="仿宋_GB2312" w:cs="Times New Roman"/>
          <w:color w:val="auto"/>
          <w:spacing w:val="16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auto"/>
          <w:spacing w:val="16"/>
          <w:sz w:val="24"/>
          <w:szCs w:val="24"/>
          <w:highlight w:val="none"/>
          <w:lang w:eastAsia="zh-CN"/>
        </w:rPr>
        <w:t>申报人签名：</w:t>
      </w:r>
      <w:r>
        <w:rPr>
          <w:rFonts w:hint="eastAsia" w:ascii="仿宋_GB2312" w:hAnsi="Times New Roman" w:eastAsia="仿宋_GB2312" w:cs="Times New Roman"/>
          <w:b w:val="0"/>
          <w:bCs w:val="0"/>
          <w:color w:val="auto"/>
          <w:spacing w:val="16"/>
          <w:sz w:val="24"/>
          <w:szCs w:val="24"/>
          <w:highlight w:val="none"/>
          <w:lang w:val="en-US" w:eastAsia="zh-CN"/>
        </w:rPr>
        <w:t xml:space="preserve">                  单位审核人签名：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22C86"/>
    <w:rsid w:val="27722C86"/>
    <w:rsid w:val="7265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 w:val="0"/>
      <w:spacing w:line="200" w:lineRule="exact"/>
      <w:ind w:firstLine="420" w:firstLineChars="200"/>
      <w:jc w:val="both"/>
    </w:pPr>
    <w:rPr>
      <w:rFonts w:ascii="Times New Roman" w:hAnsi="Times New Roman" w:eastAsia="仿宋_GB2312" w:cs="Times New Roman"/>
      <w:spacing w:val="16"/>
      <w:kern w:val="2"/>
      <w:sz w:val="32"/>
      <w:szCs w:val="32"/>
      <w:lang w:val="en-US" w:eastAsia="zh-CN" w:bidi="ar-SA"/>
    </w:rPr>
  </w:style>
  <w:style w:type="paragraph" w:styleId="3">
    <w:name w:val="toc 4"/>
    <w:basedOn w:val="1"/>
    <w:next w:val="1"/>
    <w:qFormat/>
    <w:uiPriority w:val="0"/>
    <w:pPr>
      <w:widowControl w:val="0"/>
      <w:wordWrap w:val="0"/>
      <w:spacing w:line="200" w:lineRule="exact"/>
      <w:ind w:left="850"/>
      <w:jc w:val="both"/>
    </w:pPr>
    <w:rPr>
      <w:rFonts w:ascii="Calibri" w:hAnsi="Calibri" w:eastAsia="仿宋_GB2312" w:cs="黑体"/>
      <w:spacing w:val="16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2026-05-28T02:04:00Z</dcterms:created>
  <dc:creator>Administrator</dc:creator>
  <cp:lastModifiedBy>Administrator</cp:lastModifiedBy>
  <dcterms:modified xsi:type="dcterms:W3CDTF">2026-05-28T02:53:10Z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26F38B847D824B22AC617444350D4842</vt:lpwstr>
  </property>
</Properties>
</file>