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560" w:lineRule="exact"/>
        <w:ind w:right="0"/>
        <w:jc w:val="center"/>
        <w:textAlignment w:val="auto"/>
        <w:rPr>
          <w:rFonts w:hint="eastAsia" w:ascii="方正小标宋简体" w:hAnsi="方正小标宋简体" w:eastAsia="方正小标宋简体" w:cs="方正小标宋简体"/>
          <w:b w:val="0"/>
          <w:bCs w:val="0"/>
          <w:snapToGrid/>
          <w:color w:val="000000"/>
          <w:kern w:val="2"/>
          <w:sz w:val="44"/>
          <w:szCs w:val="44"/>
        </w:rPr>
      </w:pPr>
      <w:r>
        <w:rPr>
          <w:rFonts w:hint="eastAsia" w:ascii="方正小标宋简体" w:hAnsi="方正小标宋简体" w:eastAsia="方正小标宋简体" w:cs="方正小标宋简体"/>
          <w:b w:val="0"/>
          <w:bCs w:val="0"/>
          <w:snapToGrid/>
          <w:color w:val="000000"/>
          <w:kern w:val="2"/>
          <w:sz w:val="44"/>
          <w:szCs w:val="44"/>
          <w:lang w:val="en-US" w:eastAsia="zh-CN"/>
        </w:rPr>
        <w:t>增城</w:t>
      </w:r>
      <w:r>
        <w:rPr>
          <w:rFonts w:hint="eastAsia" w:ascii="方正小标宋简体" w:hAnsi="方正小标宋简体" w:eastAsia="方正小标宋简体" w:cs="方正小标宋简体"/>
          <w:b w:val="0"/>
          <w:bCs w:val="0"/>
          <w:snapToGrid/>
          <w:color w:val="000000"/>
          <w:kern w:val="2"/>
          <w:sz w:val="44"/>
          <w:szCs w:val="44"/>
        </w:rPr>
        <w:t>区</w:t>
      </w:r>
      <w:r>
        <w:rPr>
          <w:rFonts w:hint="eastAsia" w:ascii="方正小标宋简体" w:hAnsi="方正小标宋简体" w:eastAsia="方正小标宋简体" w:cs="方正小标宋简体"/>
          <w:b w:val="0"/>
          <w:bCs w:val="0"/>
          <w:snapToGrid/>
          <w:color w:val="000000"/>
          <w:kern w:val="2"/>
          <w:sz w:val="44"/>
          <w:szCs w:val="44"/>
          <w:lang w:eastAsia="zh-CN"/>
        </w:rPr>
        <w:t>第</w:t>
      </w:r>
      <w:r>
        <w:rPr>
          <w:rFonts w:hint="eastAsia" w:ascii="方正小标宋简体" w:hAnsi="方正小标宋简体" w:eastAsia="方正小标宋简体" w:cs="方正小标宋简体"/>
          <w:b w:val="0"/>
          <w:bCs w:val="0"/>
          <w:snapToGrid/>
          <w:color w:val="000000"/>
          <w:kern w:val="2"/>
          <w:sz w:val="44"/>
          <w:szCs w:val="44"/>
          <w:lang w:val="en-US" w:eastAsia="zh-CN"/>
        </w:rPr>
        <w:t>一</w:t>
      </w:r>
      <w:r>
        <w:rPr>
          <w:rFonts w:hint="eastAsia" w:ascii="方正小标宋简体" w:hAnsi="方正小标宋简体" w:eastAsia="方正小标宋简体" w:cs="方正小标宋简体"/>
          <w:b w:val="0"/>
          <w:bCs w:val="0"/>
          <w:snapToGrid/>
          <w:color w:val="000000"/>
          <w:kern w:val="2"/>
          <w:sz w:val="44"/>
          <w:szCs w:val="44"/>
          <w:lang w:eastAsia="zh-CN"/>
        </w:rPr>
        <w:t>届</w:t>
      </w:r>
      <w:r>
        <w:rPr>
          <w:rFonts w:hint="eastAsia" w:ascii="方正小标宋简体" w:hAnsi="方正小标宋简体" w:eastAsia="方正小标宋简体" w:cs="方正小标宋简体"/>
          <w:b w:val="0"/>
          <w:bCs w:val="0"/>
          <w:snapToGrid/>
          <w:color w:val="000000"/>
          <w:kern w:val="2"/>
          <w:sz w:val="44"/>
          <w:szCs w:val="44"/>
        </w:rPr>
        <w:t>社会组织公益创投活动</w:t>
      </w:r>
    </w:p>
    <w:p>
      <w:pPr>
        <w:widowControl w:val="0"/>
        <w:kinsoku/>
        <w:autoSpaceDE/>
        <w:autoSpaceDN/>
        <w:adjustRightInd/>
        <w:snapToGrid/>
        <w:spacing w:before="0" w:after="0" w:line="560" w:lineRule="exact"/>
        <w:ind w:right="0"/>
        <w:jc w:val="center"/>
        <w:textAlignment w:val="auto"/>
        <w:rPr>
          <w:rFonts w:hint="eastAsia" w:ascii="方正小标宋简体" w:hAnsi="方正小标宋简体" w:eastAsia="方正小标宋简体" w:cs="方正小标宋简体"/>
          <w:b w:val="0"/>
          <w:snapToGrid/>
          <w:color w:val="000000"/>
          <w:kern w:val="2"/>
          <w:sz w:val="44"/>
          <w:szCs w:val="44"/>
        </w:rPr>
      </w:pPr>
      <w:r>
        <w:rPr>
          <w:rFonts w:hint="eastAsia" w:ascii="方正小标宋简体" w:hAnsi="方正小标宋简体" w:eastAsia="方正小标宋简体" w:cs="方正小标宋简体"/>
          <w:b w:val="0"/>
          <w:snapToGrid/>
          <w:color w:val="000000"/>
          <w:kern w:val="2"/>
          <w:sz w:val="44"/>
          <w:szCs w:val="44"/>
        </w:rPr>
        <w:t>财务管理指引</w:t>
      </w:r>
    </w:p>
    <w:p>
      <w:pPr>
        <w:keepNext w:val="0"/>
        <w:keepLines w:val="0"/>
        <w:pageBreakBefore w:val="0"/>
        <w:widowControl w:val="0"/>
        <w:kinsoku/>
        <w:wordWrap/>
        <w:overflowPunct/>
        <w:topLinePunct w:val="0"/>
        <w:autoSpaceDE w:val="0"/>
        <w:autoSpaceDN w:val="0"/>
        <w:bidi w:val="0"/>
        <w:adjustRightInd/>
        <w:snapToGrid/>
        <w:spacing w:line="560" w:lineRule="exact"/>
        <w:ind w:firstLine="472" w:firstLineChars="200"/>
        <w:textAlignment w:val="auto"/>
        <w:rPr>
          <w:rFonts w:hint="default" w:ascii="Times New Roman" w:hAnsi="Times New Roman" w:eastAsia="仿宋_GB2312" w:cs="Times New Roman"/>
          <w:snapToGrid w:val="0"/>
          <w:spacing w:val="-2"/>
          <w:kern w:val="0"/>
          <w:sz w:val="2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2"/>
          <w:kern w:val="0"/>
          <w:sz w:val="24"/>
          <w:lang w:val="en-US" w:eastAsia="zh-CN"/>
        </w:rPr>
        <w:t xml:space="preserve">    </w:t>
      </w:r>
      <w:r>
        <w:rPr>
          <w:rFonts w:hint="default" w:ascii="Times New Roman" w:hAnsi="Times New Roman" w:eastAsia="仿宋_GB2312" w:cs="Times New Roman"/>
          <w:snapToGrid w:val="0"/>
          <w:spacing w:val="-2"/>
          <w:kern w:val="0"/>
          <w:sz w:val="24"/>
        </w:rPr>
        <w:t>为促进</w:t>
      </w:r>
      <w:r>
        <w:rPr>
          <w:rFonts w:hint="eastAsia" w:eastAsia="仿宋_GB2312" w:cs="Times New Roman"/>
          <w:snapToGrid w:val="0"/>
          <w:spacing w:val="-2"/>
          <w:kern w:val="0"/>
          <w:sz w:val="24"/>
          <w:lang w:val="en-US" w:eastAsia="zh-CN"/>
        </w:rPr>
        <w:t>增城</w:t>
      </w:r>
      <w:r>
        <w:rPr>
          <w:rFonts w:hint="default" w:ascii="Times New Roman" w:hAnsi="Times New Roman" w:eastAsia="仿宋_GB2312" w:cs="Times New Roman"/>
          <w:snapToGrid w:val="0"/>
          <w:spacing w:val="-2"/>
          <w:kern w:val="0"/>
          <w:sz w:val="24"/>
        </w:rPr>
        <w:t>区</w:t>
      </w:r>
      <w:r>
        <w:rPr>
          <w:rFonts w:hint="default" w:ascii="Times New Roman" w:hAnsi="Times New Roman" w:eastAsia="仿宋_GB2312" w:cs="Times New Roman"/>
          <w:snapToGrid w:val="0"/>
          <w:spacing w:val="-2"/>
          <w:kern w:val="0"/>
          <w:sz w:val="24"/>
          <w:lang w:eastAsia="zh-CN"/>
        </w:rPr>
        <w:t>第</w:t>
      </w:r>
      <w:r>
        <w:rPr>
          <w:rFonts w:hint="eastAsia" w:eastAsia="仿宋_GB2312" w:cs="Times New Roman"/>
          <w:snapToGrid w:val="0"/>
          <w:spacing w:val="-2"/>
          <w:kern w:val="0"/>
          <w:sz w:val="24"/>
          <w:lang w:val="en-US" w:eastAsia="zh-CN"/>
        </w:rPr>
        <w:t>一</w:t>
      </w:r>
      <w:r>
        <w:rPr>
          <w:rFonts w:hint="default" w:ascii="Times New Roman" w:hAnsi="Times New Roman" w:eastAsia="仿宋_GB2312" w:cs="Times New Roman"/>
          <w:snapToGrid w:val="0"/>
          <w:spacing w:val="-2"/>
          <w:kern w:val="0"/>
          <w:sz w:val="24"/>
          <w:lang w:eastAsia="zh-CN"/>
        </w:rPr>
        <w:t>届</w:t>
      </w:r>
      <w:r>
        <w:rPr>
          <w:rFonts w:hint="default" w:ascii="Times New Roman" w:hAnsi="Times New Roman" w:eastAsia="仿宋_GB2312" w:cs="Times New Roman"/>
          <w:snapToGrid w:val="0"/>
          <w:spacing w:val="-2"/>
          <w:kern w:val="0"/>
          <w:sz w:val="24"/>
        </w:rPr>
        <w:t>社会组织公益创投活动项目资金（以下简称“项目资金”）管理规范合法，确保项目资金运行安全、合理、高效，依据《广州市社会组织公益创投项目管理办法》（穗社管规字〔2023〕1号）（以下简称《办法》</w:t>
      </w:r>
      <w:r>
        <w:rPr>
          <w:rFonts w:hint="eastAsia" w:eastAsia="仿宋_GB2312" w:cs="Times New Roman"/>
          <w:snapToGrid w:val="0"/>
          <w:spacing w:val="-2"/>
          <w:kern w:val="0"/>
          <w:sz w:val="24"/>
          <w:lang w:eastAsia="zh-CN"/>
        </w:rPr>
        <w:t>）</w:t>
      </w:r>
      <w:r>
        <w:rPr>
          <w:rFonts w:hint="default" w:ascii="Times New Roman" w:hAnsi="Times New Roman" w:eastAsia="仿宋_GB2312" w:cs="Times New Roman"/>
          <w:snapToGrid w:val="0"/>
          <w:spacing w:val="-2"/>
          <w:kern w:val="0"/>
          <w:sz w:val="24"/>
        </w:rPr>
        <w:t>、《民间非营利组织会计制度》、广州</w:t>
      </w:r>
      <w:r>
        <w:rPr>
          <w:rFonts w:hint="default" w:ascii="Times New Roman" w:hAnsi="Times New Roman" w:eastAsia="仿宋_GB2312" w:cs="Times New Roman"/>
          <w:snapToGrid w:val="0"/>
          <w:spacing w:val="2"/>
          <w:kern w:val="0"/>
          <w:sz w:val="24"/>
        </w:rPr>
        <w:t>市社会组织公益创投活动财务管理规范以及相关财务制度、《广州市</w:t>
      </w:r>
      <w:r>
        <w:rPr>
          <w:rFonts w:hint="eastAsia" w:eastAsia="仿宋_GB2312" w:cs="Times New Roman"/>
          <w:snapToGrid w:val="0"/>
          <w:spacing w:val="2"/>
          <w:kern w:val="0"/>
          <w:sz w:val="24"/>
          <w:lang w:val="en-US" w:eastAsia="zh-CN"/>
        </w:rPr>
        <w:t>增城</w:t>
      </w:r>
      <w:r>
        <w:rPr>
          <w:rFonts w:hint="default" w:ascii="Times New Roman" w:hAnsi="Times New Roman" w:eastAsia="仿宋_GB2312" w:cs="Times New Roman"/>
          <w:snapToGrid w:val="0"/>
          <w:spacing w:val="2"/>
          <w:kern w:val="0"/>
          <w:sz w:val="24"/>
        </w:rPr>
        <w:t>区民政局</w:t>
      </w:r>
      <w:r>
        <w:rPr>
          <w:rFonts w:hint="eastAsia" w:eastAsia="仿宋_GB2312" w:cs="Times New Roman"/>
          <w:snapToGrid w:val="0"/>
          <w:spacing w:val="2"/>
          <w:kern w:val="0"/>
          <w:sz w:val="24"/>
          <w:lang w:eastAsia="zh-CN"/>
        </w:rPr>
        <w:t>、</w:t>
      </w:r>
      <w:r>
        <w:rPr>
          <w:rFonts w:hint="default" w:ascii="Times New Roman" w:hAnsi="Times New Roman" w:eastAsia="仿宋_GB2312" w:cs="Times New Roman"/>
          <w:snapToGrid w:val="0"/>
          <w:spacing w:val="2"/>
          <w:kern w:val="0"/>
          <w:sz w:val="24"/>
        </w:rPr>
        <w:t>中共广州市</w:t>
      </w:r>
      <w:r>
        <w:rPr>
          <w:rFonts w:hint="eastAsia" w:eastAsia="仿宋_GB2312" w:cs="Times New Roman"/>
          <w:snapToGrid w:val="0"/>
          <w:spacing w:val="2"/>
          <w:kern w:val="0"/>
          <w:sz w:val="24"/>
          <w:lang w:val="en-US" w:eastAsia="zh-CN"/>
        </w:rPr>
        <w:t>增城</w:t>
      </w:r>
      <w:r>
        <w:rPr>
          <w:rFonts w:hint="default" w:ascii="Times New Roman" w:hAnsi="Times New Roman" w:eastAsia="仿宋_GB2312" w:cs="Times New Roman"/>
          <w:snapToGrid w:val="0"/>
          <w:spacing w:val="2"/>
          <w:kern w:val="0"/>
          <w:sz w:val="24"/>
        </w:rPr>
        <w:t>区社会组织委员会关于开展</w:t>
      </w:r>
      <w:r>
        <w:rPr>
          <w:rFonts w:hint="eastAsia" w:eastAsia="仿宋_GB2312" w:cs="Times New Roman"/>
          <w:snapToGrid w:val="0"/>
          <w:spacing w:val="2"/>
          <w:kern w:val="0"/>
          <w:sz w:val="24"/>
          <w:lang w:val="en-US" w:eastAsia="zh-CN"/>
        </w:rPr>
        <w:t>增城</w:t>
      </w:r>
      <w:r>
        <w:rPr>
          <w:rFonts w:hint="default" w:ascii="Times New Roman" w:hAnsi="Times New Roman" w:eastAsia="仿宋_GB2312" w:cs="Times New Roman"/>
          <w:snapToGrid w:val="0"/>
          <w:spacing w:val="2"/>
          <w:kern w:val="0"/>
          <w:sz w:val="24"/>
        </w:rPr>
        <w:t>区</w:t>
      </w:r>
      <w:r>
        <w:rPr>
          <w:rFonts w:hint="default" w:ascii="Times New Roman" w:hAnsi="Times New Roman" w:eastAsia="仿宋_GB2312" w:cs="Times New Roman"/>
          <w:snapToGrid w:val="0"/>
          <w:spacing w:val="2"/>
          <w:kern w:val="0"/>
          <w:sz w:val="24"/>
          <w:lang w:eastAsia="zh-CN"/>
        </w:rPr>
        <w:t>第</w:t>
      </w:r>
      <w:r>
        <w:rPr>
          <w:rFonts w:hint="eastAsia" w:eastAsia="仿宋_GB2312" w:cs="Times New Roman"/>
          <w:snapToGrid w:val="0"/>
          <w:spacing w:val="2"/>
          <w:kern w:val="0"/>
          <w:sz w:val="24"/>
          <w:lang w:val="en-US" w:eastAsia="zh-CN"/>
        </w:rPr>
        <w:t>一</w:t>
      </w:r>
      <w:r>
        <w:rPr>
          <w:rFonts w:hint="default" w:ascii="Times New Roman" w:hAnsi="Times New Roman" w:eastAsia="仿宋_GB2312" w:cs="Times New Roman"/>
          <w:snapToGrid w:val="0"/>
          <w:spacing w:val="2"/>
          <w:kern w:val="0"/>
          <w:sz w:val="24"/>
          <w:lang w:eastAsia="zh-CN"/>
        </w:rPr>
        <w:t>届</w:t>
      </w:r>
      <w:r>
        <w:rPr>
          <w:rFonts w:hint="default" w:ascii="Times New Roman" w:hAnsi="Times New Roman" w:eastAsia="仿宋_GB2312" w:cs="Times New Roman"/>
          <w:snapToGrid w:val="0"/>
          <w:spacing w:val="2"/>
          <w:kern w:val="0"/>
          <w:sz w:val="24"/>
        </w:rPr>
        <w:t>社会组织公益创投活动的通知》制定本指引。</w:t>
      </w:r>
    </w:p>
    <w:p>
      <w:pPr>
        <w:keepNext w:val="0"/>
        <w:keepLines w:val="0"/>
        <w:pageBreakBefore w:val="0"/>
        <w:widowControl w:val="0"/>
        <w:kinsoku/>
        <w:wordWrap/>
        <w:overflowPunct/>
        <w:topLinePunct w:val="0"/>
        <w:autoSpaceDE w:val="0"/>
        <w:autoSpaceDN w:val="0"/>
        <w:bidi w:val="0"/>
        <w:adjustRightInd/>
        <w:snapToGrid/>
        <w:spacing w:line="560" w:lineRule="exact"/>
        <w:ind w:firstLine="482" w:firstLineChars="200"/>
        <w:jc w:val="both"/>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一、资金管理原则</w:t>
      </w:r>
    </w:p>
    <w:p>
      <w:pPr>
        <w:keepNext w:val="0"/>
        <w:keepLines w:val="0"/>
        <w:pageBreakBefore w:val="0"/>
        <w:widowControl w:val="0"/>
        <w:kinsoku/>
        <w:wordWrap/>
        <w:overflowPunct/>
        <w:topLinePunct w:val="0"/>
        <w:autoSpaceDE w:val="0"/>
        <w:autoSpaceDN w:val="0"/>
        <w:bidi w:val="0"/>
        <w:adjustRightInd/>
        <w:snapToGrid/>
        <w:spacing w:line="560" w:lineRule="exact"/>
        <w:ind w:firstLine="472" w:firstLineChars="200"/>
        <w:jc w:val="both"/>
        <w:textAlignment w:val="auto"/>
        <w:rPr>
          <w:rFonts w:hint="default" w:ascii="Times New Roman" w:hAnsi="Times New Roman" w:eastAsia="仿宋_GB2312" w:cs="Times New Roman"/>
          <w:snapToGrid w:val="0"/>
          <w:spacing w:val="-2"/>
          <w:kern w:val="0"/>
          <w:sz w:val="24"/>
        </w:rPr>
      </w:pPr>
      <w:r>
        <w:rPr>
          <w:rFonts w:hint="default" w:ascii="Times New Roman" w:hAnsi="Times New Roman" w:eastAsia="仿宋_GB2312" w:cs="Times New Roman"/>
          <w:snapToGrid w:val="0"/>
          <w:spacing w:val="-2"/>
          <w:kern w:val="0"/>
          <w:sz w:val="24"/>
        </w:rPr>
        <w:t>本指引所述项目资金包括</w:t>
      </w:r>
      <w:r>
        <w:rPr>
          <w:rFonts w:hint="eastAsia" w:eastAsia="仿宋_GB2312" w:cs="Times New Roman"/>
          <w:snapToGrid w:val="0"/>
          <w:spacing w:val="-2"/>
          <w:kern w:val="0"/>
          <w:sz w:val="24"/>
          <w:lang w:eastAsia="zh-CN"/>
        </w:rPr>
        <w:t>增城</w:t>
      </w:r>
      <w:r>
        <w:rPr>
          <w:rFonts w:hint="default" w:ascii="Times New Roman" w:hAnsi="Times New Roman" w:eastAsia="仿宋_GB2312" w:cs="Times New Roman"/>
          <w:snapToGrid w:val="0"/>
          <w:spacing w:val="-2"/>
          <w:kern w:val="0"/>
          <w:sz w:val="24"/>
        </w:rPr>
        <w:t>区</w:t>
      </w:r>
      <w:r>
        <w:rPr>
          <w:rFonts w:hint="eastAsia" w:eastAsia="仿宋_GB2312" w:cs="Times New Roman"/>
          <w:snapToGrid w:val="0"/>
          <w:spacing w:val="-2"/>
          <w:kern w:val="0"/>
          <w:sz w:val="24"/>
          <w:lang w:eastAsia="zh-CN"/>
        </w:rPr>
        <w:t>第一届</w:t>
      </w:r>
      <w:r>
        <w:rPr>
          <w:rFonts w:hint="default" w:ascii="Times New Roman" w:hAnsi="Times New Roman" w:eastAsia="仿宋_GB2312" w:cs="Times New Roman"/>
          <w:snapToGrid w:val="0"/>
          <w:spacing w:val="-2"/>
          <w:kern w:val="0"/>
          <w:sz w:val="24"/>
        </w:rPr>
        <w:t>社会组织公益创投活动项目资助资金和项目自筹配套资金。</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72" w:firstLineChars="200"/>
        <w:jc w:val="both"/>
        <w:textAlignment w:val="auto"/>
        <w:rPr>
          <w:rFonts w:hint="default" w:ascii="Times New Roman" w:hAnsi="Times New Roman" w:eastAsia="仿宋_GB2312" w:cs="Times New Roman"/>
          <w:b/>
          <w:bCs/>
          <w:snapToGrid w:val="0"/>
          <w:kern w:val="0"/>
          <w:sz w:val="24"/>
        </w:rPr>
      </w:pPr>
      <w:r>
        <w:rPr>
          <w:rFonts w:hint="default" w:ascii="Times New Roman" w:hAnsi="Times New Roman" w:eastAsia="仿宋_GB2312" w:cs="Times New Roman"/>
          <w:snapToGrid w:val="0"/>
          <w:spacing w:val="-2"/>
          <w:kern w:val="0"/>
          <w:sz w:val="24"/>
        </w:rPr>
        <w:t>承办方根据公益项目实施进展，起草项目运作资助资金</w:t>
      </w:r>
      <w:r>
        <w:rPr>
          <w:rFonts w:hint="default" w:ascii="Times New Roman" w:hAnsi="Times New Roman" w:eastAsia="仿宋_GB2312" w:cs="Times New Roman"/>
          <w:snapToGrid w:val="0"/>
          <w:spacing w:val="-3"/>
          <w:kern w:val="0"/>
          <w:sz w:val="24"/>
        </w:rPr>
        <w:t>拨付申请书向主办方申请资助资金的拨付，经区民政局审核</w:t>
      </w:r>
      <w:r>
        <w:rPr>
          <w:rFonts w:hint="default" w:ascii="Times New Roman" w:hAnsi="Times New Roman" w:eastAsia="仿宋_GB2312" w:cs="Times New Roman"/>
          <w:snapToGrid w:val="0"/>
          <w:spacing w:val="-6"/>
          <w:kern w:val="0"/>
          <w:sz w:val="24"/>
        </w:rPr>
        <w:t>通过后，将服务项目资金分两次直接拨付给创投主体。项目</w:t>
      </w:r>
      <w:r>
        <w:rPr>
          <w:rFonts w:hint="default" w:ascii="Times New Roman" w:hAnsi="Times New Roman" w:eastAsia="仿宋_GB2312" w:cs="Times New Roman"/>
          <w:snapToGrid w:val="0"/>
          <w:kern w:val="0"/>
          <w:sz w:val="24"/>
        </w:rPr>
        <w:t>资</w:t>
      </w:r>
      <w:r>
        <w:rPr>
          <w:rFonts w:hint="default" w:ascii="Times New Roman" w:hAnsi="Times New Roman" w:eastAsia="仿宋_GB2312" w:cs="Times New Roman"/>
          <w:b/>
          <w:bCs/>
          <w:snapToGrid w:val="0"/>
          <w:spacing w:val="5"/>
          <w:kern w:val="0"/>
          <w:sz w:val="24"/>
        </w:rPr>
        <w:t>助</w:t>
      </w:r>
      <w:r>
        <w:rPr>
          <w:rFonts w:hint="default" w:ascii="Times New Roman" w:hAnsi="Times New Roman" w:eastAsia="仿宋_GB2312" w:cs="Times New Roman"/>
          <w:b/>
          <w:bCs/>
          <w:snapToGrid w:val="0"/>
          <w:kern w:val="0"/>
          <w:sz w:val="24"/>
        </w:rPr>
        <w:t>协</w:t>
      </w:r>
      <w:r>
        <w:rPr>
          <w:rFonts w:hint="default" w:ascii="Times New Roman" w:hAnsi="Times New Roman" w:eastAsia="仿宋_GB2312" w:cs="Times New Roman"/>
          <w:b/>
          <w:bCs/>
          <w:snapToGrid w:val="0"/>
          <w:spacing w:val="5"/>
          <w:kern w:val="0"/>
          <w:sz w:val="24"/>
        </w:rPr>
        <w:t>议</w:t>
      </w:r>
      <w:r>
        <w:rPr>
          <w:rFonts w:hint="default" w:ascii="Times New Roman" w:hAnsi="Times New Roman" w:eastAsia="仿宋_GB2312" w:cs="Times New Roman"/>
          <w:b/>
          <w:bCs/>
          <w:snapToGrid w:val="0"/>
          <w:kern w:val="0"/>
          <w:sz w:val="24"/>
        </w:rPr>
        <w:t>签</w:t>
      </w:r>
      <w:r>
        <w:rPr>
          <w:rFonts w:hint="default" w:ascii="Times New Roman" w:hAnsi="Times New Roman" w:eastAsia="仿宋_GB2312" w:cs="Times New Roman"/>
          <w:b/>
          <w:bCs/>
          <w:snapToGrid w:val="0"/>
          <w:spacing w:val="5"/>
          <w:kern w:val="0"/>
          <w:sz w:val="24"/>
        </w:rPr>
        <w:t>署</w:t>
      </w:r>
      <w:r>
        <w:rPr>
          <w:rFonts w:hint="default" w:ascii="Times New Roman" w:hAnsi="Times New Roman" w:eastAsia="仿宋_GB2312" w:cs="Times New Roman"/>
          <w:b/>
          <w:bCs/>
          <w:snapToGrid w:val="0"/>
          <w:kern w:val="0"/>
          <w:sz w:val="24"/>
        </w:rPr>
        <w:t>后一</w:t>
      </w:r>
      <w:r>
        <w:rPr>
          <w:rFonts w:hint="default" w:ascii="Times New Roman" w:hAnsi="Times New Roman" w:eastAsia="仿宋_GB2312" w:cs="Times New Roman"/>
          <w:b/>
          <w:bCs/>
          <w:snapToGrid w:val="0"/>
          <w:spacing w:val="5"/>
          <w:kern w:val="0"/>
          <w:sz w:val="24"/>
        </w:rPr>
        <w:t>个</w:t>
      </w:r>
      <w:r>
        <w:rPr>
          <w:rFonts w:hint="default" w:ascii="Times New Roman" w:hAnsi="Times New Roman" w:eastAsia="仿宋_GB2312" w:cs="Times New Roman"/>
          <w:b/>
          <w:bCs/>
          <w:snapToGrid w:val="0"/>
          <w:kern w:val="0"/>
          <w:sz w:val="24"/>
        </w:rPr>
        <w:t>月</w:t>
      </w:r>
      <w:r>
        <w:rPr>
          <w:rFonts w:hint="default" w:ascii="Times New Roman" w:hAnsi="Times New Roman" w:eastAsia="仿宋_GB2312" w:cs="Times New Roman"/>
          <w:b/>
          <w:bCs/>
          <w:snapToGrid w:val="0"/>
          <w:spacing w:val="5"/>
          <w:kern w:val="0"/>
          <w:sz w:val="24"/>
        </w:rPr>
        <w:t>内</w:t>
      </w:r>
      <w:r>
        <w:rPr>
          <w:rFonts w:hint="default" w:ascii="Times New Roman" w:hAnsi="Times New Roman" w:eastAsia="仿宋_GB2312" w:cs="Times New Roman"/>
          <w:b/>
          <w:bCs/>
          <w:snapToGrid w:val="0"/>
          <w:kern w:val="0"/>
          <w:sz w:val="24"/>
        </w:rPr>
        <w:t>拨</w:t>
      </w:r>
      <w:r>
        <w:rPr>
          <w:rFonts w:hint="default" w:ascii="Times New Roman" w:hAnsi="Times New Roman" w:eastAsia="仿宋_GB2312" w:cs="Times New Roman"/>
          <w:b/>
          <w:bCs/>
          <w:snapToGrid w:val="0"/>
          <w:spacing w:val="5"/>
          <w:kern w:val="0"/>
          <w:sz w:val="24"/>
        </w:rPr>
        <w:t>付</w:t>
      </w:r>
      <w:r>
        <w:rPr>
          <w:rFonts w:hint="default" w:ascii="Times New Roman" w:hAnsi="Times New Roman" w:eastAsia="仿宋_GB2312" w:cs="Times New Roman"/>
          <w:b/>
          <w:bCs/>
          <w:snapToGrid w:val="0"/>
          <w:kern w:val="0"/>
          <w:sz w:val="24"/>
        </w:rPr>
        <w:t>项</w:t>
      </w:r>
      <w:r>
        <w:rPr>
          <w:rFonts w:hint="default" w:ascii="Times New Roman" w:hAnsi="Times New Roman" w:eastAsia="仿宋_GB2312" w:cs="Times New Roman"/>
          <w:b/>
          <w:bCs/>
          <w:snapToGrid w:val="0"/>
          <w:spacing w:val="5"/>
          <w:kern w:val="0"/>
          <w:sz w:val="24"/>
        </w:rPr>
        <w:t>目</w:t>
      </w:r>
      <w:r>
        <w:rPr>
          <w:rFonts w:hint="default" w:ascii="Times New Roman" w:hAnsi="Times New Roman" w:eastAsia="仿宋_GB2312" w:cs="Times New Roman"/>
          <w:b/>
          <w:bCs/>
          <w:snapToGrid w:val="0"/>
          <w:kern w:val="0"/>
          <w:sz w:val="24"/>
        </w:rPr>
        <w:t>资</w:t>
      </w:r>
      <w:r>
        <w:rPr>
          <w:rFonts w:hint="default" w:ascii="Times New Roman" w:hAnsi="Times New Roman" w:eastAsia="仿宋_GB2312" w:cs="Times New Roman"/>
          <w:b/>
          <w:bCs/>
          <w:snapToGrid w:val="0"/>
          <w:spacing w:val="5"/>
          <w:kern w:val="0"/>
          <w:sz w:val="24"/>
        </w:rPr>
        <w:t>助</w:t>
      </w:r>
      <w:r>
        <w:rPr>
          <w:rFonts w:hint="default" w:ascii="Times New Roman" w:hAnsi="Times New Roman" w:eastAsia="仿宋_GB2312" w:cs="Times New Roman"/>
          <w:b/>
          <w:bCs/>
          <w:snapToGrid w:val="0"/>
          <w:kern w:val="0"/>
          <w:sz w:val="24"/>
        </w:rPr>
        <w:t>资</w:t>
      </w:r>
      <w:r>
        <w:rPr>
          <w:rFonts w:hint="default" w:ascii="Times New Roman" w:hAnsi="Times New Roman" w:eastAsia="仿宋_GB2312" w:cs="Times New Roman"/>
          <w:b/>
          <w:bCs/>
          <w:snapToGrid w:val="0"/>
          <w:spacing w:val="5"/>
          <w:kern w:val="0"/>
          <w:sz w:val="24"/>
        </w:rPr>
        <w:t>金</w:t>
      </w:r>
      <w:r>
        <w:rPr>
          <w:rFonts w:hint="default" w:ascii="Times New Roman" w:hAnsi="Times New Roman" w:eastAsia="仿宋_GB2312" w:cs="Times New Roman"/>
          <w:b/>
          <w:bCs/>
          <w:snapToGrid w:val="0"/>
          <w:kern w:val="0"/>
          <w:sz w:val="24"/>
        </w:rPr>
        <w:t>总</w:t>
      </w:r>
      <w:r>
        <w:rPr>
          <w:rFonts w:hint="default" w:ascii="Times New Roman" w:hAnsi="Times New Roman" w:eastAsia="仿宋_GB2312" w:cs="Times New Roman"/>
          <w:b/>
          <w:bCs/>
          <w:snapToGrid w:val="0"/>
          <w:spacing w:val="5"/>
          <w:kern w:val="0"/>
          <w:sz w:val="24"/>
        </w:rPr>
        <w:t>金</w:t>
      </w:r>
      <w:r>
        <w:rPr>
          <w:rFonts w:hint="default" w:ascii="Times New Roman" w:hAnsi="Times New Roman" w:eastAsia="仿宋_GB2312" w:cs="Times New Roman"/>
          <w:b/>
          <w:bCs/>
          <w:snapToGrid w:val="0"/>
          <w:kern w:val="0"/>
          <w:sz w:val="24"/>
        </w:rPr>
        <w:t>额的</w:t>
      </w:r>
      <w:r>
        <w:rPr>
          <w:rFonts w:hint="default" w:ascii="Times New Roman" w:hAnsi="Times New Roman" w:eastAsia="仿宋_GB2312" w:cs="Times New Roman"/>
          <w:b/>
          <w:bCs/>
          <w:snapToGrid w:val="0"/>
          <w:spacing w:val="6"/>
          <w:kern w:val="0"/>
          <w:sz w:val="24"/>
        </w:rPr>
        <w:t>60%</w:t>
      </w:r>
      <w:r>
        <w:rPr>
          <w:rFonts w:hint="default" w:ascii="Times New Roman" w:hAnsi="Times New Roman" w:eastAsia="仿宋_GB2312" w:cs="Times New Roman"/>
          <w:b/>
          <w:bCs/>
          <w:snapToGrid w:val="0"/>
          <w:kern w:val="0"/>
          <w:sz w:val="24"/>
        </w:rPr>
        <w:t>，项目中期评估合格后划拨20%资助资金，</w:t>
      </w:r>
      <w:r>
        <w:rPr>
          <w:rFonts w:hint="default" w:ascii="Times New Roman" w:hAnsi="Times New Roman" w:eastAsia="仿宋_GB2312" w:cs="Times New Roman"/>
          <w:b/>
          <w:bCs/>
          <w:snapToGrid w:val="0"/>
          <w:kern w:val="0"/>
          <w:position w:val="1"/>
          <w:sz w:val="24"/>
        </w:rPr>
        <w:t>项目结束并验收合格后核拨剩余20%资金。</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0" w:firstLineChars="200"/>
        <w:jc w:val="both"/>
        <w:textAlignment w:val="auto"/>
        <w:rPr>
          <w:rFonts w:hint="default" w:ascii="Times New Roman" w:hAnsi="Times New Roman" w:eastAsia="仿宋_GB2312" w:cs="Times New Roman"/>
          <w:snapToGrid w:val="0"/>
          <w:spacing w:val="-3"/>
          <w:kern w:val="0"/>
          <w:sz w:val="24"/>
        </w:rPr>
      </w:pPr>
      <w:r>
        <w:rPr>
          <w:rFonts w:hint="default" w:ascii="Times New Roman" w:hAnsi="Times New Roman" w:eastAsia="仿宋_GB2312" w:cs="Times New Roman"/>
          <w:snapToGrid w:val="0"/>
          <w:kern w:val="0"/>
          <w:sz w:val="24"/>
        </w:rPr>
        <w:t>项目资金使用原则上应收支平衡。项目结算后，项目资金若有结余的，由创投主体遵循原划拨渠道缴回区财政国库（</w:t>
      </w:r>
      <w:r>
        <w:rPr>
          <w:rFonts w:hint="default" w:ascii="Times New Roman" w:hAnsi="Times New Roman" w:eastAsia="仿宋_GB2312" w:cs="Times New Roman"/>
          <w:snapToGrid w:val="0"/>
          <w:spacing w:val="-3"/>
          <w:kern w:val="0"/>
          <w:sz w:val="24"/>
        </w:rPr>
        <w:t>不含自筹部分）。若资助项目评估中出现挪用、分包、转包等违规情况，责令整改。无法整改的须退回该部分不合理不合规资金，由创投主体自主承担不合理支出，并遵循原划拨渠道缴回。创投资金管理和使用上应遵循以下原则：</w:t>
      </w:r>
    </w:p>
    <w:p>
      <w:pPr>
        <w:keepNext w:val="0"/>
        <w:keepLines w:val="0"/>
        <w:pageBreakBefore w:val="0"/>
        <w:widowControl w:val="0"/>
        <w:kinsoku/>
        <w:wordWrap/>
        <w:overflowPunct/>
        <w:topLinePunct w:val="0"/>
        <w:autoSpaceDE w:val="0"/>
        <w:autoSpaceDN w:val="0"/>
        <w:bidi w:val="0"/>
        <w:adjustRightInd/>
        <w:snapToGrid/>
        <w:spacing w:line="560" w:lineRule="exact"/>
        <w:ind w:firstLine="482" w:firstLineChars="200"/>
        <w:jc w:val="both"/>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（一）合法性</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0" w:firstLineChars="200"/>
        <w:jc w:val="both"/>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项目资金的使用应遵守国家法律法规的规定，符合项目资金使用管理办法的要求。创投主体应当编制规范的项目资金预算，建立完善的项目财务管理制度，聘用具备会计资格的专职财务人员，或根据财务部《代理记账管理办法》（财政部令第80号）委托取得代理资格的机构办理会计业务，严格执行《民间非营利组织会计制度》；财务档案管理符合《会计档案管理办法》（国家档案令第79号）有关要求，做好相关材料归档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2" w:firstLineChars="200"/>
        <w:jc w:val="both"/>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（二）专款专用</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0" w:firstLineChars="200"/>
        <w:jc w:val="both"/>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项目资金使用应以立项项目申报书、实施方案、经费预算等确定的工作目标和承诺为依据，全部用于项目规定用途，专款专用，不得分包、转包，不得用于规定用途之外的其他费用。</w:t>
      </w:r>
    </w:p>
    <w:p>
      <w:pPr>
        <w:keepNext w:val="0"/>
        <w:keepLines w:val="0"/>
        <w:pageBreakBefore w:val="0"/>
        <w:widowControl w:val="0"/>
        <w:kinsoku/>
        <w:wordWrap/>
        <w:overflowPunct/>
        <w:topLinePunct w:val="0"/>
        <w:autoSpaceDE w:val="0"/>
        <w:autoSpaceDN w:val="0"/>
        <w:bidi w:val="0"/>
        <w:adjustRightInd/>
        <w:snapToGrid/>
        <w:spacing w:line="560" w:lineRule="exact"/>
        <w:ind w:firstLine="482" w:firstLineChars="200"/>
        <w:jc w:val="both"/>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（三）科学管理</w:t>
      </w:r>
    </w:p>
    <w:p>
      <w:pPr>
        <w:keepNext w:val="0"/>
        <w:keepLines w:val="0"/>
        <w:pageBreakBefore w:val="0"/>
        <w:widowControl w:val="0"/>
        <w:kinsoku/>
        <w:wordWrap/>
        <w:overflowPunct/>
        <w:topLinePunct w:val="0"/>
        <w:autoSpaceDE w:val="0"/>
        <w:autoSpaceDN w:val="0"/>
        <w:bidi w:val="0"/>
        <w:adjustRightInd/>
        <w:snapToGrid/>
        <w:spacing w:line="560" w:lineRule="exact"/>
        <w:ind w:firstLine="472" w:firstLineChars="200"/>
        <w:jc w:val="both"/>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2"/>
          <w:kern w:val="0"/>
          <w:sz w:val="24"/>
        </w:rPr>
        <w:t>项目资金使用要厉行勤俭节约，严格按照规定的范</w:t>
      </w:r>
      <w:r>
        <w:rPr>
          <w:rFonts w:hint="default" w:ascii="Times New Roman" w:hAnsi="Times New Roman" w:eastAsia="仿宋_GB2312" w:cs="Times New Roman"/>
          <w:snapToGrid w:val="0"/>
          <w:kern w:val="0"/>
          <w:sz w:val="24"/>
        </w:rPr>
        <w:t>围和开支标准执行，不得扩大支出范围，不得提高开支标准，做到合理、高效。</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2" w:firstLineChars="200"/>
        <w:jc w:val="both"/>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二、建立和完善内部控制制度</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2" w:firstLineChars="200"/>
        <w:jc w:val="both"/>
        <w:textAlignment w:val="auto"/>
        <w:rPr>
          <w:rFonts w:hint="default" w:ascii="Times New Roman" w:hAnsi="Times New Roman" w:eastAsia="仿宋_GB2312" w:cs="Times New Roman"/>
          <w:b/>
          <w:snapToGrid w:val="0"/>
          <w:kern w:val="0"/>
          <w:sz w:val="24"/>
        </w:rPr>
      </w:pPr>
      <w:r>
        <w:rPr>
          <w:rFonts w:hint="default" w:ascii="Times New Roman" w:hAnsi="Times New Roman" w:eastAsia="仿宋_GB2312" w:cs="Times New Roman"/>
          <w:b/>
          <w:snapToGrid w:val="0"/>
          <w:kern w:val="0"/>
          <w:sz w:val="24"/>
        </w:rPr>
        <w:t>（一）健全内部管理制度</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0" w:firstLineChars="200"/>
        <w:jc w:val="both"/>
        <w:textAlignment w:val="auto"/>
        <w:rPr>
          <w:rFonts w:hint="default" w:ascii="Times New Roman" w:hAnsi="Times New Roman" w:eastAsia="仿宋_GB2312" w:cs="Times New Roman"/>
          <w:snapToGrid w:val="0"/>
          <w:spacing w:val="-2"/>
          <w:kern w:val="0"/>
          <w:sz w:val="24"/>
        </w:rPr>
      </w:pPr>
      <w:r>
        <w:rPr>
          <w:rFonts w:hint="default" w:ascii="Times New Roman" w:hAnsi="Times New Roman" w:eastAsia="仿宋_GB2312" w:cs="Times New Roman"/>
          <w:snapToGrid w:val="0"/>
          <w:kern w:val="0"/>
          <w:sz w:val="24"/>
        </w:rPr>
        <w:t>创投主体应建立项目管理制度，明确项目执行的程序、进度、权限和责任，对项目执行中的重大事项履行集体决策程序并做好相关记录，并在创投主体所属区的社会组织公共服务信息平台上提前报备，做好有关会议纪要等档案收集工作。健全项目资金使用管理等相关制度，明确资金的来源、</w:t>
      </w:r>
      <w:r>
        <w:rPr>
          <w:rFonts w:hint="eastAsia" w:eastAsia="仿宋_GB2312" w:cs="Times New Roman"/>
          <w:snapToGrid w:val="0"/>
          <w:kern w:val="0"/>
          <w:sz w:val="24"/>
          <w:highlight w:val="none"/>
          <w:lang w:val="en-US" w:eastAsia="zh-CN"/>
        </w:rPr>
        <w:t>受益</w:t>
      </w:r>
      <w:r>
        <w:rPr>
          <w:rFonts w:hint="default" w:ascii="Times New Roman" w:hAnsi="Times New Roman" w:eastAsia="仿宋_GB2312" w:cs="Times New Roman"/>
          <w:snapToGrid w:val="0"/>
          <w:spacing w:val="-1"/>
          <w:kern w:val="0"/>
          <w:sz w:val="24"/>
        </w:rPr>
        <w:t>对象和社会服务活动的确定原则和程序、项目财务管理原则</w:t>
      </w:r>
      <w:r>
        <w:rPr>
          <w:rFonts w:hint="default" w:ascii="Times New Roman" w:hAnsi="Times New Roman" w:eastAsia="仿宋_GB2312" w:cs="Times New Roman"/>
          <w:snapToGrid w:val="0"/>
          <w:spacing w:val="-2"/>
          <w:kern w:val="0"/>
          <w:sz w:val="24"/>
        </w:rPr>
        <w:t>和会计核算方法、资金使用与监督等，加强信息公开、资料收集和档案管理等。</w:t>
      </w:r>
    </w:p>
    <w:p>
      <w:pPr>
        <w:keepNext w:val="0"/>
        <w:keepLines w:val="0"/>
        <w:pageBreakBefore w:val="0"/>
        <w:widowControl w:val="0"/>
        <w:kinsoku/>
        <w:wordWrap/>
        <w:overflowPunct/>
        <w:topLinePunct w:val="0"/>
        <w:autoSpaceDE w:val="0"/>
        <w:autoSpaceDN w:val="0"/>
        <w:bidi w:val="0"/>
        <w:adjustRightInd/>
        <w:snapToGrid/>
        <w:spacing w:line="560" w:lineRule="exact"/>
        <w:ind w:firstLine="482" w:firstLineChars="200"/>
        <w:jc w:val="both"/>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（二）建立严格的支出审批制度</w:t>
      </w:r>
    </w:p>
    <w:p>
      <w:pPr>
        <w:keepNext w:val="0"/>
        <w:keepLines w:val="0"/>
        <w:pageBreakBefore w:val="0"/>
        <w:widowControl w:val="0"/>
        <w:kinsoku/>
        <w:wordWrap/>
        <w:overflowPunct/>
        <w:topLinePunct w:val="0"/>
        <w:autoSpaceDE w:val="0"/>
        <w:autoSpaceDN w:val="0"/>
        <w:bidi w:val="0"/>
        <w:adjustRightInd/>
        <w:snapToGrid/>
        <w:spacing w:line="560" w:lineRule="exact"/>
        <w:ind w:firstLine="476" w:firstLineChars="200"/>
        <w:jc w:val="both"/>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1"/>
          <w:kern w:val="0"/>
          <w:sz w:val="24"/>
        </w:rPr>
        <w:t>1</w:t>
      </w:r>
      <w:r>
        <w:rPr>
          <w:rFonts w:hint="eastAsia" w:eastAsia="仿宋_GB2312" w:cs="Times New Roman"/>
          <w:snapToGrid w:val="0"/>
          <w:spacing w:val="-1"/>
          <w:kern w:val="0"/>
          <w:sz w:val="24"/>
          <w:lang w:eastAsia="zh-CN"/>
        </w:rPr>
        <w:t>.</w:t>
      </w:r>
      <w:r>
        <w:rPr>
          <w:rFonts w:hint="default" w:ascii="Times New Roman" w:hAnsi="Times New Roman" w:eastAsia="仿宋_GB2312" w:cs="Times New Roman"/>
          <w:snapToGrid w:val="0"/>
          <w:spacing w:val="-1"/>
          <w:kern w:val="0"/>
          <w:sz w:val="24"/>
        </w:rPr>
        <w:t>创投主体应按本组织章程建立项目支出标准制度，对重</w:t>
      </w:r>
      <w:r>
        <w:rPr>
          <w:rFonts w:hint="default" w:ascii="Times New Roman" w:hAnsi="Times New Roman" w:eastAsia="仿宋_GB2312" w:cs="Times New Roman"/>
          <w:snapToGrid w:val="0"/>
          <w:spacing w:val="-2"/>
          <w:kern w:val="0"/>
          <w:sz w:val="24"/>
        </w:rPr>
        <w:t>大支出事项应履行集体决策程序。实际工作中应严格执行所建立的审批制度，经办人</w:t>
      </w:r>
      <w:r>
        <w:rPr>
          <w:rFonts w:hint="eastAsia" w:eastAsia="仿宋_GB2312" w:cs="Times New Roman"/>
          <w:snapToGrid w:val="0"/>
          <w:spacing w:val="-2"/>
          <w:kern w:val="0"/>
          <w:sz w:val="24"/>
          <w:lang w:eastAsia="zh-CN"/>
        </w:rPr>
        <w:t>、</w:t>
      </w:r>
      <w:r>
        <w:rPr>
          <w:rFonts w:hint="default" w:ascii="Times New Roman" w:hAnsi="Times New Roman" w:eastAsia="仿宋_GB2312" w:cs="Times New Roman"/>
          <w:snapToGrid w:val="0"/>
          <w:spacing w:val="-2"/>
          <w:kern w:val="0"/>
          <w:sz w:val="24"/>
        </w:rPr>
        <w:t>项目负责人、授权批准人、财务人员</w:t>
      </w:r>
      <w:r>
        <w:rPr>
          <w:rFonts w:hint="default" w:ascii="Times New Roman" w:hAnsi="Times New Roman" w:eastAsia="仿宋_GB2312" w:cs="Times New Roman"/>
          <w:snapToGrid w:val="0"/>
          <w:spacing w:val="-5"/>
          <w:kern w:val="0"/>
          <w:sz w:val="24"/>
        </w:rPr>
        <w:t>均应按规定履行其职责，建立项目支出审批制度，明确支出的授权方式、权限、程序、责任和相关控制措施，明确经办人、审批人的职责和工作要求。</w:t>
      </w:r>
    </w:p>
    <w:p>
      <w:pPr>
        <w:keepNext w:val="0"/>
        <w:keepLines w:val="0"/>
        <w:pageBreakBefore w:val="0"/>
        <w:widowControl w:val="0"/>
        <w:tabs>
          <w:tab w:val="left" w:pos="425"/>
        </w:tabs>
        <w:kinsoku/>
        <w:wordWrap/>
        <w:overflowPunct/>
        <w:topLinePunct w:val="0"/>
        <w:bidi w:val="0"/>
        <w:adjustRightInd/>
        <w:snapToGrid/>
        <w:spacing w:line="560" w:lineRule="exact"/>
        <w:ind w:firstLine="480" w:firstLineChars="200"/>
        <w:jc w:val="both"/>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2</w:t>
      </w:r>
      <w:r>
        <w:rPr>
          <w:rFonts w:hint="eastAsia" w:eastAsia="仿宋_GB2312" w:cs="Times New Roman"/>
          <w:snapToGrid w:val="0"/>
          <w:kern w:val="0"/>
          <w:sz w:val="24"/>
          <w:lang w:eastAsia="zh-CN"/>
        </w:rPr>
        <w:t>.</w:t>
      </w:r>
      <w:r>
        <w:rPr>
          <w:rFonts w:hint="default" w:ascii="Times New Roman" w:hAnsi="Times New Roman" w:eastAsia="仿宋_GB2312" w:cs="Times New Roman"/>
          <w:snapToGrid w:val="0"/>
          <w:kern w:val="0"/>
          <w:sz w:val="24"/>
        </w:rPr>
        <w:t>单笔采购金额超</w:t>
      </w:r>
      <w:r>
        <w:rPr>
          <w:rFonts w:hint="eastAsia" w:eastAsia="仿宋_GB2312" w:cs="Times New Roman"/>
          <w:snapToGrid w:val="0"/>
          <w:kern w:val="0"/>
          <w:sz w:val="24"/>
          <w:lang w:val="en-US" w:eastAsia="zh-CN"/>
        </w:rPr>
        <w:t>资助资金5%，或超</w:t>
      </w:r>
      <w:r>
        <w:rPr>
          <w:rFonts w:hint="default" w:ascii="Times New Roman" w:hAnsi="Times New Roman" w:eastAsia="仿宋_GB2312" w:cs="Times New Roman"/>
          <w:snapToGrid w:val="0"/>
          <w:kern w:val="0"/>
          <w:sz w:val="24"/>
        </w:rPr>
        <w:t>过3000元的</w:t>
      </w:r>
      <w:r>
        <w:rPr>
          <w:rFonts w:hint="eastAsia" w:eastAsia="仿宋_GB2312"/>
          <w:snapToGrid w:val="0"/>
          <w:kern w:val="0"/>
          <w:sz w:val="24"/>
        </w:rPr>
        <w:t>物资或服务</w:t>
      </w:r>
      <w:r>
        <w:rPr>
          <w:rFonts w:hint="default" w:ascii="Times New Roman" w:hAnsi="Times New Roman" w:eastAsia="仿宋_GB2312" w:cs="Times New Roman"/>
          <w:snapToGrid w:val="0"/>
          <w:kern w:val="0"/>
          <w:sz w:val="24"/>
        </w:rPr>
        <w:t>需要进行三家以上询价，选择最优价格进行采购，并与商家签订供货合同，支付方式采取“公对公转账”，并凭有税发票和采购用品单报销。</w:t>
      </w:r>
    </w:p>
    <w:p>
      <w:pPr>
        <w:keepNext w:val="0"/>
        <w:keepLines w:val="0"/>
        <w:pageBreakBefore w:val="0"/>
        <w:widowControl w:val="0"/>
        <w:tabs>
          <w:tab w:val="left" w:pos="425"/>
        </w:tabs>
        <w:kinsoku/>
        <w:wordWrap/>
        <w:overflowPunct/>
        <w:topLinePunct w:val="0"/>
        <w:bidi w:val="0"/>
        <w:adjustRightInd/>
        <w:snapToGrid/>
        <w:spacing w:line="560" w:lineRule="exact"/>
        <w:ind w:firstLine="482" w:firstLineChars="200"/>
        <w:jc w:val="both"/>
        <w:textAlignment w:val="auto"/>
        <w:rPr>
          <w:rFonts w:hint="default" w:ascii="Times New Roman" w:hAnsi="Times New Roman" w:eastAsia="仿宋_GB2312" w:cs="Times New Roman"/>
          <w:b/>
          <w:bCs/>
          <w:snapToGrid w:val="0"/>
          <w:kern w:val="0"/>
          <w:sz w:val="24"/>
        </w:rPr>
      </w:pPr>
      <w:r>
        <w:rPr>
          <w:rFonts w:hint="default" w:ascii="Times New Roman" w:hAnsi="Times New Roman" w:eastAsia="仿宋_GB2312" w:cs="Times New Roman"/>
          <w:b/>
          <w:bCs/>
          <w:snapToGrid w:val="0"/>
          <w:kern w:val="0"/>
          <w:sz w:val="24"/>
        </w:rPr>
        <w:t>【参考】支出审批流程：</w:t>
      </w:r>
    </w:p>
    <w:p>
      <w:pPr>
        <w:keepNext w:val="0"/>
        <w:keepLines w:val="0"/>
        <w:pageBreakBefore w:val="0"/>
        <w:widowControl w:val="0"/>
        <w:kinsoku/>
        <w:wordWrap/>
        <w:overflowPunct/>
        <w:topLinePunct w:val="0"/>
        <w:autoSpaceDE w:val="0"/>
        <w:autoSpaceDN w:val="0"/>
        <w:bidi w:val="0"/>
        <w:adjustRightInd/>
        <w:snapToGrid/>
        <w:spacing w:line="560" w:lineRule="exact"/>
        <w:ind w:firstLine="460" w:firstLineChars="200"/>
        <w:jc w:val="both"/>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5"/>
          <w:kern w:val="0"/>
          <w:sz w:val="24"/>
        </w:rPr>
        <w:t>（1）费用申请（详见以下</w:t>
      </w:r>
      <w:r>
        <w:rPr>
          <w:rFonts w:hint="eastAsia" w:eastAsia="仿宋_GB2312" w:cs="Times New Roman"/>
          <w:snapToGrid w:val="0"/>
          <w:spacing w:val="-5"/>
          <w:kern w:val="0"/>
          <w:sz w:val="24"/>
          <w:lang w:eastAsia="zh-CN"/>
        </w:rPr>
        <w:t>模板</w:t>
      </w:r>
      <w:r>
        <w:rPr>
          <w:rFonts w:hint="default" w:ascii="Times New Roman" w:hAnsi="Times New Roman" w:eastAsia="仿宋_GB2312" w:cs="Times New Roman"/>
          <w:snapToGrid w:val="0"/>
          <w:spacing w:val="-5"/>
          <w:kern w:val="0"/>
          <w:sz w:val="24"/>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460" w:firstLineChars="200"/>
        <w:jc w:val="both"/>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5"/>
          <w:kern w:val="0"/>
          <w:sz w:val="24"/>
        </w:rPr>
        <w:t>（2）采购人员或项目专职人员采购并支付相关款项；</w:t>
      </w:r>
    </w:p>
    <w:p>
      <w:pPr>
        <w:keepNext w:val="0"/>
        <w:keepLines w:val="0"/>
        <w:pageBreakBefore w:val="0"/>
        <w:widowControl w:val="0"/>
        <w:kinsoku/>
        <w:wordWrap/>
        <w:overflowPunct/>
        <w:topLinePunct w:val="0"/>
        <w:autoSpaceDE w:val="0"/>
        <w:autoSpaceDN w:val="0"/>
        <w:bidi w:val="0"/>
        <w:adjustRightInd/>
        <w:snapToGrid/>
        <w:spacing w:line="560" w:lineRule="exact"/>
        <w:ind w:firstLine="460" w:firstLineChars="200"/>
        <w:jc w:val="both"/>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5"/>
          <w:kern w:val="0"/>
          <w:sz w:val="24"/>
        </w:rPr>
        <w:t>（3）取回相关票据（发票、清单、收据等）并填写付款凭证和收款凭证（详见以下</w:t>
      </w:r>
      <w:r>
        <w:rPr>
          <w:rFonts w:hint="eastAsia" w:eastAsia="仿宋_GB2312" w:cs="Times New Roman"/>
          <w:snapToGrid w:val="0"/>
          <w:spacing w:val="-5"/>
          <w:kern w:val="0"/>
          <w:sz w:val="24"/>
          <w:lang w:eastAsia="zh-CN"/>
        </w:rPr>
        <w:t>模板</w:t>
      </w:r>
      <w:r>
        <w:rPr>
          <w:rFonts w:hint="default" w:ascii="Times New Roman" w:hAnsi="Times New Roman" w:eastAsia="仿宋_GB2312" w:cs="Times New Roman"/>
          <w:snapToGrid w:val="0"/>
          <w:spacing w:val="-5"/>
          <w:kern w:val="0"/>
          <w:sz w:val="24"/>
        </w:rPr>
        <w:t>）</w:t>
      </w:r>
      <w:r>
        <w:rPr>
          <w:rFonts w:hint="eastAsia" w:eastAsia="仿宋_GB2312" w:cs="Times New Roman"/>
          <w:snapToGrid w:val="0"/>
          <w:spacing w:val="-5"/>
          <w:kern w:val="0"/>
          <w:sz w:val="24"/>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460" w:firstLineChars="200"/>
        <w:jc w:val="both"/>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5"/>
          <w:kern w:val="0"/>
          <w:sz w:val="24"/>
        </w:rPr>
        <w:t>（4）编制原始凭证；</w:t>
      </w:r>
    </w:p>
    <w:p>
      <w:pPr>
        <w:keepNext w:val="0"/>
        <w:keepLines w:val="0"/>
        <w:pageBreakBefore w:val="0"/>
        <w:widowControl w:val="0"/>
        <w:kinsoku/>
        <w:wordWrap/>
        <w:overflowPunct/>
        <w:topLinePunct w:val="0"/>
        <w:autoSpaceDE w:val="0"/>
        <w:autoSpaceDN w:val="0"/>
        <w:bidi w:val="0"/>
        <w:adjustRightInd/>
        <w:snapToGrid/>
        <w:spacing w:line="560" w:lineRule="exact"/>
        <w:ind w:firstLine="460" w:firstLineChars="200"/>
        <w:jc w:val="both"/>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5"/>
          <w:kern w:val="0"/>
          <w:sz w:val="24"/>
        </w:rPr>
        <w:t>（5）递交会计编制记账凭证。</w:t>
      </w:r>
    </w:p>
    <w:p>
      <w:pPr>
        <w:keepNext w:val="0"/>
        <w:keepLines w:val="0"/>
        <w:pageBreakBefore w:val="0"/>
        <w:widowControl w:val="0"/>
        <w:kinsoku/>
        <w:wordWrap/>
        <w:overflowPunct/>
        <w:topLinePunct w:val="0"/>
        <w:autoSpaceDE w:val="0"/>
        <w:autoSpaceDN w:val="0"/>
        <w:bidi w:val="0"/>
        <w:adjustRightInd/>
        <w:snapToGrid/>
        <w:spacing w:line="560" w:lineRule="exact"/>
        <w:ind w:firstLine="462" w:firstLineChars="200"/>
        <w:jc w:val="both"/>
        <w:textAlignment w:val="auto"/>
        <w:rPr>
          <w:rFonts w:hint="default" w:ascii="Times New Roman" w:hAnsi="Times New Roman" w:eastAsia="仿宋_GB2312" w:cs="Times New Roman"/>
          <w:b/>
          <w:bCs/>
          <w:snapToGrid w:val="0"/>
          <w:spacing w:val="-5"/>
          <w:kern w:val="0"/>
          <w:sz w:val="24"/>
        </w:rPr>
      </w:pPr>
      <w:r>
        <w:rPr>
          <w:rFonts w:hint="default" w:ascii="Times New Roman" w:hAnsi="Times New Roman" w:eastAsia="仿宋_GB2312" w:cs="Times New Roman"/>
          <w:b/>
          <w:bCs/>
          <w:snapToGrid w:val="0"/>
          <w:spacing w:val="-5"/>
          <w:kern w:val="0"/>
          <w:sz w:val="24"/>
        </w:rPr>
        <w:t>【参考】费用申请和收付款凭证填写：</w:t>
      </w:r>
    </w:p>
    <w:p>
      <w:pPr>
        <w:autoSpaceDE w:val="0"/>
        <w:autoSpaceDN w:val="0"/>
        <w:spacing w:line="560" w:lineRule="exact"/>
        <w:ind w:firstLine="480" w:firstLineChars="200"/>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drawing>
          <wp:anchor distT="0" distB="0" distL="114300" distR="114300" simplePos="0" relativeHeight="251659264" behindDoc="0" locked="0" layoutInCell="1" allowOverlap="1">
            <wp:simplePos x="0" y="0"/>
            <wp:positionH relativeFrom="page">
              <wp:posOffset>1259840</wp:posOffset>
            </wp:positionH>
            <wp:positionV relativeFrom="page">
              <wp:posOffset>5018405</wp:posOffset>
            </wp:positionV>
            <wp:extent cx="5007610" cy="2108835"/>
            <wp:effectExtent l="0" t="0" r="2540" b="571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5007610" cy="2108835"/>
                    </a:xfrm>
                    <a:prstGeom prst="rect">
                      <a:avLst/>
                    </a:prstGeom>
                    <a:noFill/>
                    <a:ln>
                      <a:noFill/>
                    </a:ln>
                  </pic:spPr>
                </pic:pic>
              </a:graphicData>
            </a:graphic>
          </wp:anchor>
        </w:drawing>
      </w:r>
    </w:p>
    <w:p>
      <w:pPr>
        <w:autoSpaceDE w:val="0"/>
        <w:autoSpaceDN w:val="0"/>
        <w:spacing w:line="560" w:lineRule="exact"/>
        <w:ind w:firstLine="480" w:firstLineChars="200"/>
        <w:rPr>
          <w:rFonts w:hint="default" w:ascii="Times New Roman" w:hAnsi="Times New Roman" w:eastAsia="仿宋_GB2312" w:cs="Times New Roman"/>
          <w:snapToGrid w:val="0"/>
          <w:kern w:val="0"/>
          <w:sz w:val="24"/>
        </w:rPr>
      </w:pPr>
    </w:p>
    <w:p>
      <w:pPr>
        <w:autoSpaceDE w:val="0"/>
        <w:autoSpaceDN w:val="0"/>
        <w:spacing w:line="560" w:lineRule="exact"/>
        <w:ind w:firstLine="460" w:firstLineChars="200"/>
        <w:rPr>
          <w:rFonts w:hint="default" w:ascii="Times New Roman" w:hAnsi="Times New Roman" w:eastAsia="仿宋_GB2312" w:cs="Times New Roman"/>
          <w:snapToGrid w:val="0"/>
          <w:spacing w:val="-5"/>
          <w:kern w:val="0"/>
          <w:sz w:val="24"/>
        </w:rPr>
      </w:pPr>
    </w:p>
    <w:p>
      <w:pPr>
        <w:autoSpaceDE w:val="0"/>
        <w:autoSpaceDN w:val="0"/>
        <w:spacing w:line="560" w:lineRule="exact"/>
        <w:ind w:firstLine="460" w:firstLineChars="200"/>
        <w:rPr>
          <w:rFonts w:hint="default" w:ascii="Times New Roman" w:hAnsi="Times New Roman" w:eastAsia="仿宋_GB2312" w:cs="Times New Roman"/>
          <w:snapToGrid w:val="0"/>
          <w:spacing w:val="-5"/>
          <w:kern w:val="0"/>
          <w:sz w:val="24"/>
        </w:rPr>
      </w:pPr>
    </w:p>
    <w:p>
      <w:pPr>
        <w:autoSpaceDE w:val="0"/>
        <w:autoSpaceDN w:val="0"/>
        <w:spacing w:line="560" w:lineRule="exact"/>
        <w:ind w:firstLine="460" w:firstLineChars="200"/>
        <w:rPr>
          <w:rFonts w:hint="default" w:ascii="Times New Roman" w:hAnsi="Times New Roman" w:eastAsia="仿宋_GB2312" w:cs="Times New Roman"/>
          <w:snapToGrid w:val="0"/>
          <w:spacing w:val="-5"/>
          <w:kern w:val="0"/>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62" w:firstLineChars="200"/>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spacing w:val="-5"/>
          <w:kern w:val="44"/>
          <w:sz w:val="24"/>
        </w:rPr>
        <w:drawing>
          <wp:anchor distT="0" distB="0" distL="114300" distR="114300" simplePos="0" relativeHeight="251662336" behindDoc="0" locked="0" layoutInCell="1" allowOverlap="1">
            <wp:simplePos x="0" y="0"/>
            <wp:positionH relativeFrom="column">
              <wp:posOffset>283845</wp:posOffset>
            </wp:positionH>
            <wp:positionV relativeFrom="paragraph">
              <wp:posOffset>161290</wp:posOffset>
            </wp:positionV>
            <wp:extent cx="4815840" cy="2625725"/>
            <wp:effectExtent l="0" t="0" r="3810" b="3175"/>
            <wp:wrapNone/>
            <wp:docPr id="4"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1"/>
                    <pic:cNvPicPr>
                      <a:picLocks noChangeAspect="1"/>
                    </pic:cNvPicPr>
                  </pic:nvPicPr>
                  <pic:blipFill>
                    <a:blip r:embed="rId7"/>
                    <a:stretch>
                      <a:fillRect/>
                    </a:stretch>
                  </pic:blipFill>
                  <pic:spPr>
                    <a:xfrm>
                      <a:off x="0" y="0"/>
                      <a:ext cx="4815840" cy="2625725"/>
                    </a:xfrm>
                    <a:prstGeom prst="rect">
                      <a:avLst/>
                    </a:prstGeom>
                    <a:noFill/>
                    <a:ln>
                      <a:noFill/>
                    </a:ln>
                  </pic:spPr>
                </pic:pic>
              </a:graphicData>
            </a:graphic>
          </wp:anchor>
        </w:drawing>
      </w: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62" w:firstLineChars="200"/>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spacing w:val="-5"/>
          <w:kern w:val="44"/>
          <w:sz w:val="24"/>
        </w:rPr>
        <w:drawing>
          <wp:anchor distT="0" distB="0" distL="114300" distR="114300" simplePos="0" relativeHeight="251661312" behindDoc="0" locked="0" layoutInCell="1" allowOverlap="1">
            <wp:simplePos x="0" y="0"/>
            <wp:positionH relativeFrom="page">
              <wp:posOffset>1330325</wp:posOffset>
            </wp:positionH>
            <wp:positionV relativeFrom="page">
              <wp:posOffset>1138555</wp:posOffset>
            </wp:positionV>
            <wp:extent cx="4943475" cy="2818130"/>
            <wp:effectExtent l="0" t="0" r="9525" b="1270"/>
            <wp:wrapNone/>
            <wp:docPr id="3"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2"/>
                    <pic:cNvPicPr>
                      <a:picLocks noChangeAspect="1"/>
                    </pic:cNvPicPr>
                  </pic:nvPicPr>
                  <pic:blipFill>
                    <a:blip r:embed="rId8"/>
                    <a:stretch>
                      <a:fillRect/>
                    </a:stretch>
                  </pic:blipFill>
                  <pic:spPr>
                    <a:xfrm>
                      <a:off x="0" y="0"/>
                      <a:ext cx="4943475" cy="2818130"/>
                    </a:xfrm>
                    <a:prstGeom prst="rect">
                      <a:avLst/>
                    </a:prstGeom>
                    <a:noFill/>
                    <a:ln>
                      <a:noFill/>
                    </a:ln>
                  </pic:spPr>
                </pic:pic>
              </a:graphicData>
            </a:graphic>
          </wp:anchor>
        </w:drawing>
      </w: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62" w:firstLineChars="200"/>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spacing w:val="-5"/>
          <w:kern w:val="44"/>
          <w:sz w:val="24"/>
        </w:rPr>
        <w:drawing>
          <wp:anchor distT="0" distB="0" distL="114300" distR="114300" simplePos="0" relativeHeight="251660288" behindDoc="0" locked="0" layoutInCell="1" allowOverlap="1">
            <wp:simplePos x="0" y="0"/>
            <wp:positionH relativeFrom="page">
              <wp:posOffset>1148080</wp:posOffset>
            </wp:positionH>
            <wp:positionV relativeFrom="page">
              <wp:posOffset>4031615</wp:posOffset>
            </wp:positionV>
            <wp:extent cx="5424805" cy="3001010"/>
            <wp:effectExtent l="0" t="0" r="4445" b="8890"/>
            <wp:wrapNone/>
            <wp:docPr id="2" name="图片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descr="3"/>
                    <pic:cNvPicPr>
                      <a:picLocks noChangeAspect="1"/>
                    </pic:cNvPicPr>
                  </pic:nvPicPr>
                  <pic:blipFill>
                    <a:blip r:embed="rId9"/>
                    <a:stretch>
                      <a:fillRect/>
                    </a:stretch>
                  </pic:blipFill>
                  <pic:spPr>
                    <a:xfrm>
                      <a:off x="0" y="0"/>
                      <a:ext cx="5424805" cy="3001010"/>
                    </a:xfrm>
                    <a:prstGeom prst="rect">
                      <a:avLst/>
                    </a:prstGeom>
                    <a:noFill/>
                    <a:ln>
                      <a:noFill/>
                    </a:ln>
                  </pic:spPr>
                </pic:pic>
              </a:graphicData>
            </a:graphic>
          </wp:anchor>
        </w:drawing>
      </w: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autoSpaceDE w:val="0"/>
        <w:autoSpaceDN w:val="0"/>
        <w:spacing w:line="560" w:lineRule="exact"/>
        <w:ind w:firstLine="482" w:firstLineChars="200"/>
        <w:outlineLvl w:val="0"/>
        <w:rPr>
          <w:rFonts w:hint="default" w:ascii="Times New Roman" w:hAnsi="Times New Roman" w:eastAsia="仿宋_GB2312" w:cs="Times New Roman"/>
          <w:b/>
          <w:snapToGrid w:val="0"/>
          <w:kern w:val="44"/>
          <w:sz w:val="24"/>
        </w:rPr>
      </w:pP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（三）规范物资、服务购买</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购买物资或服务应履行必要的询价、比价或招标程序，确保购买价格的公允；购买服务或物资应签订合同，明确约定双方的权利和义务，做到经济、合理、高效。加强款物发放的管理和监督，确保款物用于规定的受益对象或社会服务活动。</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三、资金预算编制</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创投主体依据项目要求及本指引的规定，做好调查研究，在科学论证的基础上，充分考虑服务过程中可能发生的</w:t>
      </w:r>
      <w:r>
        <w:rPr>
          <w:rFonts w:hint="default" w:ascii="Times New Roman" w:hAnsi="Times New Roman" w:eastAsia="仿宋_GB2312" w:cs="Times New Roman"/>
          <w:snapToGrid w:val="0"/>
          <w:spacing w:val="-5"/>
          <w:kern w:val="0"/>
          <w:sz w:val="24"/>
        </w:rPr>
        <w:t>支出，以保证资金使用的规范性、合理性和有效性，进一步完善细化项目执行方案，据实编制项目资金预算。</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（一）项目预算编制</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60" w:firstLineChars="200"/>
        <w:textAlignment w:val="auto"/>
        <w:outlineLvl w:val="0"/>
        <w:rPr>
          <w:rFonts w:hint="default" w:ascii="Times New Roman" w:hAnsi="Times New Roman" w:eastAsia="仿宋_GB2312" w:cs="Times New Roman"/>
          <w:snapToGrid w:val="0"/>
          <w:spacing w:val="-5"/>
          <w:kern w:val="44"/>
          <w:sz w:val="24"/>
          <w:lang w:val="zh-CN" w:bidi="zh-CN"/>
        </w:rPr>
      </w:pPr>
      <w:r>
        <w:rPr>
          <w:rFonts w:hint="default" w:ascii="Times New Roman" w:hAnsi="Times New Roman" w:eastAsia="仿宋_GB2312" w:cs="Times New Roman"/>
          <w:snapToGrid w:val="0"/>
          <w:spacing w:val="-5"/>
          <w:kern w:val="44"/>
          <w:sz w:val="24"/>
          <w:lang w:val="zh-CN" w:bidi="zh-CN"/>
        </w:rPr>
        <w:t>创投主体应依据项目资金的来源，分别编制</w:t>
      </w:r>
      <w:r>
        <w:rPr>
          <w:rFonts w:hint="eastAsia" w:eastAsia="仿宋_GB2312" w:cs="Times New Roman"/>
          <w:snapToGrid w:val="0"/>
          <w:spacing w:val="-5"/>
          <w:kern w:val="44"/>
          <w:sz w:val="24"/>
          <w:lang w:val="zh-CN" w:bidi="zh-CN"/>
        </w:rPr>
        <w:t>增城</w:t>
      </w:r>
      <w:r>
        <w:rPr>
          <w:rFonts w:hint="default" w:ascii="Times New Roman" w:hAnsi="Times New Roman" w:eastAsia="仿宋_GB2312" w:cs="Times New Roman"/>
          <w:snapToGrid w:val="0"/>
          <w:spacing w:val="-5"/>
          <w:kern w:val="44"/>
          <w:sz w:val="24"/>
          <w:lang w:val="zh-CN" w:bidi="zh-CN"/>
        </w:rPr>
        <w:t>区第</w:t>
      </w:r>
      <w:r>
        <w:rPr>
          <w:rFonts w:hint="eastAsia" w:eastAsia="仿宋_GB2312" w:cs="Times New Roman"/>
          <w:snapToGrid w:val="0"/>
          <w:spacing w:val="-5"/>
          <w:kern w:val="44"/>
          <w:sz w:val="24"/>
          <w:lang w:val="en-US" w:bidi="zh-CN"/>
        </w:rPr>
        <w:t>一</w:t>
      </w:r>
      <w:r>
        <w:rPr>
          <w:rFonts w:hint="default" w:ascii="Times New Roman" w:hAnsi="Times New Roman" w:eastAsia="仿宋_GB2312" w:cs="Times New Roman"/>
          <w:snapToGrid w:val="0"/>
          <w:spacing w:val="-5"/>
          <w:kern w:val="44"/>
          <w:sz w:val="24"/>
          <w:lang w:val="zh-CN" w:bidi="zh-CN"/>
        </w:rPr>
        <w:t>届</w:t>
      </w:r>
      <w:r>
        <w:rPr>
          <w:rFonts w:hint="default" w:ascii="Times New Roman" w:hAnsi="Times New Roman" w:eastAsia="仿宋_GB2312" w:cs="Times New Roman"/>
          <w:snapToGrid w:val="0"/>
          <w:spacing w:val="-5"/>
          <w:kern w:val="44"/>
          <w:sz w:val="24"/>
          <w:lang w:bidi="zh-CN"/>
        </w:rPr>
        <w:t>社会组织</w:t>
      </w:r>
      <w:r>
        <w:rPr>
          <w:rFonts w:hint="default" w:ascii="Times New Roman" w:hAnsi="Times New Roman" w:eastAsia="仿宋_GB2312" w:cs="Times New Roman"/>
          <w:snapToGrid w:val="0"/>
          <w:spacing w:val="-5"/>
          <w:kern w:val="44"/>
          <w:sz w:val="24"/>
          <w:lang w:val="zh-CN" w:bidi="zh-CN"/>
        </w:rPr>
        <w:t>公益创投活动项目资助资金和配套资金预算，并按“服务费用、人员费用、行政办公费用、宣传费用和其他费用”分类编制项目支出预算。另外，在编制预算时，应在项目申报书“支出明细”栏列明受益人数、支出（费用）种类和标准。项目预算须严格遵守相关财政财务规定，并根据实际情况（费用标准本地有规定的，按本地规定标准执行；当地无相关规定的，费用标准应符合项目实际情况），遵循经济节约的原则。项目预算编制具体要求如下：</w:t>
      </w:r>
    </w:p>
    <w:p>
      <w:pPr>
        <w:keepNext w:val="0"/>
        <w:keepLines w:val="0"/>
        <w:pageBreakBefore w:val="0"/>
        <w:widowControl w:val="0"/>
        <w:tabs>
          <w:tab w:val="left" w:pos="1159"/>
        </w:tabs>
        <w:kinsoku/>
        <w:wordWrap/>
        <w:overflowPunct/>
        <w:topLinePunct w:val="0"/>
        <w:autoSpaceDE w:val="0"/>
        <w:autoSpaceDN w:val="0"/>
        <w:bidi w:val="0"/>
        <w:adjustRightInd/>
        <w:snapToGrid/>
        <w:spacing w:line="560" w:lineRule="exact"/>
        <w:ind w:left="0" w:right="0" w:firstLine="402"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b/>
          <w:snapToGrid w:val="0"/>
          <w:spacing w:val="-20"/>
          <w:kern w:val="0"/>
          <w:sz w:val="24"/>
          <w:lang w:bidi="zh-CN"/>
        </w:rPr>
        <w:t>1</w:t>
      </w:r>
      <w:r>
        <w:rPr>
          <w:rFonts w:hint="eastAsia" w:eastAsia="仿宋_GB2312" w:cs="Times New Roman"/>
          <w:b/>
          <w:snapToGrid w:val="0"/>
          <w:spacing w:val="-20"/>
          <w:kern w:val="0"/>
          <w:sz w:val="24"/>
          <w:lang w:bidi="zh-CN"/>
        </w:rPr>
        <w:t>.</w:t>
      </w:r>
      <w:r>
        <w:rPr>
          <w:rFonts w:hint="default" w:ascii="Times New Roman" w:hAnsi="Times New Roman" w:eastAsia="仿宋_GB2312" w:cs="Times New Roman"/>
          <w:b/>
          <w:snapToGrid w:val="0"/>
          <w:spacing w:val="-20"/>
          <w:kern w:val="0"/>
          <w:sz w:val="24"/>
          <w:lang w:val="zh-CN" w:bidi="zh-CN"/>
        </w:rPr>
        <w:t>服务费用。</w:t>
      </w:r>
      <w:r>
        <w:rPr>
          <w:rFonts w:hint="default" w:ascii="Times New Roman" w:hAnsi="Times New Roman" w:eastAsia="仿宋_GB2312" w:cs="Times New Roman"/>
          <w:snapToGrid w:val="0"/>
          <w:kern w:val="0"/>
          <w:sz w:val="24"/>
          <w:lang w:val="zh-CN" w:bidi="zh-CN"/>
        </w:rPr>
        <w:t>服务费用是指直接用于受益对象和开展社</w:t>
      </w:r>
      <w:r>
        <w:rPr>
          <w:rFonts w:hint="default" w:ascii="Times New Roman" w:hAnsi="Times New Roman" w:eastAsia="仿宋_GB2312" w:cs="Times New Roman"/>
          <w:snapToGrid w:val="0"/>
          <w:spacing w:val="-2"/>
          <w:kern w:val="0"/>
          <w:sz w:val="24"/>
          <w:lang w:val="zh-CN" w:bidi="zh-CN"/>
        </w:rPr>
        <w:t>会服务活动的支出。创投主体应以开展服务的受益对象或社</w:t>
      </w:r>
      <w:r>
        <w:rPr>
          <w:rFonts w:hint="default" w:ascii="Times New Roman" w:hAnsi="Times New Roman" w:eastAsia="仿宋_GB2312" w:cs="Times New Roman"/>
          <w:snapToGrid w:val="0"/>
          <w:spacing w:val="-3"/>
          <w:kern w:val="0"/>
          <w:sz w:val="24"/>
          <w:lang w:val="zh-CN" w:bidi="zh-CN"/>
        </w:rPr>
        <w:t>会服务活动的种类为基础编列社会服务费用支出预算，并列明受益人数和费用标准。</w:t>
      </w:r>
      <w:r>
        <w:rPr>
          <w:rFonts w:hint="default" w:ascii="Times New Roman" w:hAnsi="Times New Roman" w:eastAsia="仿宋_GB2312" w:cs="Times New Roman"/>
          <w:snapToGrid w:val="0"/>
          <w:kern w:val="0"/>
          <w:sz w:val="24"/>
          <w:lang w:val="zh-CN" w:bidi="zh-CN"/>
        </w:rPr>
        <w:t>具体编制时，应按分类列出服务原因、内容和被服务对象性质、范围、人数次数和每人接受服务金额等相关情况。编制服务费用预算涉及的相关费用可包括：</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lang w:eastAsia="zh-CN"/>
        </w:rPr>
      </w:pPr>
      <w:r>
        <w:rPr>
          <w:rFonts w:hint="default" w:ascii="Times New Roman" w:hAnsi="Times New Roman" w:eastAsia="仿宋_GB2312" w:cs="Times New Roman"/>
          <w:b/>
          <w:snapToGrid w:val="0"/>
          <w:kern w:val="0"/>
          <w:sz w:val="24"/>
        </w:rPr>
        <w:t>（1）培训费：</w:t>
      </w:r>
      <w:r>
        <w:rPr>
          <w:rFonts w:hint="default" w:ascii="Times New Roman" w:hAnsi="Times New Roman" w:eastAsia="仿宋_GB2312" w:cs="Times New Roman"/>
          <w:snapToGrid w:val="0"/>
          <w:kern w:val="0"/>
          <w:sz w:val="24"/>
        </w:rPr>
        <w:t>培训费是项目执行中必须发生的培训费用，包括住宿费、伙食费、培训资料费、交通费、现场教学费、授课老师交通食宿费等。其中讲课费是指开展培训聘请师资授课所支付的必要报酬。编制此预算时应列明培训的次数、人数和天数，并按类列明培训所需费用的金额，建议讲课费（税后）标准高级技术职称专业人员每半天最高不超过1000元；正高级技术职称专业人员每半天最高不超过2000元；院士、全国知名专家每半天一般不超过3000元。其他人员讲课可参照上述标准或视实际情况执行。</w:t>
      </w:r>
      <w:r>
        <w:rPr>
          <w:rFonts w:hint="default" w:ascii="Times New Roman" w:hAnsi="Times New Roman" w:eastAsia="仿宋_GB2312" w:cs="Times New Roman"/>
          <w:snapToGrid w:val="0"/>
          <w:color w:val="000000"/>
          <w:kern w:val="0"/>
          <w:sz w:val="24"/>
        </w:rPr>
        <w:t>具体参考《广州市市直党政机关和事业单位培训费管理办法》（穗财编〔2018〕4号）</w:t>
      </w:r>
      <w:r>
        <w:rPr>
          <w:rFonts w:hint="default" w:ascii="Times New Roman" w:hAnsi="Times New Roman" w:eastAsia="仿宋_GB2312" w:cs="Times New Roman"/>
          <w:snapToGrid w:val="0"/>
          <w:color w:val="000000"/>
          <w:kern w:val="0"/>
          <w:sz w:val="24"/>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（2）劳务费：</w:t>
      </w:r>
      <w:r>
        <w:rPr>
          <w:rFonts w:hint="default" w:ascii="Times New Roman" w:hAnsi="Times New Roman" w:eastAsia="仿宋_GB2312" w:cs="Times New Roman"/>
          <w:snapToGrid w:val="0"/>
          <w:kern w:val="0"/>
          <w:sz w:val="24"/>
        </w:rPr>
        <w:t>劳务费是指支付给为完成项目而聘用的且不在本组织领取工资报酬的临时人员的劳务性费用，如督导、顾问的劳务费。编制此预算时，应列明服务内容、人数、标准，应符合创投主体所在地或项目执行地的物价水平。因项目发展需要，确需聘请专业人员提供服务的，应参照行业有关薪酬标准适度支付劳务费用。</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（3）物资采购费：</w:t>
      </w:r>
      <w:r>
        <w:rPr>
          <w:rFonts w:hint="default" w:ascii="Times New Roman" w:hAnsi="Times New Roman" w:eastAsia="仿宋_GB2312" w:cs="Times New Roman"/>
          <w:snapToGrid w:val="0"/>
          <w:kern w:val="0"/>
          <w:sz w:val="24"/>
        </w:rPr>
        <w:t>作为服务费用支出的购买相关用具物品费用，</w:t>
      </w:r>
      <w:r>
        <w:rPr>
          <w:rFonts w:hint="default" w:ascii="Times New Roman" w:hAnsi="Times New Roman" w:eastAsia="仿宋_GB2312" w:cs="Times New Roman"/>
          <w:snapToGrid w:val="0"/>
          <w:kern w:val="0"/>
          <w:sz w:val="24"/>
        </w:rPr>
        <w:t>按照实际购买科目、数量编制。</w:t>
      </w:r>
      <w:bookmarkStart w:id="0" w:name="_GoBack"/>
      <w:bookmarkEnd w:id="0"/>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66"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spacing w:val="-4"/>
          <w:kern w:val="0"/>
          <w:sz w:val="24"/>
        </w:rPr>
        <w:t>（4）交通及差旅费：</w:t>
      </w:r>
      <w:r>
        <w:rPr>
          <w:rFonts w:hint="default" w:ascii="Times New Roman" w:hAnsi="Times New Roman" w:eastAsia="仿宋_GB2312" w:cs="Times New Roman"/>
          <w:snapToGrid w:val="0"/>
          <w:kern w:val="0"/>
          <w:sz w:val="24"/>
        </w:rPr>
        <w:t>作为服务费用支出的交通费是指项目执行过程中必须发生的专家、志愿者的差旅费和市内交通费。列支的交通费用应与开展项目相关。</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（5）其他服务费用：</w:t>
      </w:r>
      <w:r>
        <w:rPr>
          <w:rFonts w:hint="default" w:ascii="Times New Roman" w:hAnsi="Times New Roman" w:eastAsia="仿宋_GB2312" w:cs="Times New Roman"/>
          <w:snapToGrid w:val="0"/>
          <w:kern w:val="0"/>
          <w:sz w:val="24"/>
        </w:rPr>
        <w:t>开展服务过程中所产生的其他服务费用。</w:t>
      </w:r>
    </w:p>
    <w:p>
      <w:pPr>
        <w:keepNext w:val="0"/>
        <w:keepLines w:val="0"/>
        <w:pageBreakBefore w:val="0"/>
        <w:widowControl w:val="0"/>
        <w:tabs>
          <w:tab w:val="left" w:pos="1071"/>
        </w:tabs>
        <w:kinsoku/>
        <w:wordWrap/>
        <w:overflowPunct/>
        <w:topLinePunct w:val="0"/>
        <w:autoSpaceDE w:val="0"/>
        <w:autoSpaceDN w:val="0"/>
        <w:bidi w:val="0"/>
        <w:adjustRightInd/>
        <w:snapToGrid/>
        <w:spacing w:line="560" w:lineRule="exact"/>
        <w:ind w:left="0" w:right="0" w:firstLine="474"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b/>
          <w:snapToGrid w:val="0"/>
          <w:spacing w:val="-2"/>
          <w:kern w:val="0"/>
          <w:sz w:val="24"/>
          <w:lang w:bidi="zh-CN"/>
        </w:rPr>
        <w:t>2</w:t>
      </w:r>
      <w:r>
        <w:rPr>
          <w:rFonts w:hint="eastAsia" w:eastAsia="仿宋_GB2312" w:cs="Times New Roman"/>
          <w:b/>
          <w:snapToGrid w:val="0"/>
          <w:spacing w:val="-2"/>
          <w:kern w:val="0"/>
          <w:sz w:val="24"/>
          <w:lang w:bidi="zh-CN"/>
        </w:rPr>
        <w:t>.</w:t>
      </w:r>
      <w:r>
        <w:rPr>
          <w:rFonts w:hint="default" w:ascii="Times New Roman" w:hAnsi="Times New Roman" w:eastAsia="仿宋_GB2312" w:cs="Times New Roman"/>
          <w:b/>
          <w:snapToGrid w:val="0"/>
          <w:spacing w:val="-2"/>
          <w:kern w:val="0"/>
          <w:sz w:val="24"/>
          <w:lang w:val="zh-CN" w:bidi="zh-CN"/>
        </w:rPr>
        <w:t>人员费用。</w:t>
      </w:r>
      <w:r>
        <w:rPr>
          <w:rFonts w:hint="default" w:ascii="Times New Roman" w:hAnsi="Times New Roman" w:eastAsia="仿宋_GB2312" w:cs="Times New Roman"/>
          <w:snapToGrid w:val="0"/>
          <w:kern w:val="0"/>
          <w:sz w:val="24"/>
          <w:lang w:val="zh-CN" w:bidi="zh-CN"/>
        </w:rPr>
        <w:t>人员经费支出是指参与到公益创投项目服</w:t>
      </w:r>
      <w:r>
        <w:rPr>
          <w:rFonts w:hint="default" w:ascii="Times New Roman" w:hAnsi="Times New Roman" w:eastAsia="仿宋_GB2312" w:cs="Times New Roman"/>
          <w:snapToGrid w:val="0"/>
          <w:spacing w:val="-1"/>
          <w:kern w:val="0"/>
          <w:sz w:val="24"/>
          <w:lang w:val="zh-CN" w:bidi="zh-CN"/>
        </w:rPr>
        <w:t>务中的专职及兼职人员等薪酬费用支出。编制费用预算设计的相关费用可包括：</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（1）专职人员薪酬：</w:t>
      </w:r>
      <w:r>
        <w:rPr>
          <w:rFonts w:hint="default" w:ascii="Times New Roman" w:hAnsi="Times New Roman" w:eastAsia="仿宋_GB2312" w:cs="Times New Roman"/>
          <w:snapToGrid w:val="0"/>
          <w:kern w:val="0"/>
          <w:sz w:val="24"/>
        </w:rPr>
        <w:t>机构签订正式劳动合同的人员，且投入于项目服务的人员的部分薪酬（不包含福利性支出）。</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（2）兼职人员补贴及费用</w:t>
      </w:r>
      <w:r>
        <w:rPr>
          <w:rFonts w:hint="default" w:ascii="Times New Roman" w:hAnsi="Times New Roman" w:eastAsia="仿宋_GB2312" w:cs="Times New Roman"/>
          <w:snapToGrid w:val="0"/>
          <w:kern w:val="0"/>
          <w:sz w:val="24"/>
        </w:rPr>
        <w:t>：</w:t>
      </w:r>
      <w:r>
        <w:rPr>
          <w:rFonts w:hint="default" w:ascii="Times New Roman" w:hAnsi="Times New Roman" w:eastAsia="仿宋_GB2312" w:cs="Times New Roman"/>
          <w:b w:val="0"/>
          <w:bCs w:val="0"/>
          <w:snapToGrid w:val="0"/>
          <w:spacing w:val="11"/>
          <w:kern w:val="44"/>
          <w:sz w:val="24"/>
        </w:rPr>
        <w:t>与项目主体签订兼职协议或签订劳务合同，领取的劳务报酬（含税），不得超过我市上年社会平均日工资，且每人每天不超过200元。</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（3）志愿者补贴及费用：</w:t>
      </w:r>
      <w:r>
        <w:rPr>
          <w:rFonts w:hint="default" w:ascii="Times New Roman" w:hAnsi="Times New Roman" w:eastAsia="仿宋_GB2312" w:cs="Times New Roman"/>
          <w:snapToGrid w:val="0"/>
          <w:kern w:val="0"/>
          <w:sz w:val="24"/>
        </w:rPr>
        <w:t>含餐费、交通补贴等费用，每位志愿者补贴不超过50元/天。</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（4）交通及误餐费用：</w:t>
      </w:r>
      <w:r>
        <w:rPr>
          <w:rFonts w:hint="default" w:ascii="Times New Roman" w:hAnsi="Times New Roman" w:eastAsia="仿宋_GB2312" w:cs="Times New Roman"/>
          <w:snapToGrid w:val="0"/>
          <w:kern w:val="0"/>
          <w:sz w:val="24"/>
        </w:rPr>
        <w:t>项目执行过程中必须发生的项目执行人员的交通费及误餐费用，相关的费用支出应符合经济节约原则，并与执行项目相关，建议列明费用的标准、金额和支出人员等，费用支出标准不高于50元/人。</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列支了志愿者补贴的，不再另外列支志愿者餐费或交通费用。列支了专家劳务补贴的，不再另外列支专家交通费用。不建议使用交通油票，建议可列支为公交、地铁、打车平台开具的发票，并附行程单、工作小结作为佐证材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（5）其他人员费用：</w:t>
      </w:r>
      <w:r>
        <w:rPr>
          <w:rFonts w:hint="default" w:ascii="Times New Roman" w:hAnsi="Times New Roman" w:eastAsia="仿宋_GB2312" w:cs="Times New Roman"/>
          <w:snapToGrid w:val="0"/>
          <w:kern w:val="0"/>
          <w:sz w:val="24"/>
        </w:rPr>
        <w:t>在开展服务过程中所产生的其他人员服务费用。</w:t>
      </w:r>
    </w:p>
    <w:p>
      <w:pPr>
        <w:keepNext w:val="0"/>
        <w:keepLines w:val="0"/>
        <w:pageBreakBefore w:val="0"/>
        <w:widowControl w:val="0"/>
        <w:tabs>
          <w:tab w:val="left" w:pos="1097"/>
        </w:tabs>
        <w:kinsoku/>
        <w:wordWrap/>
        <w:overflowPunct/>
        <w:topLinePunct w:val="0"/>
        <w:autoSpaceDE w:val="0"/>
        <w:autoSpaceDN w:val="0"/>
        <w:bidi w:val="0"/>
        <w:adjustRightInd/>
        <w:snapToGrid/>
        <w:spacing w:line="560" w:lineRule="exact"/>
        <w:ind w:left="0" w:right="0" w:firstLine="514"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b/>
          <w:snapToGrid w:val="0"/>
          <w:spacing w:val="14"/>
          <w:w w:val="95"/>
          <w:kern w:val="0"/>
          <w:sz w:val="24"/>
          <w:lang w:bidi="zh-CN"/>
        </w:rPr>
        <w:t>3</w:t>
      </w:r>
      <w:r>
        <w:rPr>
          <w:rFonts w:hint="eastAsia" w:eastAsia="仿宋_GB2312" w:cs="Times New Roman"/>
          <w:b/>
          <w:snapToGrid w:val="0"/>
          <w:spacing w:val="14"/>
          <w:w w:val="95"/>
          <w:kern w:val="0"/>
          <w:sz w:val="24"/>
          <w:lang w:bidi="zh-CN"/>
        </w:rPr>
        <w:t>.</w:t>
      </w:r>
      <w:r>
        <w:rPr>
          <w:rFonts w:hint="default" w:ascii="Times New Roman" w:hAnsi="Times New Roman" w:eastAsia="仿宋_GB2312" w:cs="Times New Roman"/>
          <w:b/>
          <w:snapToGrid w:val="0"/>
          <w:spacing w:val="-2"/>
          <w:kern w:val="0"/>
          <w:sz w:val="24"/>
          <w:lang w:val="zh-CN" w:bidi="zh-CN"/>
        </w:rPr>
        <w:t>行政办公费用。</w:t>
      </w:r>
      <w:r>
        <w:rPr>
          <w:rFonts w:hint="default" w:ascii="Times New Roman" w:hAnsi="Times New Roman" w:eastAsia="仿宋_GB2312" w:cs="Times New Roman"/>
          <w:snapToGrid w:val="0"/>
          <w:kern w:val="0"/>
          <w:sz w:val="24"/>
          <w:lang w:val="zh-CN" w:bidi="zh-CN"/>
        </w:rPr>
        <w:t>实施项目中所直接发生的行政办公费用，包括执行项目所必需的办公用品、书籍、交通、活动场地等费用。创投主体办公场地的租赁费用不能摊分到项目中。</w:t>
      </w:r>
    </w:p>
    <w:p>
      <w:pPr>
        <w:keepNext w:val="0"/>
        <w:keepLines w:val="0"/>
        <w:pageBreakBefore w:val="0"/>
        <w:widowControl w:val="0"/>
        <w:tabs>
          <w:tab w:val="left" w:pos="1083"/>
        </w:tabs>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b/>
          <w:snapToGrid w:val="0"/>
          <w:kern w:val="0"/>
          <w:sz w:val="24"/>
          <w:lang w:bidi="zh-CN"/>
        </w:rPr>
        <w:t>4</w:t>
      </w:r>
      <w:r>
        <w:rPr>
          <w:rFonts w:hint="eastAsia" w:eastAsia="仿宋_GB2312" w:cs="Times New Roman"/>
          <w:b/>
          <w:snapToGrid w:val="0"/>
          <w:kern w:val="0"/>
          <w:sz w:val="24"/>
          <w:lang w:bidi="zh-CN"/>
        </w:rPr>
        <w:t>.</w:t>
      </w:r>
      <w:r>
        <w:rPr>
          <w:rFonts w:hint="default" w:ascii="Times New Roman" w:hAnsi="Times New Roman" w:eastAsia="仿宋_GB2312" w:cs="Times New Roman"/>
          <w:b/>
          <w:snapToGrid w:val="0"/>
          <w:kern w:val="0"/>
          <w:sz w:val="24"/>
          <w:lang w:val="zh-CN" w:bidi="zh-CN"/>
        </w:rPr>
        <w:t>宣传费用。</w:t>
      </w:r>
      <w:r>
        <w:rPr>
          <w:rFonts w:hint="default" w:ascii="Times New Roman" w:hAnsi="Times New Roman" w:eastAsia="仿宋_GB2312" w:cs="Times New Roman"/>
          <w:snapToGrid w:val="0"/>
          <w:kern w:val="0"/>
          <w:sz w:val="24"/>
          <w:lang w:val="zh-CN" w:bidi="zh-CN"/>
        </w:rPr>
        <w:t>实施项目中所直接发生的宣传推广费用，</w:t>
      </w:r>
      <w:r>
        <w:rPr>
          <w:rFonts w:hint="default" w:ascii="Times New Roman" w:hAnsi="Times New Roman" w:eastAsia="仿宋_GB2312" w:cs="Times New Roman"/>
          <w:snapToGrid w:val="0"/>
          <w:spacing w:val="11"/>
          <w:kern w:val="0"/>
          <w:sz w:val="24"/>
          <w:lang w:val="zh-CN" w:bidi="zh-CN"/>
        </w:rPr>
        <w:t>包括项目宣传推广及执行过程中，所必须对外发放的宣传</w:t>
      </w:r>
      <w:r>
        <w:rPr>
          <w:rFonts w:hint="default" w:ascii="Times New Roman" w:hAnsi="Times New Roman" w:eastAsia="仿宋_GB2312" w:cs="Times New Roman"/>
          <w:snapToGrid w:val="0"/>
          <w:spacing w:val="-2"/>
          <w:kern w:val="0"/>
          <w:sz w:val="24"/>
          <w:lang w:val="zh-CN" w:bidi="zh-CN"/>
        </w:rPr>
        <w:t>品、宣传资料的印刷费用、媒体广告费用等，应本着节约的原则，列明费用的种类、标准和金额。</w:t>
      </w:r>
    </w:p>
    <w:p>
      <w:pPr>
        <w:keepNext w:val="0"/>
        <w:keepLines w:val="0"/>
        <w:pageBreakBefore w:val="0"/>
        <w:widowControl w:val="0"/>
        <w:tabs>
          <w:tab w:val="left" w:pos="1083"/>
        </w:tabs>
        <w:kinsoku/>
        <w:wordWrap/>
        <w:overflowPunct/>
        <w:topLinePunct w:val="0"/>
        <w:autoSpaceDE w:val="0"/>
        <w:autoSpaceDN w:val="0"/>
        <w:bidi w:val="0"/>
        <w:adjustRightInd/>
        <w:snapToGrid/>
        <w:spacing w:line="560" w:lineRule="exact"/>
        <w:ind w:left="0" w:right="0" w:firstLine="466"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b/>
          <w:snapToGrid w:val="0"/>
          <w:spacing w:val="-4"/>
          <w:kern w:val="0"/>
          <w:sz w:val="24"/>
          <w:lang w:bidi="zh-CN"/>
        </w:rPr>
        <w:t>5</w:t>
      </w:r>
      <w:r>
        <w:rPr>
          <w:rFonts w:hint="eastAsia" w:eastAsia="仿宋_GB2312" w:cs="Times New Roman"/>
          <w:b/>
          <w:snapToGrid w:val="0"/>
          <w:spacing w:val="-4"/>
          <w:kern w:val="0"/>
          <w:sz w:val="24"/>
          <w:lang w:bidi="zh-CN"/>
        </w:rPr>
        <w:t>.</w:t>
      </w:r>
      <w:r>
        <w:rPr>
          <w:rFonts w:hint="default" w:ascii="Times New Roman" w:hAnsi="Times New Roman" w:eastAsia="仿宋_GB2312" w:cs="Times New Roman"/>
          <w:b/>
          <w:snapToGrid w:val="0"/>
          <w:spacing w:val="-4"/>
          <w:kern w:val="0"/>
          <w:sz w:val="24"/>
          <w:lang w:val="zh-CN" w:bidi="zh-CN"/>
        </w:rPr>
        <w:t>其他费用。</w:t>
      </w:r>
      <w:r>
        <w:rPr>
          <w:rFonts w:hint="default" w:ascii="Times New Roman" w:hAnsi="Times New Roman" w:eastAsia="仿宋_GB2312" w:cs="Times New Roman"/>
          <w:snapToGrid w:val="0"/>
          <w:kern w:val="0"/>
          <w:sz w:val="24"/>
          <w:lang w:val="zh-CN" w:bidi="zh-CN"/>
        </w:rPr>
        <w:t>开展服务过程中所产生的不可列支在其他四类科目的费用，包括税费等不可预见</w:t>
      </w:r>
      <w:r>
        <w:rPr>
          <w:rFonts w:hint="eastAsia" w:eastAsia="仿宋_GB2312" w:cs="Times New Roman"/>
          <w:snapToGrid w:val="0"/>
          <w:kern w:val="0"/>
          <w:sz w:val="24"/>
          <w:lang w:val="zh-CN" w:bidi="zh-CN"/>
        </w:rPr>
        <w:t>费用</w:t>
      </w:r>
      <w:r>
        <w:rPr>
          <w:rFonts w:hint="default" w:ascii="Times New Roman" w:hAnsi="Times New Roman" w:eastAsia="仿宋_GB2312" w:cs="Times New Roman"/>
          <w:snapToGrid w:val="0"/>
          <w:kern w:val="0"/>
          <w:sz w:val="24"/>
          <w:lang w:val="zh-CN" w:bidi="zh-CN"/>
        </w:rPr>
        <w:t>。</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526" w:firstLineChars="200"/>
        <w:textAlignment w:val="auto"/>
        <w:outlineLvl w:val="0"/>
        <w:rPr>
          <w:rFonts w:hint="eastAsia" w:ascii="Times New Roman" w:hAnsi="Times New Roman" w:eastAsia="仿宋_GB2312" w:cs="Times New Roman"/>
          <w:b/>
          <w:snapToGrid w:val="0"/>
          <w:kern w:val="44"/>
          <w:sz w:val="24"/>
          <w:lang w:eastAsia="zh-CN"/>
        </w:rPr>
      </w:pPr>
      <w:r>
        <w:rPr>
          <w:rFonts w:hint="default" w:ascii="Times New Roman" w:hAnsi="Times New Roman" w:eastAsia="仿宋_GB2312" w:cs="Times New Roman"/>
          <w:b/>
          <w:bCs/>
          <w:snapToGrid w:val="0"/>
          <w:spacing w:val="11"/>
          <w:kern w:val="44"/>
          <w:sz w:val="24"/>
        </w:rPr>
        <w:t>备注：根据公益创投项目申报规定</w:t>
      </w:r>
      <w:r>
        <w:rPr>
          <w:rFonts w:hint="eastAsia" w:eastAsia="仿宋_GB2312" w:cs="Times New Roman"/>
          <w:b/>
          <w:bCs/>
          <w:snapToGrid w:val="0"/>
          <w:spacing w:val="11"/>
          <w:kern w:val="44"/>
          <w:sz w:val="24"/>
          <w:lang w:val="en-US" w:eastAsia="zh-CN"/>
        </w:rPr>
        <w:t>编制项目预算。</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2" w:firstLineChars="200"/>
        <w:textAlignment w:val="auto"/>
        <w:rPr>
          <w:rFonts w:hint="default" w:ascii="Times New Roman" w:hAnsi="Times New Roman" w:eastAsia="仿宋_GB2312" w:cs="Times New Roman"/>
          <w:b/>
          <w:snapToGrid w:val="0"/>
          <w:kern w:val="0"/>
          <w:sz w:val="24"/>
        </w:rPr>
      </w:pPr>
      <w:r>
        <w:rPr>
          <w:rFonts w:hint="default" w:ascii="Times New Roman" w:hAnsi="Times New Roman" w:eastAsia="仿宋_GB2312" w:cs="Times New Roman"/>
          <w:b/>
          <w:snapToGrid w:val="0"/>
          <w:kern w:val="0"/>
          <w:sz w:val="24"/>
        </w:rPr>
        <w:t>（二）预算的调整</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524" w:firstLineChars="200"/>
        <w:textAlignment w:val="auto"/>
        <w:rPr>
          <w:rFonts w:hint="default" w:ascii="Times New Roman" w:hAnsi="Times New Roman" w:eastAsia="仿宋_GB2312" w:cs="Times New Roman"/>
          <w:snapToGrid w:val="0"/>
          <w:spacing w:val="11"/>
          <w:kern w:val="0"/>
          <w:sz w:val="24"/>
        </w:rPr>
      </w:pPr>
      <w:r>
        <w:rPr>
          <w:rFonts w:hint="default" w:ascii="Times New Roman" w:hAnsi="Times New Roman" w:eastAsia="仿宋_GB2312" w:cs="Times New Roman"/>
          <w:snapToGrid w:val="0"/>
          <w:spacing w:val="11"/>
          <w:kern w:val="0"/>
          <w:sz w:val="24"/>
        </w:rPr>
        <w:t>批准的资助资金与申报金额有差异的项目，创投主体需根据申报比例（初创的是8:2，其他的是6:4）缩减配套资金的金额，并重新填写《</w:t>
      </w:r>
      <w:r>
        <w:rPr>
          <w:rFonts w:hint="eastAsia" w:eastAsia="仿宋_GB2312" w:cs="Times New Roman"/>
          <w:snapToGrid w:val="0"/>
          <w:spacing w:val="11"/>
          <w:kern w:val="0"/>
          <w:sz w:val="24"/>
          <w:lang w:eastAsia="zh-CN"/>
        </w:rPr>
        <w:t>增城</w:t>
      </w:r>
      <w:r>
        <w:rPr>
          <w:rFonts w:hint="default" w:ascii="Times New Roman" w:hAnsi="Times New Roman" w:eastAsia="仿宋_GB2312" w:cs="Times New Roman"/>
          <w:snapToGrid w:val="0"/>
          <w:spacing w:val="11"/>
          <w:kern w:val="0"/>
          <w:sz w:val="24"/>
        </w:rPr>
        <w:t>区</w:t>
      </w:r>
      <w:r>
        <w:rPr>
          <w:rFonts w:hint="eastAsia" w:eastAsia="仿宋_GB2312" w:cs="Times New Roman"/>
          <w:snapToGrid w:val="0"/>
          <w:spacing w:val="11"/>
          <w:kern w:val="0"/>
          <w:sz w:val="24"/>
          <w:lang w:eastAsia="zh-CN"/>
        </w:rPr>
        <w:t>第一届</w:t>
      </w:r>
      <w:r>
        <w:rPr>
          <w:rFonts w:hint="default" w:ascii="Times New Roman" w:hAnsi="Times New Roman" w:eastAsia="仿宋_GB2312" w:cs="Times New Roman"/>
          <w:snapToGrid w:val="0"/>
          <w:spacing w:val="11"/>
          <w:kern w:val="0"/>
          <w:sz w:val="24"/>
        </w:rPr>
        <w:t>社会组织公益创投</w:t>
      </w:r>
      <w:r>
        <w:rPr>
          <w:rFonts w:hint="default" w:ascii="Times New Roman" w:hAnsi="Times New Roman" w:eastAsia="仿宋_GB2312" w:cs="Times New Roman"/>
          <w:snapToGrid w:val="0"/>
          <w:spacing w:val="11"/>
          <w:kern w:val="0"/>
          <w:sz w:val="24"/>
          <w:lang w:val="zh-CN"/>
        </w:rPr>
        <w:t>活动</w:t>
      </w:r>
      <w:r>
        <w:rPr>
          <w:rFonts w:hint="default" w:ascii="Times New Roman" w:hAnsi="Times New Roman" w:eastAsia="仿宋_GB2312" w:cs="Times New Roman"/>
          <w:snapToGrid w:val="0"/>
          <w:spacing w:val="11"/>
          <w:kern w:val="0"/>
          <w:sz w:val="24"/>
        </w:rPr>
        <w:t>项目申报书》报送承办方。</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524"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11"/>
          <w:kern w:val="0"/>
          <w:sz w:val="24"/>
        </w:rPr>
        <w:t>项目在实施过程中，因计划不周或物价波动等原因，致使项目内容发生变化，必须进行项目预算调整的（项目总预算不变，细则变动额度原则上不超过正负15%的），应及时向承办方、主办方提出书面申请，并按照批复意见进行调整。未经批准，不得擅自调整资金使用范围。擅自调整项目预算内容的，视情况责令整改，直至停拨或收回资金。</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（三）预算实施管理</w:t>
      </w:r>
    </w:p>
    <w:p>
      <w:pPr>
        <w:keepNext w:val="0"/>
        <w:keepLines w:val="0"/>
        <w:pageBreakBefore w:val="0"/>
        <w:widowControl w:val="0"/>
        <w:tabs>
          <w:tab w:val="left" w:pos="1244"/>
        </w:tabs>
        <w:kinsoku/>
        <w:wordWrap/>
        <w:overflowPunct/>
        <w:topLinePunct w:val="0"/>
        <w:autoSpaceDE w:val="0"/>
        <w:autoSpaceDN w:val="0"/>
        <w:bidi w:val="0"/>
        <w:adjustRightInd/>
        <w:snapToGrid/>
        <w:spacing w:line="560" w:lineRule="exact"/>
        <w:ind w:right="0" w:firstLine="482" w:firstLineChars="200"/>
        <w:textAlignment w:val="auto"/>
        <w:rPr>
          <w:rFonts w:hint="default" w:ascii="Times New Roman" w:hAnsi="Times New Roman" w:eastAsia="仿宋_GB2312" w:cs="Times New Roman"/>
          <w:b/>
          <w:snapToGrid w:val="0"/>
          <w:kern w:val="0"/>
          <w:sz w:val="24"/>
          <w:lang w:val="zh-CN" w:bidi="zh-CN"/>
        </w:rPr>
      </w:pPr>
      <w:r>
        <w:rPr>
          <w:rFonts w:hint="default" w:ascii="Times New Roman" w:hAnsi="Times New Roman" w:eastAsia="仿宋_GB2312" w:cs="Times New Roman"/>
          <w:b/>
          <w:snapToGrid w:val="0"/>
          <w:kern w:val="0"/>
          <w:sz w:val="24"/>
          <w:lang w:bidi="zh-CN"/>
        </w:rPr>
        <w:t>1</w:t>
      </w:r>
      <w:r>
        <w:rPr>
          <w:rFonts w:hint="eastAsia" w:eastAsia="仿宋_GB2312" w:cs="Times New Roman"/>
          <w:b/>
          <w:snapToGrid w:val="0"/>
          <w:kern w:val="0"/>
          <w:sz w:val="24"/>
          <w:lang w:bidi="zh-CN"/>
        </w:rPr>
        <w:t>.</w:t>
      </w:r>
      <w:r>
        <w:rPr>
          <w:rFonts w:hint="default" w:ascii="Times New Roman" w:hAnsi="Times New Roman" w:eastAsia="仿宋_GB2312" w:cs="Times New Roman"/>
          <w:b/>
          <w:snapToGrid w:val="0"/>
          <w:kern w:val="0"/>
          <w:sz w:val="24"/>
          <w:lang w:val="zh-CN" w:bidi="zh-CN"/>
        </w:rPr>
        <w:t>健全内部管理制度</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76"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1"/>
          <w:kern w:val="0"/>
          <w:sz w:val="24"/>
        </w:rPr>
        <w:t>社会组织应健全项目资金使用管理制度，明确</w:t>
      </w:r>
      <w:r>
        <w:rPr>
          <w:rFonts w:hint="default" w:ascii="Times New Roman" w:hAnsi="Times New Roman" w:eastAsia="仿宋_GB2312" w:cs="Times New Roman"/>
          <w:snapToGrid w:val="0"/>
          <w:spacing w:val="11"/>
          <w:kern w:val="0"/>
          <w:sz w:val="24"/>
        </w:rPr>
        <w:t>资金的来源、受益对象和社会服务活动的确定原则和程序、项目财务管理原则和会计核算方法、资金的使用与监督等，将项目资金和配套资金全部纳入项目单位统一核算和管理。</w:t>
      </w:r>
    </w:p>
    <w:p>
      <w:pPr>
        <w:keepNext w:val="0"/>
        <w:keepLines w:val="0"/>
        <w:pageBreakBefore w:val="0"/>
        <w:widowControl w:val="0"/>
        <w:tabs>
          <w:tab w:val="left" w:pos="1244"/>
        </w:tabs>
        <w:kinsoku/>
        <w:wordWrap/>
        <w:overflowPunct/>
        <w:topLinePunct w:val="0"/>
        <w:autoSpaceDE w:val="0"/>
        <w:autoSpaceDN w:val="0"/>
        <w:bidi w:val="0"/>
        <w:adjustRightInd/>
        <w:snapToGrid/>
        <w:spacing w:line="560" w:lineRule="exact"/>
        <w:ind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2</w:t>
      </w:r>
      <w:r>
        <w:rPr>
          <w:rFonts w:hint="eastAsia" w:eastAsia="仿宋_GB2312" w:cs="Times New Roman"/>
          <w:b/>
          <w:snapToGrid w:val="0"/>
          <w:kern w:val="44"/>
          <w:sz w:val="24"/>
          <w:lang w:eastAsia="zh-CN"/>
        </w:rPr>
        <w:t>.</w:t>
      </w:r>
      <w:r>
        <w:rPr>
          <w:rFonts w:hint="default" w:ascii="Times New Roman" w:hAnsi="Times New Roman" w:eastAsia="仿宋_GB2312" w:cs="Times New Roman"/>
          <w:b/>
          <w:snapToGrid w:val="0"/>
          <w:kern w:val="44"/>
          <w:sz w:val="24"/>
        </w:rPr>
        <w:t>规范受益对象的选择</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受益对象的选择应当遵循公开、公正、公平和诚实信用原则，建立受益对象选择制度，明确受益对象范围、标准和确定程序。社会组织应按规定的标准和程序确定受益对象，妥善保管受益对象的资料及相关证明材料，必要时需履行公示程序，以确保所选择的受益对象符合项目申报书要求。</w:t>
      </w:r>
    </w:p>
    <w:p>
      <w:pPr>
        <w:keepNext w:val="0"/>
        <w:keepLines w:val="0"/>
        <w:pageBreakBefore w:val="0"/>
        <w:widowControl w:val="0"/>
        <w:tabs>
          <w:tab w:val="left" w:pos="1083"/>
        </w:tabs>
        <w:kinsoku/>
        <w:wordWrap/>
        <w:overflowPunct/>
        <w:topLinePunct w:val="0"/>
        <w:autoSpaceDE w:val="0"/>
        <w:autoSpaceDN w:val="0"/>
        <w:bidi w:val="0"/>
        <w:adjustRightInd/>
        <w:snapToGrid/>
        <w:spacing w:line="560" w:lineRule="exact"/>
        <w:ind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3</w:t>
      </w:r>
      <w:r>
        <w:rPr>
          <w:rFonts w:hint="eastAsia" w:eastAsia="仿宋_GB2312" w:cs="Times New Roman"/>
          <w:b/>
          <w:snapToGrid w:val="0"/>
          <w:kern w:val="44"/>
          <w:sz w:val="24"/>
          <w:lang w:eastAsia="zh-CN"/>
        </w:rPr>
        <w:t>.</w:t>
      </w:r>
      <w:r>
        <w:rPr>
          <w:rFonts w:hint="default" w:ascii="Times New Roman" w:hAnsi="Times New Roman" w:eastAsia="仿宋_GB2312" w:cs="Times New Roman"/>
          <w:b/>
          <w:snapToGrid w:val="0"/>
          <w:kern w:val="44"/>
          <w:sz w:val="24"/>
        </w:rPr>
        <w:t>加强项目执行的管理</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社会组织应加强自身项目执行能力的建设，不得将项目转包、分包给其他组织实施，并严格区分购买服务与转包分包的界限。社会组织不得将项目委托给社会组织内部人员有直接利益关系的其他组织或个人合作开展项目。社会组织应建立有效的内部控制程序，加强款物发放的管理和监督，确保款物用于规定的受益对象或社会服务活动。</w:t>
      </w:r>
    </w:p>
    <w:p>
      <w:pPr>
        <w:keepNext w:val="0"/>
        <w:keepLines w:val="0"/>
        <w:pageBreakBefore w:val="0"/>
        <w:widowControl w:val="0"/>
        <w:tabs>
          <w:tab w:val="left" w:pos="1083"/>
        </w:tabs>
        <w:kinsoku/>
        <w:wordWrap/>
        <w:overflowPunct/>
        <w:topLinePunct w:val="0"/>
        <w:autoSpaceDE w:val="0"/>
        <w:autoSpaceDN w:val="0"/>
        <w:bidi w:val="0"/>
        <w:adjustRightInd/>
        <w:snapToGrid/>
        <w:spacing w:line="560" w:lineRule="exact"/>
        <w:ind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4</w:t>
      </w:r>
      <w:r>
        <w:rPr>
          <w:rFonts w:hint="eastAsia" w:eastAsia="仿宋_GB2312" w:cs="Times New Roman"/>
          <w:b/>
          <w:snapToGrid w:val="0"/>
          <w:kern w:val="44"/>
          <w:sz w:val="24"/>
          <w:lang w:eastAsia="zh-CN"/>
        </w:rPr>
        <w:t>.</w:t>
      </w:r>
      <w:r>
        <w:rPr>
          <w:rFonts w:hint="default" w:ascii="Times New Roman" w:hAnsi="Times New Roman" w:eastAsia="仿宋_GB2312" w:cs="Times New Roman"/>
          <w:b/>
          <w:snapToGrid w:val="0"/>
          <w:kern w:val="44"/>
          <w:sz w:val="24"/>
        </w:rPr>
        <w:t>规范物资或服务的购买</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76"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1"/>
          <w:kern w:val="0"/>
          <w:sz w:val="24"/>
        </w:rPr>
        <w:t>购买物资或服务应遵循必要的询价或比价程序，以保证购买价格的公允。社会组织应保存询价或比价的过程资料，</w:t>
      </w:r>
      <w:r>
        <w:rPr>
          <w:rFonts w:hint="default" w:ascii="Times New Roman" w:hAnsi="Times New Roman" w:eastAsia="仿宋_GB2312" w:cs="Times New Roman"/>
          <w:snapToGrid w:val="0"/>
          <w:spacing w:val="-3"/>
          <w:kern w:val="0"/>
          <w:sz w:val="24"/>
        </w:rPr>
        <w:t>这些资料包括但不限于：服务（供应）商的基本资料、服务内</w:t>
      </w:r>
      <w:r>
        <w:rPr>
          <w:rFonts w:hint="default" w:ascii="Times New Roman" w:hAnsi="Times New Roman" w:eastAsia="仿宋_GB2312" w:cs="Times New Roman"/>
          <w:snapToGrid w:val="0"/>
          <w:spacing w:val="-5"/>
          <w:kern w:val="0"/>
          <w:sz w:val="24"/>
        </w:rPr>
        <w:t>容或物资的品质要求、报价资料、社会服务领域财务规范研</w:t>
      </w:r>
      <w:r>
        <w:rPr>
          <w:rFonts w:hint="default" w:ascii="Times New Roman" w:hAnsi="Times New Roman" w:eastAsia="仿宋_GB2312" w:cs="Times New Roman"/>
          <w:snapToGrid w:val="0"/>
          <w:spacing w:val="-6"/>
          <w:kern w:val="0"/>
          <w:sz w:val="24"/>
        </w:rPr>
        <w:t>究课题项目资料、决策过程资料等。</w:t>
      </w:r>
      <w:r>
        <w:rPr>
          <w:rFonts w:hint="default" w:ascii="Times New Roman" w:hAnsi="Times New Roman" w:eastAsia="仿宋_GB2312" w:cs="Times New Roman"/>
          <w:snapToGrid w:val="0"/>
          <w:kern w:val="0"/>
          <w:sz w:val="24"/>
        </w:rPr>
        <w:t>社会组织不得与组织负责人、分支单位负责人、员工、会员有直接利益关系的组织往来合作。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四、资金收支核算</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476" w:firstLineChars="200"/>
        <w:textAlignment w:val="auto"/>
        <w:rPr>
          <w:rFonts w:hint="default" w:ascii="Times New Roman" w:hAnsi="Times New Roman" w:eastAsia="仿宋_GB2312" w:cs="Times New Roman"/>
          <w:snapToGrid w:val="0"/>
          <w:spacing w:val="-4"/>
          <w:kern w:val="0"/>
          <w:sz w:val="24"/>
        </w:rPr>
      </w:pPr>
      <w:r>
        <w:rPr>
          <w:rFonts w:hint="default" w:ascii="Times New Roman" w:hAnsi="Times New Roman" w:eastAsia="仿宋_GB2312" w:cs="Times New Roman"/>
          <w:snapToGrid w:val="0"/>
          <w:spacing w:val="-1"/>
          <w:kern w:val="0"/>
          <w:sz w:val="24"/>
        </w:rPr>
        <w:t>创投主体应按照《民间非营利组织会计制度》，将项目资金</w:t>
      </w:r>
      <w:r>
        <w:rPr>
          <w:rFonts w:hint="eastAsia" w:eastAsia="仿宋_GB2312" w:cs="Times New Roman"/>
          <w:snapToGrid w:val="0"/>
          <w:spacing w:val="-1"/>
          <w:kern w:val="0"/>
          <w:sz w:val="24"/>
          <w:lang w:eastAsia="zh-CN"/>
        </w:rPr>
        <w:t>的收入、支出</w:t>
      </w:r>
      <w:r>
        <w:rPr>
          <w:rFonts w:hint="default" w:ascii="Times New Roman" w:hAnsi="Times New Roman" w:eastAsia="仿宋_GB2312" w:cs="Times New Roman"/>
          <w:snapToGrid w:val="0"/>
          <w:spacing w:val="-1"/>
          <w:kern w:val="0"/>
          <w:sz w:val="24"/>
        </w:rPr>
        <w:t>全部纳入单位财务统一管理</w:t>
      </w:r>
      <w:r>
        <w:rPr>
          <w:rFonts w:hint="default" w:ascii="Times New Roman" w:hAnsi="Times New Roman" w:eastAsia="仿宋_GB2312" w:cs="Times New Roman"/>
          <w:snapToGrid w:val="0"/>
          <w:spacing w:val="-4"/>
          <w:kern w:val="0"/>
          <w:sz w:val="24"/>
        </w:rPr>
        <w:t>，单独分项目核算，并设置明细科目进行项目资金（含自筹配套资金）的明细核算。</w:t>
      </w:r>
    </w:p>
    <w:p>
      <w:pPr>
        <w:widowControl/>
        <w:autoSpaceDE w:val="0"/>
        <w:autoSpaceDN w:val="0"/>
        <w:spacing w:line="560" w:lineRule="exact"/>
        <w:ind w:right="265" w:firstLine="466" w:firstLineChars="200"/>
        <w:rPr>
          <w:rFonts w:hint="default" w:ascii="Times New Roman" w:hAnsi="Times New Roman" w:eastAsia="仿宋_GB2312" w:cs="Times New Roman"/>
          <w:b/>
          <w:bCs/>
          <w:snapToGrid w:val="0"/>
          <w:kern w:val="0"/>
          <w:sz w:val="24"/>
        </w:rPr>
      </w:pPr>
      <w:r>
        <w:rPr>
          <w:rFonts w:hint="default" w:ascii="Times New Roman" w:hAnsi="Times New Roman" w:eastAsia="仿宋_GB2312" w:cs="Times New Roman"/>
          <w:b/>
          <w:bCs/>
          <w:snapToGrid w:val="0"/>
          <w:spacing w:val="-4"/>
          <w:kern w:val="0"/>
          <w:sz w:val="24"/>
        </w:rPr>
        <w:t>【参考】会计科目设置：</w:t>
      </w:r>
    </w:p>
    <w:tbl>
      <w:tblPr>
        <w:tblStyle w:val="9"/>
        <w:tblW w:w="0" w:type="auto"/>
        <w:jc w:val="center"/>
        <w:tblCellSpacing w:w="0" w:type="dxa"/>
        <w:tblLayout w:type="fixed"/>
        <w:tblCellMar>
          <w:top w:w="0" w:type="dxa"/>
          <w:left w:w="0" w:type="dxa"/>
          <w:bottom w:w="0" w:type="dxa"/>
          <w:right w:w="0" w:type="dxa"/>
        </w:tblCellMar>
      </w:tblPr>
      <w:tblGrid>
        <w:gridCol w:w="1482"/>
        <w:gridCol w:w="2125"/>
        <w:gridCol w:w="1769"/>
        <w:gridCol w:w="1406"/>
        <w:gridCol w:w="935"/>
      </w:tblGrid>
      <w:tr>
        <w:tblPrEx>
          <w:tblCellMar>
            <w:top w:w="0" w:type="dxa"/>
            <w:left w:w="0" w:type="dxa"/>
            <w:bottom w:w="0" w:type="dxa"/>
            <w:right w:w="0" w:type="dxa"/>
          </w:tblCellMar>
        </w:tblPrEx>
        <w:trPr>
          <w:trHeight w:val="1076" w:hRule="atLeast"/>
          <w:tblCellSpacing w:w="0" w:type="dxa"/>
          <w:jc w:val="center"/>
        </w:trPr>
        <w:tc>
          <w:tcPr>
            <w:tcW w:w="1482" w:type="dxa"/>
            <w:tcBorders>
              <w:top w:val="single" w:color="FFFFFF" w:sz="6" w:space="0"/>
              <w:left w:val="single" w:color="FFFFFF" w:sz="6" w:space="0"/>
              <w:bottom w:val="single" w:color="FFFFFF" w:sz="18" w:space="0"/>
              <w:right w:val="single" w:color="FFFFFF" w:sz="6" w:space="0"/>
            </w:tcBorders>
            <w:shd w:val="clear" w:color="auto" w:fill="629DD1"/>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一级科目</w:t>
            </w:r>
          </w:p>
        </w:tc>
        <w:tc>
          <w:tcPr>
            <w:tcW w:w="2125" w:type="dxa"/>
            <w:tcBorders>
              <w:top w:val="single" w:color="FFFFFF" w:sz="6" w:space="0"/>
              <w:left w:val="single" w:color="FFFFFF" w:sz="6" w:space="0"/>
              <w:bottom w:val="single" w:color="FFFFFF" w:sz="18" w:space="0"/>
              <w:right w:val="single" w:color="FFFFFF" w:sz="6" w:space="0"/>
            </w:tcBorders>
            <w:shd w:val="clear" w:color="auto" w:fill="629DD1"/>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二级科目</w:t>
            </w:r>
          </w:p>
        </w:tc>
        <w:tc>
          <w:tcPr>
            <w:tcW w:w="1769" w:type="dxa"/>
            <w:tcBorders>
              <w:top w:val="single" w:color="FFFFFF" w:sz="6" w:space="0"/>
              <w:left w:val="single" w:color="FFFFFF" w:sz="6" w:space="0"/>
              <w:bottom w:val="single" w:color="FFFFFF" w:sz="18" w:space="0"/>
              <w:right w:val="single" w:color="FFFFFF" w:sz="6" w:space="0"/>
            </w:tcBorders>
            <w:shd w:val="clear" w:color="auto" w:fill="629DD1"/>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三级科目</w:t>
            </w:r>
          </w:p>
        </w:tc>
        <w:tc>
          <w:tcPr>
            <w:tcW w:w="1406" w:type="dxa"/>
            <w:tcBorders>
              <w:top w:val="single" w:color="FFFFFF" w:sz="6" w:space="0"/>
              <w:left w:val="single" w:color="FFFFFF" w:sz="6" w:space="0"/>
              <w:bottom w:val="single" w:color="FFFFFF" w:sz="18" w:space="0"/>
              <w:right w:val="single" w:color="FFFFFF" w:sz="6" w:space="0"/>
            </w:tcBorders>
            <w:shd w:val="clear" w:color="auto" w:fill="629DD1"/>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四级科目</w:t>
            </w:r>
          </w:p>
        </w:tc>
        <w:tc>
          <w:tcPr>
            <w:tcW w:w="935" w:type="dxa"/>
            <w:tcBorders>
              <w:top w:val="single" w:color="FFFFFF" w:sz="6" w:space="0"/>
              <w:left w:val="single" w:color="FFFFFF" w:sz="6" w:space="0"/>
              <w:bottom w:val="single" w:color="FFFFFF" w:sz="18" w:space="0"/>
              <w:right w:val="single" w:color="FFFFFF" w:sz="6" w:space="0"/>
            </w:tcBorders>
            <w:shd w:val="clear" w:color="auto" w:fill="629DD1"/>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b/>
                <w:snapToGrid w:val="0"/>
                <w:kern w:val="0"/>
                <w:sz w:val="24"/>
              </w:rPr>
              <w:t>…….</w:t>
            </w:r>
          </w:p>
        </w:tc>
      </w:tr>
      <w:tr>
        <w:tblPrEx>
          <w:tblCellMar>
            <w:top w:w="0" w:type="dxa"/>
            <w:left w:w="0" w:type="dxa"/>
            <w:bottom w:w="0" w:type="dxa"/>
            <w:right w:w="0" w:type="dxa"/>
          </w:tblCellMar>
        </w:tblPrEx>
        <w:trPr>
          <w:trHeight w:val="607" w:hRule="atLeast"/>
          <w:tblCellSpacing w:w="0" w:type="dxa"/>
          <w:jc w:val="center"/>
        </w:trPr>
        <w:tc>
          <w:tcPr>
            <w:tcW w:w="1482" w:type="dxa"/>
            <w:vMerge w:val="restart"/>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政府补助收入</w:t>
            </w:r>
          </w:p>
        </w:tc>
        <w:tc>
          <w:tcPr>
            <w:tcW w:w="2125" w:type="dxa"/>
            <w:vMerge w:val="restart"/>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公益创投——××项目</w:t>
            </w:r>
          </w:p>
        </w:tc>
        <w:tc>
          <w:tcPr>
            <w:tcW w:w="1769" w:type="dxa"/>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政府资助</w:t>
            </w:r>
          </w:p>
        </w:tc>
        <w:tc>
          <w:tcPr>
            <w:tcW w:w="1406" w:type="dxa"/>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c>
          <w:tcPr>
            <w:tcW w:w="935" w:type="dxa"/>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r>
      <w:tr>
        <w:tblPrEx>
          <w:tblCellMar>
            <w:top w:w="0" w:type="dxa"/>
            <w:left w:w="0" w:type="dxa"/>
            <w:bottom w:w="0" w:type="dxa"/>
            <w:right w:w="0" w:type="dxa"/>
          </w:tblCellMar>
        </w:tblPrEx>
        <w:trPr>
          <w:trHeight w:val="972" w:hRule="atLeast"/>
          <w:tblCellSpacing w:w="0" w:type="dxa"/>
          <w:jc w:val="center"/>
        </w:trPr>
        <w:tc>
          <w:tcPr>
            <w:tcW w:w="1482" w:type="dxa"/>
            <w:vMerge w:val="continue"/>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2125" w:type="dxa"/>
            <w:vMerge w:val="continue"/>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1769" w:type="dxa"/>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捐赠收入</w:t>
            </w:r>
          </w:p>
        </w:tc>
        <w:tc>
          <w:tcPr>
            <w:tcW w:w="1406" w:type="dxa"/>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接受××捐赠</w:t>
            </w:r>
          </w:p>
        </w:tc>
        <w:tc>
          <w:tcPr>
            <w:tcW w:w="935" w:type="dxa"/>
            <w:tcBorders>
              <w:top w:val="single" w:color="FFFFFF" w:sz="6" w:space="0"/>
              <w:left w:val="single" w:color="FFFFFF" w:sz="6" w:space="0"/>
              <w:bottom w:val="single" w:color="FFFFFF" w:sz="18" w:space="0"/>
              <w:right w:val="single" w:color="FFFFFF" w:sz="6" w:space="0"/>
            </w:tcBorders>
            <w:shd w:val="clear" w:color="auto" w:fill="C0D8ED"/>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r>
      <w:tr>
        <w:tblPrEx>
          <w:tblCellMar>
            <w:top w:w="0" w:type="dxa"/>
            <w:left w:w="0" w:type="dxa"/>
            <w:bottom w:w="0" w:type="dxa"/>
            <w:right w:w="0" w:type="dxa"/>
          </w:tblCellMar>
        </w:tblPrEx>
        <w:trPr>
          <w:trHeight w:val="607" w:hRule="atLeast"/>
          <w:tblCellSpacing w:w="0" w:type="dxa"/>
          <w:jc w:val="center"/>
        </w:trPr>
        <w:tc>
          <w:tcPr>
            <w:tcW w:w="1482" w:type="dxa"/>
            <w:vMerge w:val="restart"/>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业务活动成本</w:t>
            </w:r>
          </w:p>
        </w:tc>
        <w:tc>
          <w:tcPr>
            <w:tcW w:w="2125" w:type="dxa"/>
            <w:vMerge w:val="restart"/>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公益创投——××项目</w:t>
            </w:r>
          </w:p>
        </w:tc>
        <w:tc>
          <w:tcPr>
            <w:tcW w:w="1769"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服务费用</w:t>
            </w:r>
          </w:p>
        </w:tc>
        <w:tc>
          <w:tcPr>
            <w:tcW w:w="1406"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c>
          <w:tcPr>
            <w:tcW w:w="935"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r>
      <w:tr>
        <w:tblPrEx>
          <w:tblCellMar>
            <w:top w:w="0" w:type="dxa"/>
            <w:left w:w="0" w:type="dxa"/>
            <w:bottom w:w="0" w:type="dxa"/>
            <w:right w:w="0" w:type="dxa"/>
          </w:tblCellMar>
        </w:tblPrEx>
        <w:trPr>
          <w:trHeight w:val="607" w:hRule="atLeast"/>
          <w:tblCellSpacing w:w="0" w:type="dxa"/>
          <w:jc w:val="center"/>
        </w:trPr>
        <w:tc>
          <w:tcPr>
            <w:tcW w:w="1482"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2125"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1769"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人员费用</w:t>
            </w:r>
          </w:p>
        </w:tc>
        <w:tc>
          <w:tcPr>
            <w:tcW w:w="1406"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c>
          <w:tcPr>
            <w:tcW w:w="935"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r>
      <w:tr>
        <w:tblPrEx>
          <w:tblCellMar>
            <w:top w:w="0" w:type="dxa"/>
            <w:left w:w="0" w:type="dxa"/>
            <w:bottom w:w="0" w:type="dxa"/>
            <w:right w:w="0" w:type="dxa"/>
          </w:tblCellMar>
        </w:tblPrEx>
        <w:trPr>
          <w:trHeight w:val="607" w:hRule="atLeast"/>
          <w:tblCellSpacing w:w="0" w:type="dxa"/>
          <w:jc w:val="center"/>
        </w:trPr>
        <w:tc>
          <w:tcPr>
            <w:tcW w:w="1482"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2125"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1769"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行政办公费</w:t>
            </w:r>
          </w:p>
        </w:tc>
        <w:tc>
          <w:tcPr>
            <w:tcW w:w="1406"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c>
          <w:tcPr>
            <w:tcW w:w="935"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r>
      <w:tr>
        <w:tblPrEx>
          <w:tblCellMar>
            <w:top w:w="0" w:type="dxa"/>
            <w:left w:w="0" w:type="dxa"/>
            <w:bottom w:w="0" w:type="dxa"/>
            <w:right w:w="0" w:type="dxa"/>
          </w:tblCellMar>
        </w:tblPrEx>
        <w:trPr>
          <w:trHeight w:val="607" w:hRule="atLeast"/>
          <w:tblCellSpacing w:w="0" w:type="dxa"/>
          <w:jc w:val="center"/>
        </w:trPr>
        <w:tc>
          <w:tcPr>
            <w:tcW w:w="1482"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2125"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1769"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宣传费用</w:t>
            </w:r>
          </w:p>
        </w:tc>
        <w:tc>
          <w:tcPr>
            <w:tcW w:w="1406"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c>
          <w:tcPr>
            <w:tcW w:w="935"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r>
      <w:tr>
        <w:tblPrEx>
          <w:tblCellMar>
            <w:top w:w="0" w:type="dxa"/>
            <w:left w:w="0" w:type="dxa"/>
            <w:bottom w:w="0" w:type="dxa"/>
            <w:right w:w="0" w:type="dxa"/>
          </w:tblCellMar>
        </w:tblPrEx>
        <w:trPr>
          <w:trHeight w:val="607" w:hRule="atLeast"/>
          <w:tblCellSpacing w:w="0" w:type="dxa"/>
          <w:jc w:val="center"/>
        </w:trPr>
        <w:tc>
          <w:tcPr>
            <w:tcW w:w="1482"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2125" w:type="dxa"/>
            <w:vMerge w:val="continue"/>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line="560" w:lineRule="exact"/>
              <w:ind w:firstLine="480" w:firstLineChars="200"/>
              <w:rPr>
                <w:rFonts w:hint="default" w:ascii="Times New Roman" w:hAnsi="Times New Roman" w:eastAsia="仿宋_GB2312" w:cs="Times New Roman"/>
                <w:snapToGrid w:val="0"/>
                <w:kern w:val="0"/>
                <w:sz w:val="24"/>
              </w:rPr>
            </w:pPr>
          </w:p>
        </w:tc>
        <w:tc>
          <w:tcPr>
            <w:tcW w:w="1769"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其他费用</w:t>
            </w:r>
          </w:p>
        </w:tc>
        <w:tc>
          <w:tcPr>
            <w:tcW w:w="1406"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c>
          <w:tcPr>
            <w:tcW w:w="935" w:type="dxa"/>
            <w:tcBorders>
              <w:top w:val="single" w:color="FFFFFF" w:sz="6" w:space="0"/>
              <w:left w:val="single" w:color="FFFFFF" w:sz="6" w:space="0"/>
              <w:bottom w:val="single" w:color="FFFFFF" w:sz="18" w:space="0"/>
              <w:right w:val="single" w:color="FFFFFF" w:sz="6" w:space="0"/>
            </w:tcBorders>
            <w:shd w:val="clear" w:color="auto" w:fill="D4E5F7"/>
            <w:noWrap w:val="0"/>
            <w:tcMar>
              <w:top w:w="72" w:type="dxa"/>
              <w:left w:w="144" w:type="dxa"/>
              <w:bottom w:w="72" w:type="dxa"/>
              <w:right w:w="144" w:type="dxa"/>
            </w:tcMar>
            <w:vAlign w:val="center"/>
          </w:tcPr>
          <w:p>
            <w:pPr>
              <w:widowControl/>
              <w:autoSpaceDE w:val="0"/>
              <w:autoSpaceDN w:val="0"/>
              <w:spacing w:before="100" w:after="100" w:line="560" w:lineRule="exact"/>
              <w:ind w:firstLine="480" w:firstLineChars="200"/>
              <w:rPr>
                <w:rFonts w:hint="default" w:ascii="Times New Roman" w:hAnsi="Times New Roman" w:eastAsia="仿宋_GB2312" w:cs="Times New Roman"/>
                <w:snapToGrid w:val="0"/>
                <w:kern w:val="0"/>
                <w:sz w:val="24"/>
              </w:rPr>
            </w:pPr>
          </w:p>
        </w:tc>
      </w:tr>
    </w:tbl>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（一）按规定的范围和标准使用资金</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6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5"/>
          <w:kern w:val="0"/>
          <w:sz w:val="24"/>
        </w:rPr>
        <w:t>创投主体严格按照核准后的预算执行，依据《办法》、本指引、项目申报书和实施方案规定的范围和标准</w:t>
      </w:r>
      <w:r>
        <w:rPr>
          <w:rFonts w:hint="default" w:ascii="Times New Roman" w:hAnsi="Times New Roman" w:eastAsia="仿宋_GB2312" w:cs="Times New Roman"/>
          <w:snapToGrid w:val="0"/>
          <w:spacing w:val="-4"/>
          <w:kern w:val="0"/>
          <w:sz w:val="24"/>
        </w:rPr>
        <w:t>，将项目</w:t>
      </w:r>
      <w:r>
        <w:rPr>
          <w:rFonts w:hint="default" w:ascii="Times New Roman" w:hAnsi="Times New Roman" w:eastAsia="仿宋_GB2312" w:cs="Times New Roman"/>
          <w:snapToGrid w:val="0"/>
          <w:spacing w:val="-5"/>
          <w:kern w:val="0"/>
          <w:sz w:val="24"/>
        </w:rPr>
        <w:t>资金用于所规定受益对象或社会服务活动，资助资金和配套</w:t>
      </w:r>
      <w:r>
        <w:rPr>
          <w:rFonts w:hint="default" w:ascii="Times New Roman" w:hAnsi="Times New Roman" w:eastAsia="仿宋_GB2312" w:cs="Times New Roman"/>
          <w:snapToGrid w:val="0"/>
          <w:spacing w:val="-7"/>
          <w:kern w:val="0"/>
          <w:sz w:val="24"/>
        </w:rPr>
        <w:t>资金应当统一核算。项目在执行过程中由于特殊原因需要终止、撤销、变更或调整的，须报经承办方、主办方批准。</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（二）报销票据合法，手续完备</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费用支出应取得合法票据，报销费用要履行签批程序，报销单据应填写完整</w:t>
      </w:r>
      <w:r>
        <w:rPr>
          <w:rFonts w:hint="eastAsia" w:eastAsia="仿宋_GB2312" w:cs="Times New Roman"/>
          <w:snapToGrid w:val="0"/>
          <w:kern w:val="0"/>
          <w:sz w:val="24"/>
          <w:lang w:eastAsia="zh-CN"/>
        </w:rPr>
        <w:t>，</w:t>
      </w:r>
      <w:r>
        <w:rPr>
          <w:rFonts w:hint="default" w:ascii="Times New Roman" w:hAnsi="Times New Roman" w:eastAsia="仿宋_GB2312" w:cs="Times New Roman"/>
          <w:snapToGrid w:val="0"/>
          <w:kern w:val="0"/>
          <w:sz w:val="24"/>
        </w:rPr>
        <w:t>应载明事由或用途。</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支出会议费时，除发票和付款记录外，创投主体应当保留会议通知、会议议程、相关合同（场地使用、印刷会议资料、购买会议用品清单等）、与会人员名单及签到表（包括姓名、单位、职务、联系电话、通讯地址）、会议场所消费的原始记录等相关资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支付培训费时，除发票和付款记录外，创投主体应当保留培训通知、培训方案或日程、培训人员名单及签到簿（包括姓名、单位、职务、联系电话）、培训场所消费的原始记录等相关资料。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支付劳务费时，除发票和付款记录外，创投主体应当保留工作时间记录和劳务费支付表，劳务费支付表应明列领取人姓名、性别、身份证号码、联系电话、工作时间、劳务费金额、领取人员签字等内容。</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支付项目执行中发生的印刷费时，除发票和付款记录</w:t>
      </w:r>
      <w:r>
        <w:rPr>
          <w:rFonts w:hint="eastAsia" w:eastAsia="仿宋_GB2312" w:cs="Times New Roman"/>
          <w:snapToGrid w:val="0"/>
          <w:kern w:val="0"/>
          <w:sz w:val="24"/>
          <w:lang w:eastAsia="zh-CN"/>
        </w:rPr>
        <w:t>外，</w:t>
      </w:r>
      <w:r>
        <w:rPr>
          <w:rFonts w:hint="default" w:ascii="Times New Roman" w:hAnsi="Times New Roman" w:eastAsia="仿宋_GB2312" w:cs="Times New Roman"/>
          <w:snapToGrid w:val="0"/>
          <w:kern w:val="0"/>
          <w:sz w:val="24"/>
        </w:rPr>
        <w:t>创投主体应保留相关合同、印刷清单、印刷的样品、刊登广告的媒介资料（样刊或录像）的相关资料。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支付项目执行中发生的通讯费时，除发票和付款记录外，创投主体应保留邮寄清单等相关资料。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支付项目执行过程中发生的专家差旅费，应按照国家和相关部门制定的差旅费管理办法执行。报销时，除票据外，报销单据中还注明出差人员姓名、出差事由、起止地、费用类型等。</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各项支出需</w:t>
      </w:r>
      <w:r>
        <w:rPr>
          <w:rFonts w:hint="eastAsia" w:eastAsia="仿宋_GB2312" w:cs="Times New Roman"/>
          <w:snapToGrid w:val="0"/>
          <w:kern w:val="0"/>
          <w:sz w:val="24"/>
          <w:lang w:val="en-US" w:eastAsia="zh-CN"/>
        </w:rPr>
        <w:t>按</w:t>
      </w:r>
      <w:r>
        <w:rPr>
          <w:rFonts w:hint="default" w:ascii="Times New Roman" w:hAnsi="Times New Roman" w:eastAsia="仿宋_GB2312" w:cs="Times New Roman"/>
          <w:snapToGrid w:val="0"/>
          <w:kern w:val="0"/>
          <w:sz w:val="24"/>
        </w:rPr>
        <w:t>规定缴纳各项税费。属于应税收入的，应按规定缴纳税费，对发放个人的讲课费、劳务报酬等应按规定代扣代缴个人所得税。</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lang w:val="en-US" w:eastAsia="zh-CN"/>
        </w:rPr>
      </w:pPr>
      <w:r>
        <w:rPr>
          <w:rFonts w:hint="default" w:ascii="Times New Roman" w:hAnsi="Times New Roman" w:eastAsia="仿宋_GB2312" w:cs="Times New Roman"/>
          <w:b/>
          <w:snapToGrid w:val="0"/>
          <w:kern w:val="44"/>
          <w:sz w:val="24"/>
        </w:rPr>
        <w:t>五、</w:t>
      </w:r>
      <w:r>
        <w:rPr>
          <w:rFonts w:hint="eastAsia" w:eastAsia="仿宋_GB2312" w:cs="Times New Roman"/>
          <w:b/>
          <w:snapToGrid w:val="0"/>
          <w:kern w:val="44"/>
          <w:sz w:val="24"/>
          <w:lang w:val="en-US" w:eastAsia="zh-CN"/>
        </w:rPr>
        <w:t>资助</w:t>
      </w:r>
      <w:r>
        <w:rPr>
          <w:rFonts w:hint="default" w:ascii="Times New Roman" w:hAnsi="Times New Roman" w:eastAsia="仿宋_GB2312" w:cs="Times New Roman"/>
          <w:b/>
          <w:snapToGrid w:val="0"/>
          <w:kern w:val="44"/>
          <w:sz w:val="24"/>
        </w:rPr>
        <w:t>资金的</w:t>
      </w:r>
      <w:r>
        <w:rPr>
          <w:rFonts w:hint="eastAsia" w:eastAsia="仿宋_GB2312" w:cs="Times New Roman"/>
          <w:b/>
          <w:snapToGrid w:val="0"/>
          <w:kern w:val="44"/>
          <w:sz w:val="24"/>
          <w:lang w:val="en-US" w:eastAsia="zh-CN"/>
        </w:rPr>
        <w:t>使用要求</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eastAsia="仿宋_GB2312"/>
          <w:b/>
          <w:snapToGrid w:val="0"/>
          <w:kern w:val="44"/>
          <w:sz w:val="24"/>
          <w:lang w:val="en-US" w:eastAsia="zh-CN"/>
        </w:rPr>
      </w:pPr>
      <w:r>
        <w:rPr>
          <w:rFonts w:hint="default" w:eastAsia="仿宋_GB2312"/>
          <w:b/>
          <w:snapToGrid w:val="0"/>
          <w:kern w:val="44"/>
          <w:sz w:val="24"/>
        </w:rPr>
        <w:t>（一）人员经费支出。</w:t>
      </w:r>
      <w:r>
        <w:rPr>
          <w:rFonts w:hint="default" w:eastAsia="仿宋_GB2312"/>
          <w:b w:val="0"/>
          <w:bCs/>
          <w:snapToGrid w:val="0"/>
          <w:kern w:val="44"/>
          <w:sz w:val="24"/>
        </w:rPr>
        <w:t>资助资金用于专职工作人员费用不得超过资助资金的30%，自筹资金使用不受此比例限制。</w:t>
      </w:r>
      <w:r>
        <w:rPr>
          <w:rFonts w:hint="eastAsia" w:eastAsia="仿宋_GB2312"/>
          <w:b w:val="0"/>
          <w:bCs/>
          <w:snapToGrid w:val="0"/>
          <w:kern w:val="44"/>
          <w:sz w:val="24"/>
          <w:lang w:val="en-US" w:eastAsia="zh-CN"/>
        </w:rPr>
        <w:t>兼职人员、志愿者等其他人员支出的具体要求详见本指引的“三、资金预算编制”。</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eastAsia="仿宋_GB2312"/>
          <w:b/>
          <w:snapToGrid w:val="0"/>
          <w:kern w:val="44"/>
          <w:sz w:val="24"/>
        </w:rPr>
      </w:pPr>
      <w:r>
        <w:rPr>
          <w:rFonts w:hint="default" w:eastAsia="仿宋_GB2312"/>
          <w:b/>
          <w:snapToGrid w:val="0"/>
          <w:kern w:val="44"/>
          <w:sz w:val="24"/>
        </w:rPr>
        <w:t>（</w:t>
      </w:r>
      <w:r>
        <w:rPr>
          <w:rFonts w:hint="eastAsia" w:eastAsia="仿宋_GB2312"/>
          <w:b/>
          <w:snapToGrid w:val="0"/>
          <w:kern w:val="44"/>
          <w:sz w:val="24"/>
          <w:lang w:val="en-US" w:eastAsia="zh-CN"/>
        </w:rPr>
        <w:t>二</w:t>
      </w:r>
      <w:r>
        <w:rPr>
          <w:rFonts w:hint="default" w:eastAsia="仿宋_GB2312"/>
          <w:b/>
          <w:snapToGrid w:val="0"/>
          <w:kern w:val="44"/>
          <w:sz w:val="24"/>
        </w:rPr>
        <w:t>）现金支出。</w:t>
      </w:r>
      <w:r>
        <w:rPr>
          <w:rFonts w:hint="default" w:eastAsia="仿宋_GB2312"/>
          <w:b w:val="0"/>
          <w:bCs/>
          <w:snapToGrid w:val="0"/>
          <w:kern w:val="44"/>
          <w:sz w:val="24"/>
        </w:rPr>
        <w:t>资金使用遵守国家有关现金和银行结算的管理规定，不得出现大额支付现金、超范围支付现金、公款私存等行为，兼职人员费用、讲课费用以及单笔在1000元以上的其他支出应采用银行转账方式支付。</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eastAsia="仿宋_GB2312"/>
          <w:b/>
          <w:snapToGrid w:val="0"/>
          <w:kern w:val="44"/>
          <w:sz w:val="24"/>
        </w:rPr>
      </w:pPr>
      <w:r>
        <w:rPr>
          <w:rFonts w:hint="default" w:eastAsia="仿宋_GB2312"/>
          <w:b/>
          <w:snapToGrid w:val="0"/>
          <w:kern w:val="44"/>
          <w:sz w:val="24"/>
        </w:rPr>
        <w:t>（</w:t>
      </w:r>
      <w:r>
        <w:rPr>
          <w:rFonts w:hint="eastAsia" w:eastAsia="仿宋_GB2312"/>
          <w:b/>
          <w:snapToGrid w:val="0"/>
          <w:kern w:val="44"/>
          <w:sz w:val="24"/>
          <w:lang w:val="en-US" w:eastAsia="zh-CN"/>
        </w:rPr>
        <w:t>三</w:t>
      </w:r>
      <w:r>
        <w:rPr>
          <w:rFonts w:hint="default" w:eastAsia="仿宋_GB2312"/>
          <w:b/>
          <w:snapToGrid w:val="0"/>
          <w:kern w:val="44"/>
          <w:sz w:val="24"/>
        </w:rPr>
        <w:t>）购买物资、服务事项。</w:t>
      </w:r>
      <w:r>
        <w:rPr>
          <w:rFonts w:hint="default" w:eastAsia="仿宋_GB2312"/>
          <w:b w:val="0"/>
          <w:bCs/>
          <w:snapToGrid w:val="0"/>
          <w:kern w:val="44"/>
          <w:sz w:val="24"/>
        </w:rPr>
        <w:t>公益创投主体自主完成资助项目，确有必要进行购买物资或服务的，应履行必要的询价、比价或招标程序（单笔采购金额超资助资金5%，或超过3000元的），确保购买价格的公允，创投主体应保存询价（或比价）的过程资料；购买物资或服务应签订合同，明确约定双方的权利和义务，做到经济、合理、高效。购买服务的总金额不得超过项目资助资金的50%。举办活动应由创投主体自主完成，不得通过购买服务的方式委托第三方实施。</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eastAsia="仿宋_GB2312"/>
          <w:b/>
          <w:snapToGrid w:val="0"/>
          <w:kern w:val="44"/>
          <w:sz w:val="24"/>
        </w:rPr>
      </w:pPr>
      <w:r>
        <w:rPr>
          <w:rFonts w:hint="default" w:eastAsia="仿宋_GB2312"/>
          <w:b/>
          <w:snapToGrid w:val="0"/>
          <w:kern w:val="44"/>
          <w:sz w:val="24"/>
        </w:rPr>
        <w:t>（</w:t>
      </w:r>
      <w:r>
        <w:rPr>
          <w:rFonts w:hint="eastAsia" w:eastAsia="仿宋_GB2312"/>
          <w:b/>
          <w:snapToGrid w:val="0"/>
          <w:kern w:val="44"/>
          <w:sz w:val="24"/>
          <w:lang w:val="en-US" w:eastAsia="zh-CN"/>
        </w:rPr>
        <w:t>四</w:t>
      </w:r>
      <w:r>
        <w:rPr>
          <w:rFonts w:hint="default" w:eastAsia="仿宋_GB2312"/>
          <w:b/>
          <w:snapToGrid w:val="0"/>
          <w:kern w:val="44"/>
          <w:sz w:val="24"/>
        </w:rPr>
        <w:t>）关联方交易。</w:t>
      </w:r>
      <w:r>
        <w:rPr>
          <w:rFonts w:hint="default" w:eastAsia="仿宋_GB2312"/>
          <w:b w:val="0"/>
          <w:bCs/>
          <w:snapToGrid w:val="0"/>
          <w:kern w:val="44"/>
          <w:sz w:val="24"/>
        </w:rPr>
        <w:t>创投主体与关联方发生关联方交易的，应当按照《民间非营利组织会计制度》第七十一条第（十一）项规定，在会计报表附注中披露该关联方关系的性质、交易类型及交易要素。关联方，是指一方控制、共同控制另一方或对另一方施加重大影响，以及两方或两方以上同受一方控制、共同控制或重大影响的相关各方。交易要素，至少应当包括：1.交易的金额。2.未结算项目的金额、条款和条件。3.未结算应收项目的坏账准备金额。4.定价政策。（中期、末期评估时提交）</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eastAsia="仿宋_GB2312"/>
          <w:b/>
          <w:snapToGrid w:val="0"/>
          <w:kern w:val="44"/>
          <w:sz w:val="24"/>
        </w:rPr>
      </w:pPr>
      <w:r>
        <w:rPr>
          <w:rFonts w:hint="eastAsia" w:eastAsia="仿宋_GB2312"/>
          <w:b/>
          <w:snapToGrid w:val="0"/>
          <w:kern w:val="44"/>
          <w:sz w:val="24"/>
          <w:lang w:eastAsia="zh-CN"/>
        </w:rPr>
        <w:t>（</w:t>
      </w:r>
      <w:r>
        <w:rPr>
          <w:rFonts w:hint="eastAsia" w:eastAsia="仿宋_GB2312"/>
          <w:b/>
          <w:snapToGrid w:val="0"/>
          <w:kern w:val="44"/>
          <w:sz w:val="24"/>
          <w:lang w:val="en-US" w:eastAsia="zh-CN"/>
        </w:rPr>
        <w:t>五</w:t>
      </w:r>
      <w:r>
        <w:rPr>
          <w:rFonts w:hint="eastAsia" w:eastAsia="仿宋_GB2312"/>
          <w:b/>
          <w:snapToGrid w:val="0"/>
          <w:kern w:val="44"/>
          <w:sz w:val="24"/>
          <w:lang w:eastAsia="zh-CN"/>
        </w:rPr>
        <w:t>）</w:t>
      </w:r>
      <w:r>
        <w:rPr>
          <w:rFonts w:hint="default" w:eastAsia="仿宋_GB2312"/>
          <w:b/>
          <w:snapToGrid w:val="0"/>
          <w:kern w:val="44"/>
          <w:sz w:val="24"/>
        </w:rPr>
        <w:t>宣传费用。</w:t>
      </w:r>
      <w:r>
        <w:rPr>
          <w:rFonts w:hint="default" w:eastAsia="仿宋_GB2312"/>
          <w:b w:val="0"/>
          <w:bCs/>
          <w:snapToGrid w:val="0"/>
          <w:kern w:val="44"/>
          <w:sz w:val="24"/>
        </w:rPr>
        <w:t>实施项目中所直接发生的宣传推广费用，包括项目宣传推广及执行过程中，所必须对外发放的宣传品、宣传资料的印刷费用、媒体广告费用等。资助资金用于“宣传费用”不得超过项目资助资金的10%，自筹资金使用无此限制。项目实施过程中应以显著方式标明福利彩票公益金资助标识。</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eastAsia="仿宋_GB2312"/>
          <w:b/>
          <w:snapToGrid w:val="0"/>
          <w:kern w:val="44"/>
          <w:sz w:val="24"/>
        </w:rPr>
      </w:pPr>
      <w:r>
        <w:rPr>
          <w:rFonts w:hint="eastAsia" w:ascii="Times New Roman" w:hAnsi="Times New Roman" w:eastAsia="仿宋_GB2312" w:cs="Times New Roman"/>
          <w:b/>
          <w:snapToGrid w:val="0"/>
          <w:kern w:val="44"/>
          <w:sz w:val="24"/>
          <w:szCs w:val="24"/>
          <w:lang w:val="en-US" w:eastAsia="zh-CN" w:bidi="ar-SA"/>
        </w:rPr>
        <w:t>（六）</w:t>
      </w:r>
      <w:r>
        <w:rPr>
          <w:rFonts w:hint="default" w:eastAsia="仿宋_GB2312"/>
          <w:b/>
          <w:snapToGrid w:val="0"/>
          <w:kern w:val="44"/>
          <w:sz w:val="24"/>
        </w:rPr>
        <w:t>行政办公费用+其他费用。</w:t>
      </w:r>
      <w:r>
        <w:rPr>
          <w:rFonts w:hint="default" w:eastAsia="仿宋_GB2312"/>
          <w:b w:val="0"/>
          <w:bCs/>
          <w:snapToGrid w:val="0"/>
          <w:kern w:val="44"/>
          <w:sz w:val="24"/>
        </w:rPr>
        <w:t>预算编制不超过项目资助资金的10%。</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eastAsia="仿宋_GB2312"/>
          <w:b/>
          <w:snapToGrid w:val="0"/>
          <w:kern w:val="44"/>
          <w:sz w:val="24"/>
        </w:rPr>
      </w:pPr>
      <w:r>
        <w:rPr>
          <w:rFonts w:hint="eastAsia" w:ascii="Times New Roman" w:hAnsi="Times New Roman" w:eastAsia="仿宋_GB2312" w:cs="Times New Roman"/>
          <w:b/>
          <w:snapToGrid w:val="0"/>
          <w:kern w:val="44"/>
          <w:sz w:val="24"/>
          <w:szCs w:val="24"/>
          <w:lang w:val="en-US" w:eastAsia="zh-CN" w:bidi="ar-SA"/>
        </w:rPr>
        <w:t>（七）</w:t>
      </w:r>
      <w:r>
        <w:rPr>
          <w:rFonts w:hint="default" w:eastAsia="仿宋_GB2312"/>
          <w:b/>
          <w:snapToGrid w:val="0"/>
          <w:kern w:val="44"/>
          <w:sz w:val="24"/>
        </w:rPr>
        <w:t>资助资金不得列支范围：</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outlineLvl w:val="0"/>
        <w:rPr>
          <w:rFonts w:hint="default" w:eastAsia="仿宋_GB2312"/>
          <w:b w:val="0"/>
          <w:bCs/>
          <w:snapToGrid w:val="0"/>
          <w:kern w:val="44"/>
          <w:sz w:val="24"/>
        </w:rPr>
      </w:pPr>
      <w:r>
        <w:rPr>
          <w:rFonts w:hint="default" w:eastAsia="仿宋_GB2312"/>
          <w:b w:val="0"/>
          <w:bCs/>
          <w:snapToGrid w:val="0"/>
          <w:kern w:val="44"/>
          <w:sz w:val="24"/>
        </w:rPr>
        <w:t>1.从项目资金中提取管理费用；</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outlineLvl w:val="0"/>
        <w:rPr>
          <w:rFonts w:hint="default" w:eastAsia="仿宋_GB2312"/>
          <w:b w:val="0"/>
          <w:bCs/>
          <w:snapToGrid w:val="0"/>
          <w:kern w:val="44"/>
          <w:sz w:val="24"/>
        </w:rPr>
      </w:pPr>
      <w:r>
        <w:rPr>
          <w:rFonts w:hint="default" w:eastAsia="仿宋_GB2312"/>
          <w:b w:val="0"/>
          <w:bCs/>
          <w:snapToGrid w:val="0"/>
          <w:kern w:val="44"/>
          <w:sz w:val="24"/>
        </w:rPr>
        <w:t>2.缴纳罚款罚金、偿还债务、对外投资、捐赠赞助等支出；</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outlineLvl w:val="0"/>
        <w:rPr>
          <w:rFonts w:hint="default" w:eastAsia="仿宋_GB2312"/>
          <w:b w:val="0"/>
          <w:bCs/>
          <w:snapToGrid w:val="0"/>
          <w:kern w:val="44"/>
          <w:sz w:val="24"/>
        </w:rPr>
      </w:pPr>
      <w:r>
        <w:rPr>
          <w:rFonts w:hint="default" w:eastAsia="仿宋_GB2312"/>
          <w:b w:val="0"/>
          <w:bCs/>
          <w:snapToGrid w:val="0"/>
          <w:kern w:val="44"/>
          <w:sz w:val="24"/>
        </w:rPr>
        <w:t>3.固定资产购置费用，如电脑、网络设备、办公桌椅、饮水机、音响设备、健身器材等、现代化信息技术及智能化产品、康复辅具、健康监测产品等；</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outlineLvl w:val="0"/>
        <w:rPr>
          <w:rFonts w:hint="default" w:eastAsia="仿宋_GB2312"/>
          <w:b w:val="0"/>
          <w:bCs/>
          <w:snapToGrid w:val="0"/>
          <w:kern w:val="44"/>
          <w:sz w:val="24"/>
        </w:rPr>
      </w:pPr>
      <w:r>
        <w:rPr>
          <w:rFonts w:hint="default" w:eastAsia="仿宋_GB2312"/>
          <w:b w:val="0"/>
          <w:bCs/>
          <w:snapToGrid w:val="0"/>
          <w:kern w:val="44"/>
          <w:sz w:val="24"/>
        </w:rPr>
        <w:t>4.向服务对象发放救助款、奖学金和补贴（含现金补贴和实物补贴），活动现场发放的低价礼品除外；</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outlineLvl w:val="0"/>
        <w:rPr>
          <w:rFonts w:hint="default" w:eastAsia="仿宋_GB2312"/>
          <w:b w:val="0"/>
          <w:bCs/>
          <w:snapToGrid w:val="0"/>
          <w:kern w:val="44"/>
          <w:sz w:val="24"/>
        </w:rPr>
      </w:pPr>
      <w:r>
        <w:rPr>
          <w:rFonts w:hint="default" w:eastAsia="仿宋_GB2312"/>
          <w:b w:val="0"/>
          <w:bCs/>
          <w:snapToGrid w:val="0"/>
          <w:kern w:val="44"/>
          <w:sz w:val="24"/>
        </w:rPr>
        <w:t>5.用于考察旅游、软件系统开发或微信小程序开发、宣传图书赠送等，作为公益创投项目成果制定相关标准和出版图书除外；</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outlineLvl w:val="0"/>
        <w:rPr>
          <w:rFonts w:hint="default" w:eastAsia="仿宋_GB2312"/>
          <w:b w:val="0"/>
          <w:bCs/>
          <w:snapToGrid w:val="0"/>
          <w:kern w:val="44"/>
          <w:sz w:val="24"/>
        </w:rPr>
      </w:pPr>
      <w:r>
        <w:rPr>
          <w:rFonts w:hint="default" w:eastAsia="仿宋_GB2312"/>
          <w:b w:val="0"/>
          <w:bCs/>
          <w:snapToGrid w:val="0"/>
          <w:kern w:val="44"/>
          <w:sz w:val="24"/>
        </w:rPr>
        <w:t>6.用于基建、购置其他设备和服务设施等活动；</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outlineLvl w:val="0"/>
        <w:rPr>
          <w:rFonts w:hint="default" w:ascii="Times New Roman" w:hAnsi="Times New Roman" w:eastAsia="仿宋_GB2312" w:cs="Times New Roman"/>
          <w:b/>
          <w:snapToGrid w:val="0"/>
          <w:kern w:val="44"/>
          <w:sz w:val="24"/>
        </w:rPr>
      </w:pPr>
      <w:r>
        <w:rPr>
          <w:rFonts w:hint="default" w:eastAsia="仿宋_GB2312"/>
          <w:b w:val="0"/>
          <w:bCs/>
          <w:snapToGrid w:val="0"/>
          <w:kern w:val="44"/>
          <w:sz w:val="24"/>
        </w:rPr>
        <w:t>7.与项目无关的支出。</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rPr>
      </w:pPr>
      <w:r>
        <w:rPr>
          <w:rFonts w:hint="eastAsia" w:eastAsia="仿宋_GB2312" w:cs="Times New Roman"/>
          <w:b/>
          <w:snapToGrid w:val="0"/>
          <w:kern w:val="44"/>
          <w:sz w:val="24"/>
          <w:lang w:val="en-US" w:eastAsia="zh-CN"/>
        </w:rPr>
        <w:t>六</w:t>
      </w:r>
      <w:r>
        <w:rPr>
          <w:rFonts w:hint="default" w:ascii="Times New Roman" w:hAnsi="Times New Roman" w:eastAsia="仿宋_GB2312" w:cs="Times New Roman"/>
          <w:b/>
          <w:snapToGrid w:val="0"/>
          <w:kern w:val="44"/>
          <w:sz w:val="24"/>
        </w:rPr>
        <w:t>、自筹配套资金的来源和使用</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自筹配套资金是创投主体依法依规自筹用于本项目服务的资金，包括创投主体自有资金、为开展社会服务项目所筹集的捐款、开展非创投项目服务活动取得的收入的结余资金等。</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kern w:val="44"/>
          <w:sz w:val="24"/>
        </w:rPr>
        <w:t>（一）自筹配套资金确认</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500" w:firstLineChars="200"/>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5"/>
          <w:kern w:val="0"/>
          <w:sz w:val="24"/>
        </w:rPr>
        <w:t>自</w:t>
      </w:r>
      <w:r>
        <w:rPr>
          <w:rFonts w:hint="default" w:ascii="Times New Roman" w:hAnsi="Times New Roman" w:eastAsia="仿宋_GB2312" w:cs="Times New Roman"/>
          <w:snapToGrid w:val="0"/>
          <w:kern w:val="0"/>
          <w:sz w:val="24"/>
        </w:rPr>
        <w:t>筹</w:t>
      </w:r>
      <w:r>
        <w:rPr>
          <w:rFonts w:hint="default" w:ascii="Times New Roman" w:hAnsi="Times New Roman" w:eastAsia="仿宋_GB2312" w:cs="Times New Roman"/>
          <w:snapToGrid w:val="0"/>
          <w:spacing w:val="5"/>
          <w:kern w:val="0"/>
          <w:sz w:val="24"/>
        </w:rPr>
        <w:t>配</w:t>
      </w:r>
      <w:r>
        <w:rPr>
          <w:rFonts w:hint="default" w:ascii="Times New Roman" w:hAnsi="Times New Roman" w:eastAsia="仿宋_GB2312" w:cs="Times New Roman"/>
          <w:snapToGrid w:val="0"/>
          <w:kern w:val="0"/>
          <w:sz w:val="24"/>
        </w:rPr>
        <w:t>套</w:t>
      </w:r>
      <w:r>
        <w:rPr>
          <w:rFonts w:hint="default" w:ascii="Times New Roman" w:hAnsi="Times New Roman" w:eastAsia="仿宋_GB2312" w:cs="Times New Roman"/>
          <w:snapToGrid w:val="0"/>
          <w:spacing w:val="5"/>
          <w:kern w:val="0"/>
          <w:sz w:val="24"/>
        </w:rPr>
        <w:t>资</w:t>
      </w:r>
      <w:r>
        <w:rPr>
          <w:rFonts w:hint="default" w:ascii="Times New Roman" w:hAnsi="Times New Roman" w:eastAsia="仿宋_GB2312" w:cs="Times New Roman"/>
          <w:snapToGrid w:val="0"/>
          <w:kern w:val="0"/>
          <w:sz w:val="24"/>
        </w:rPr>
        <w:t>金</w:t>
      </w:r>
      <w:r>
        <w:rPr>
          <w:rFonts w:hint="default" w:ascii="Times New Roman" w:hAnsi="Times New Roman" w:eastAsia="仿宋_GB2312" w:cs="Times New Roman"/>
          <w:snapToGrid w:val="0"/>
          <w:spacing w:val="5"/>
          <w:kern w:val="0"/>
          <w:sz w:val="24"/>
        </w:rPr>
        <w:t>必须</w:t>
      </w:r>
      <w:r>
        <w:rPr>
          <w:rFonts w:hint="default" w:ascii="Times New Roman" w:hAnsi="Times New Roman" w:eastAsia="仿宋_GB2312" w:cs="Times New Roman"/>
          <w:snapToGrid w:val="0"/>
          <w:kern w:val="0"/>
          <w:sz w:val="24"/>
        </w:rPr>
        <w:t>按</w:t>
      </w:r>
      <w:r>
        <w:rPr>
          <w:rFonts w:hint="default" w:ascii="Times New Roman" w:hAnsi="Times New Roman" w:eastAsia="仿宋_GB2312" w:cs="Times New Roman"/>
          <w:snapToGrid w:val="0"/>
          <w:spacing w:val="5"/>
          <w:kern w:val="0"/>
          <w:sz w:val="24"/>
        </w:rPr>
        <w:t>不</w:t>
      </w:r>
      <w:r>
        <w:rPr>
          <w:rFonts w:hint="default" w:ascii="Times New Roman" w:hAnsi="Times New Roman" w:eastAsia="仿宋_GB2312" w:cs="Times New Roman"/>
          <w:snapToGrid w:val="0"/>
          <w:kern w:val="0"/>
          <w:sz w:val="24"/>
        </w:rPr>
        <w:t>低</w:t>
      </w:r>
      <w:r>
        <w:rPr>
          <w:rFonts w:hint="default" w:ascii="Times New Roman" w:hAnsi="Times New Roman" w:eastAsia="仿宋_GB2312" w:cs="Times New Roman"/>
          <w:snapToGrid w:val="0"/>
          <w:spacing w:val="5"/>
          <w:kern w:val="0"/>
          <w:sz w:val="24"/>
        </w:rPr>
        <w:t>于项</w:t>
      </w:r>
      <w:r>
        <w:rPr>
          <w:rFonts w:hint="default" w:ascii="Times New Roman" w:hAnsi="Times New Roman" w:eastAsia="仿宋_GB2312" w:cs="Times New Roman"/>
          <w:snapToGrid w:val="0"/>
          <w:kern w:val="0"/>
          <w:sz w:val="24"/>
        </w:rPr>
        <w:t>目</w:t>
      </w:r>
      <w:r>
        <w:rPr>
          <w:rFonts w:hint="default" w:ascii="Times New Roman" w:hAnsi="Times New Roman" w:eastAsia="仿宋_GB2312" w:cs="Times New Roman"/>
          <w:snapToGrid w:val="0"/>
          <w:spacing w:val="5"/>
          <w:kern w:val="0"/>
          <w:sz w:val="24"/>
        </w:rPr>
        <w:t>总</w:t>
      </w:r>
      <w:r>
        <w:rPr>
          <w:rFonts w:hint="default" w:ascii="Times New Roman" w:hAnsi="Times New Roman" w:eastAsia="仿宋_GB2312" w:cs="Times New Roman"/>
          <w:snapToGrid w:val="0"/>
          <w:kern w:val="0"/>
          <w:sz w:val="24"/>
        </w:rPr>
        <w:t>资金的40%（近两年成立的社会组织按20%）</w:t>
      </w:r>
      <w:r>
        <w:rPr>
          <w:rFonts w:hint="default" w:ascii="Times New Roman" w:hAnsi="Times New Roman" w:eastAsia="仿宋_GB2312" w:cs="Times New Roman"/>
          <w:snapToGrid w:val="0"/>
          <w:spacing w:val="5"/>
          <w:kern w:val="0"/>
          <w:sz w:val="24"/>
        </w:rPr>
        <w:t>的金额及时足额投入，并由创投主体统一核算与管理。中期评估阶段到账的自筹资金应不低于自筹资金总额的40%，末期评估阶段的自筹资金应全额到账。用于资助资金与申报资金有缩减的项目，自筹配套资金金额可与资助资金同比例缩减。自筹配套资金应以实际收到并支出的金额予以确认。</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500" w:firstLineChars="200"/>
        <w:textAlignment w:val="auto"/>
        <w:rPr>
          <w:rFonts w:hint="default" w:ascii="Times New Roman" w:hAnsi="Times New Roman" w:eastAsia="仿宋_GB2312" w:cs="Times New Roman"/>
          <w:snapToGrid w:val="0"/>
          <w:spacing w:val="5"/>
          <w:kern w:val="0"/>
          <w:sz w:val="24"/>
        </w:rPr>
      </w:pPr>
      <w:r>
        <w:rPr>
          <w:rFonts w:hint="default" w:ascii="Times New Roman" w:hAnsi="Times New Roman" w:eastAsia="仿宋_GB2312" w:cs="Times New Roman"/>
          <w:snapToGrid w:val="0"/>
          <w:spacing w:val="5"/>
          <w:kern w:val="0"/>
          <w:sz w:val="24"/>
        </w:rPr>
        <w:t>对于使用自有资金配套的，应以实际发生且符合规定的支出金额确认。对于已接受捐赠的资产作为配套的，应与捐赠方签订协议约定捐赠资产的性质与用途，明确捐赠资产的性质与用途，明确该资产作为项目配套资金且有利于创投项目发展，并开具捐赠收据；对于以非货币作为配套资金的，创投主体应履行必要的验证程序，包括索要公允价值证明文件、了解市场价格并进行判断等，验证所接受捐赠的非货币资产的价值是否公允。</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30" w:firstLineChars="200"/>
        <w:textAlignment w:val="auto"/>
        <w:outlineLvl w:val="0"/>
        <w:rPr>
          <w:rFonts w:hint="default" w:ascii="Times New Roman" w:hAnsi="Times New Roman" w:eastAsia="仿宋_GB2312" w:cs="Times New Roman"/>
          <w:b/>
          <w:snapToGrid w:val="0"/>
          <w:kern w:val="44"/>
          <w:sz w:val="24"/>
        </w:rPr>
      </w:pPr>
      <w:r>
        <w:rPr>
          <w:rFonts w:hint="default" w:ascii="Times New Roman" w:hAnsi="Times New Roman" w:eastAsia="仿宋_GB2312" w:cs="Times New Roman"/>
          <w:b/>
          <w:snapToGrid w:val="0"/>
          <w:spacing w:val="-13"/>
          <w:kern w:val="44"/>
          <w:sz w:val="24"/>
        </w:rPr>
        <w:t>备注：创投主体不得以接受劳务</w:t>
      </w:r>
      <w:r>
        <w:rPr>
          <w:rFonts w:hint="default" w:ascii="Times New Roman" w:hAnsi="Times New Roman" w:eastAsia="仿宋_GB2312" w:cs="Times New Roman"/>
          <w:b/>
          <w:snapToGrid w:val="0"/>
          <w:kern w:val="44"/>
          <w:sz w:val="24"/>
        </w:rPr>
        <w:t>（服务</w:t>
      </w:r>
      <w:r>
        <w:rPr>
          <w:rFonts w:hint="default" w:ascii="Times New Roman" w:hAnsi="Times New Roman" w:eastAsia="仿宋_GB2312" w:cs="Times New Roman"/>
          <w:b/>
          <w:snapToGrid w:val="0"/>
          <w:spacing w:val="-67"/>
          <w:kern w:val="44"/>
          <w:sz w:val="24"/>
        </w:rPr>
        <w:t>）</w:t>
      </w:r>
      <w:r>
        <w:rPr>
          <w:rFonts w:hint="default" w:ascii="Times New Roman" w:hAnsi="Times New Roman" w:eastAsia="仿宋_GB2312" w:cs="Times New Roman"/>
          <w:b/>
          <w:snapToGrid w:val="0"/>
          <w:kern w:val="44"/>
          <w:sz w:val="24"/>
        </w:rPr>
        <w:t>作为配套资金。</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b/>
          <w:snapToGrid w:val="0"/>
          <w:kern w:val="0"/>
          <w:sz w:val="24"/>
        </w:rPr>
      </w:pPr>
      <w:r>
        <w:rPr>
          <w:rFonts w:hint="default" w:ascii="Times New Roman" w:hAnsi="Times New Roman" w:eastAsia="仿宋_GB2312" w:cs="Times New Roman"/>
          <w:b/>
          <w:snapToGrid w:val="0"/>
          <w:kern w:val="0"/>
          <w:sz w:val="24"/>
        </w:rPr>
        <w:t>（二）自筹配套资金的使用范围和标准</w:t>
      </w:r>
    </w:p>
    <w:p>
      <w:pPr>
        <w:keepNext w:val="0"/>
        <w:keepLines w:val="0"/>
        <w:pageBreakBefore w:val="0"/>
        <w:widowControl w:val="0"/>
        <w:tabs>
          <w:tab w:val="left" w:pos="862"/>
        </w:tabs>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snapToGrid w:val="0"/>
          <w:kern w:val="0"/>
          <w:sz w:val="24"/>
          <w:lang w:bidi="zh-CN"/>
        </w:rPr>
        <w:t>1</w:t>
      </w:r>
      <w:r>
        <w:rPr>
          <w:rFonts w:hint="eastAsia" w:eastAsia="仿宋_GB2312" w:cs="Times New Roman"/>
          <w:snapToGrid w:val="0"/>
          <w:kern w:val="0"/>
          <w:sz w:val="24"/>
          <w:lang w:bidi="zh-CN"/>
        </w:rPr>
        <w:t>.</w:t>
      </w:r>
      <w:r>
        <w:rPr>
          <w:rFonts w:hint="default" w:ascii="Times New Roman" w:hAnsi="Times New Roman" w:eastAsia="仿宋_GB2312" w:cs="Times New Roman"/>
          <w:snapToGrid w:val="0"/>
          <w:kern w:val="0"/>
          <w:sz w:val="24"/>
          <w:lang w:val="zh-CN" w:bidi="zh-CN"/>
        </w:rPr>
        <w:t>项目申报书规定的受益对象和社会服务活动。</w:t>
      </w:r>
    </w:p>
    <w:p>
      <w:pPr>
        <w:keepNext w:val="0"/>
        <w:keepLines w:val="0"/>
        <w:pageBreakBefore w:val="0"/>
        <w:widowControl w:val="0"/>
        <w:tabs>
          <w:tab w:val="left" w:pos="862"/>
        </w:tabs>
        <w:kinsoku/>
        <w:wordWrap/>
        <w:overflowPunct/>
        <w:topLinePunct w:val="0"/>
        <w:autoSpaceDE w:val="0"/>
        <w:autoSpaceDN w:val="0"/>
        <w:bidi w:val="0"/>
        <w:adjustRightInd/>
        <w:snapToGrid/>
        <w:spacing w:line="560" w:lineRule="exact"/>
        <w:ind w:left="0" w:right="0" w:firstLine="476"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snapToGrid w:val="0"/>
          <w:spacing w:val="-1"/>
          <w:kern w:val="0"/>
          <w:sz w:val="24"/>
          <w:lang w:bidi="zh-CN"/>
        </w:rPr>
        <w:t>2</w:t>
      </w:r>
      <w:r>
        <w:rPr>
          <w:rFonts w:hint="eastAsia" w:eastAsia="仿宋_GB2312" w:cs="Times New Roman"/>
          <w:snapToGrid w:val="0"/>
          <w:spacing w:val="-1"/>
          <w:kern w:val="0"/>
          <w:sz w:val="24"/>
          <w:lang w:bidi="zh-CN"/>
        </w:rPr>
        <w:t>.</w:t>
      </w:r>
      <w:r>
        <w:rPr>
          <w:rFonts w:hint="default" w:ascii="Times New Roman" w:hAnsi="Times New Roman" w:eastAsia="仿宋_GB2312" w:cs="Times New Roman"/>
          <w:snapToGrid w:val="0"/>
          <w:spacing w:val="-1"/>
          <w:kern w:val="0"/>
          <w:sz w:val="24"/>
          <w:lang w:val="zh-CN" w:bidi="zh-CN"/>
        </w:rPr>
        <w:t>项目申报书中未申报的，执行项目必须发生的会议费、</w:t>
      </w:r>
      <w:r>
        <w:rPr>
          <w:rFonts w:hint="default" w:ascii="Times New Roman" w:hAnsi="Times New Roman" w:eastAsia="仿宋_GB2312" w:cs="Times New Roman"/>
          <w:snapToGrid w:val="0"/>
          <w:kern w:val="0"/>
          <w:sz w:val="24"/>
          <w:lang w:val="zh-CN" w:bidi="zh-CN"/>
        </w:rPr>
        <w:t>培训费等，具体标准应按照项目资金的标准列支。</w:t>
      </w:r>
    </w:p>
    <w:p>
      <w:pPr>
        <w:keepNext w:val="0"/>
        <w:keepLines w:val="0"/>
        <w:pageBreakBefore w:val="0"/>
        <w:widowControl w:val="0"/>
        <w:tabs>
          <w:tab w:val="left" w:pos="862"/>
        </w:tabs>
        <w:kinsoku/>
        <w:wordWrap/>
        <w:overflowPunct/>
        <w:topLinePunct w:val="0"/>
        <w:autoSpaceDE w:val="0"/>
        <w:autoSpaceDN w:val="0"/>
        <w:bidi w:val="0"/>
        <w:adjustRightInd/>
        <w:snapToGrid/>
        <w:spacing w:line="560" w:lineRule="exact"/>
        <w:ind w:left="0" w:right="0" w:firstLine="412"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snapToGrid w:val="0"/>
          <w:spacing w:val="-17"/>
          <w:kern w:val="0"/>
          <w:sz w:val="24"/>
          <w:lang w:bidi="zh-CN"/>
        </w:rPr>
        <w:t>3</w:t>
      </w:r>
      <w:r>
        <w:rPr>
          <w:rFonts w:hint="eastAsia" w:eastAsia="仿宋_GB2312" w:cs="Times New Roman"/>
          <w:snapToGrid w:val="0"/>
          <w:spacing w:val="-17"/>
          <w:kern w:val="0"/>
          <w:sz w:val="24"/>
          <w:lang w:bidi="zh-CN"/>
        </w:rPr>
        <w:t>.</w:t>
      </w:r>
      <w:r>
        <w:rPr>
          <w:rFonts w:hint="default" w:ascii="Times New Roman" w:hAnsi="Times New Roman" w:eastAsia="仿宋_GB2312" w:cs="Times New Roman"/>
          <w:snapToGrid w:val="0"/>
          <w:spacing w:val="-17"/>
          <w:kern w:val="0"/>
          <w:sz w:val="24"/>
          <w:lang w:val="zh-CN" w:bidi="zh-CN"/>
        </w:rPr>
        <w:t>执行项目所必需的费用，如：交通、会议、印刷、劳务、</w:t>
      </w:r>
      <w:r>
        <w:rPr>
          <w:rFonts w:hint="default" w:ascii="Times New Roman" w:hAnsi="Times New Roman" w:eastAsia="仿宋_GB2312" w:cs="Times New Roman"/>
          <w:snapToGrid w:val="0"/>
          <w:spacing w:val="-3"/>
          <w:kern w:val="0"/>
          <w:sz w:val="24"/>
          <w:lang w:val="zh-CN" w:bidi="zh-CN"/>
        </w:rPr>
        <w:t>宣传、误餐、物业、水电等，具体标准应按照项目资金的标准列支。</w:t>
      </w:r>
    </w:p>
    <w:p>
      <w:pPr>
        <w:keepNext w:val="0"/>
        <w:keepLines w:val="0"/>
        <w:pageBreakBefore w:val="0"/>
        <w:widowControl w:val="0"/>
        <w:tabs>
          <w:tab w:val="left" w:pos="862"/>
        </w:tabs>
        <w:kinsoku/>
        <w:wordWrap/>
        <w:overflowPunct/>
        <w:topLinePunct w:val="0"/>
        <w:autoSpaceDE w:val="0"/>
        <w:autoSpaceDN w:val="0"/>
        <w:bidi w:val="0"/>
        <w:adjustRightInd/>
        <w:snapToGrid/>
        <w:spacing w:line="560" w:lineRule="exact"/>
        <w:ind w:left="0" w:right="0" w:firstLine="480" w:firstLineChars="200"/>
        <w:textAlignment w:val="auto"/>
        <w:rPr>
          <w:rFonts w:hint="default" w:ascii="Times New Roman" w:hAnsi="Times New Roman" w:eastAsia="仿宋_GB2312" w:cs="Times New Roman"/>
          <w:snapToGrid w:val="0"/>
          <w:kern w:val="0"/>
          <w:sz w:val="24"/>
          <w:lang w:val="zh-CN" w:bidi="zh-CN"/>
        </w:rPr>
      </w:pPr>
      <w:r>
        <w:rPr>
          <w:rFonts w:hint="default" w:ascii="Times New Roman" w:hAnsi="Times New Roman" w:eastAsia="仿宋_GB2312" w:cs="Times New Roman"/>
          <w:snapToGrid w:val="0"/>
          <w:kern w:val="0"/>
          <w:sz w:val="24"/>
          <w:lang w:bidi="zh-CN"/>
        </w:rPr>
        <w:t>4</w:t>
      </w:r>
      <w:r>
        <w:rPr>
          <w:rFonts w:hint="eastAsia" w:eastAsia="仿宋_GB2312" w:cs="Times New Roman"/>
          <w:snapToGrid w:val="0"/>
          <w:kern w:val="0"/>
          <w:sz w:val="24"/>
          <w:lang w:bidi="zh-CN"/>
        </w:rPr>
        <w:t>.</w:t>
      </w:r>
      <w:r>
        <w:rPr>
          <w:rFonts w:hint="default" w:ascii="Times New Roman" w:hAnsi="Times New Roman" w:eastAsia="仿宋_GB2312" w:cs="Times New Roman"/>
          <w:snapToGrid w:val="0"/>
          <w:kern w:val="0"/>
          <w:sz w:val="24"/>
          <w:lang w:val="zh-CN" w:bidi="zh-CN"/>
        </w:rPr>
        <w:t>超出标准的专家费、授课费等项目所必需的合理支出。</w:t>
      </w:r>
    </w:p>
    <w:p>
      <w:pPr>
        <w:keepNext w:val="0"/>
        <w:keepLines w:val="0"/>
        <w:pageBreakBefore w:val="0"/>
        <w:widowControl w:val="0"/>
        <w:tabs>
          <w:tab w:val="left" w:pos="862"/>
        </w:tabs>
        <w:kinsoku/>
        <w:wordWrap/>
        <w:overflowPunct/>
        <w:topLinePunct w:val="0"/>
        <w:autoSpaceDE w:val="0"/>
        <w:autoSpaceDN w:val="0"/>
        <w:bidi w:val="0"/>
        <w:adjustRightInd/>
        <w:snapToGrid/>
        <w:spacing w:line="560" w:lineRule="exact"/>
        <w:ind w:left="0" w:right="0" w:firstLine="476" w:firstLineChars="200"/>
        <w:textAlignment w:val="auto"/>
        <w:rPr>
          <w:rFonts w:hint="default" w:ascii="Times New Roman" w:hAnsi="Times New Roman" w:eastAsia="仿宋_GB2312" w:cs="Times New Roman"/>
          <w:b/>
          <w:snapToGrid w:val="0"/>
          <w:kern w:val="0"/>
          <w:sz w:val="24"/>
          <w:lang w:val="zh-CN" w:bidi="zh-CN"/>
        </w:rPr>
      </w:pPr>
      <w:r>
        <w:rPr>
          <w:rFonts w:hint="default" w:ascii="Times New Roman" w:hAnsi="Times New Roman" w:eastAsia="仿宋_GB2312" w:cs="Times New Roman"/>
          <w:snapToGrid w:val="0"/>
          <w:spacing w:val="-1"/>
          <w:kern w:val="0"/>
          <w:sz w:val="24"/>
          <w:lang w:bidi="zh-CN"/>
        </w:rPr>
        <w:t>5</w:t>
      </w:r>
      <w:r>
        <w:rPr>
          <w:rFonts w:hint="eastAsia" w:eastAsia="仿宋_GB2312" w:cs="Times New Roman"/>
          <w:snapToGrid w:val="0"/>
          <w:spacing w:val="-1"/>
          <w:kern w:val="0"/>
          <w:sz w:val="24"/>
          <w:lang w:bidi="zh-CN"/>
        </w:rPr>
        <w:t>.</w:t>
      </w:r>
      <w:r>
        <w:rPr>
          <w:rFonts w:hint="default" w:ascii="Times New Roman" w:hAnsi="Times New Roman" w:eastAsia="仿宋_GB2312" w:cs="Times New Roman"/>
          <w:snapToGrid w:val="0"/>
          <w:spacing w:val="-1"/>
          <w:kern w:val="0"/>
          <w:sz w:val="24"/>
          <w:lang w:val="zh-CN" w:bidi="zh-CN"/>
        </w:rPr>
        <w:t>执行项目所必须的其他支出。</w:t>
      </w:r>
    </w:p>
    <w:p>
      <w:pPr>
        <w:keepNext w:val="0"/>
        <w:keepLines w:val="0"/>
        <w:pageBreakBefore w:val="0"/>
        <w:widowControl w:val="0"/>
        <w:tabs>
          <w:tab w:val="left" w:pos="862"/>
        </w:tabs>
        <w:kinsoku/>
        <w:wordWrap/>
        <w:overflowPunct/>
        <w:topLinePunct w:val="0"/>
        <w:autoSpaceDE w:val="0"/>
        <w:autoSpaceDN w:val="0"/>
        <w:bidi w:val="0"/>
        <w:adjustRightInd/>
        <w:snapToGrid/>
        <w:spacing w:line="560" w:lineRule="exact"/>
        <w:ind w:left="0" w:right="0" w:firstLine="482" w:firstLineChars="200"/>
        <w:textAlignment w:val="auto"/>
        <w:rPr>
          <w:rFonts w:hint="default" w:ascii="Times New Roman" w:hAnsi="Times New Roman" w:eastAsia="仿宋_GB2312" w:cs="Times New Roman"/>
          <w:b/>
          <w:snapToGrid w:val="0"/>
          <w:kern w:val="0"/>
          <w:sz w:val="24"/>
          <w:lang w:val="zh-CN" w:bidi="zh-CN"/>
        </w:rPr>
      </w:pPr>
      <w:r>
        <w:rPr>
          <w:rFonts w:hint="eastAsia" w:eastAsia="仿宋_GB2312" w:cs="Times New Roman"/>
          <w:b/>
          <w:snapToGrid w:val="0"/>
          <w:kern w:val="0"/>
          <w:sz w:val="24"/>
          <w:lang w:val="en-US" w:bidi="zh-CN"/>
        </w:rPr>
        <w:t>七</w:t>
      </w:r>
      <w:r>
        <w:rPr>
          <w:rFonts w:hint="default" w:ascii="Times New Roman" w:hAnsi="Times New Roman" w:eastAsia="仿宋_GB2312" w:cs="Times New Roman"/>
          <w:b/>
          <w:snapToGrid w:val="0"/>
          <w:kern w:val="0"/>
          <w:sz w:val="24"/>
          <w:lang w:val="zh-CN" w:bidi="zh-CN"/>
        </w:rPr>
        <w:t>、违规行为及处理</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76"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1"/>
          <w:kern w:val="0"/>
          <w:sz w:val="24"/>
        </w:rPr>
        <w:t>任何单位和个人不得挪用或通过其他非法手段侵占、不</w:t>
      </w:r>
      <w:r>
        <w:rPr>
          <w:rFonts w:hint="default" w:ascii="Times New Roman" w:hAnsi="Times New Roman" w:eastAsia="仿宋_GB2312" w:cs="Times New Roman"/>
          <w:snapToGrid w:val="0"/>
          <w:spacing w:val="-2"/>
          <w:kern w:val="0"/>
          <w:sz w:val="24"/>
        </w:rPr>
        <w:t>当使用项目资助资金和社会定向捐助，违者依法追究相应责任。</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76" w:firstLineChars="200"/>
        <w:textAlignment w:val="auto"/>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spacing w:val="-1"/>
          <w:kern w:val="0"/>
          <w:sz w:val="24"/>
        </w:rPr>
        <w:t>创投主体未严格按照合同约定认真实施服务项目的，主</w:t>
      </w:r>
      <w:r>
        <w:rPr>
          <w:rFonts w:hint="default" w:ascii="Times New Roman" w:hAnsi="Times New Roman" w:eastAsia="仿宋_GB2312" w:cs="Times New Roman"/>
          <w:snapToGrid w:val="0"/>
          <w:spacing w:val="-4"/>
          <w:kern w:val="0"/>
          <w:sz w:val="24"/>
        </w:rPr>
        <w:t>办方即停止办理后续资金拨付手续，追回已经拨付资金，并</w:t>
      </w:r>
      <w:r>
        <w:rPr>
          <w:rFonts w:hint="default" w:ascii="Times New Roman" w:hAnsi="Times New Roman" w:eastAsia="仿宋_GB2312" w:cs="Times New Roman"/>
          <w:snapToGrid w:val="0"/>
          <w:kern w:val="0"/>
          <w:sz w:val="24"/>
        </w:rPr>
        <w:t>依法追究项目实施方的法律责任。</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468" w:firstLineChars="200"/>
        <w:textAlignment w:val="auto"/>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spacing w:val="-3"/>
          <w:kern w:val="0"/>
          <w:sz w:val="24"/>
        </w:rPr>
        <w:t>依据《办法》规定，创投主体应当对其提供材料的真实性、合法性负责，自觉接受有关部门依法实施的监督检查。</w:t>
      </w:r>
      <w:r>
        <w:rPr>
          <w:rFonts w:hint="default" w:ascii="Times New Roman" w:hAnsi="Times New Roman" w:eastAsia="仿宋_GB2312" w:cs="Times New Roman"/>
          <w:snapToGrid w:val="0"/>
          <w:spacing w:val="11"/>
          <w:kern w:val="0"/>
          <w:sz w:val="24"/>
        </w:rPr>
        <w:t>凡提供虚假资料或采取其他不正当手段虚假参与公益创投</w:t>
      </w:r>
      <w:r>
        <w:rPr>
          <w:rFonts w:hint="default" w:ascii="Times New Roman" w:hAnsi="Times New Roman" w:eastAsia="仿宋_GB2312" w:cs="Times New Roman"/>
          <w:snapToGrid w:val="0"/>
          <w:spacing w:val="-1"/>
          <w:kern w:val="0"/>
          <w:sz w:val="24"/>
        </w:rPr>
        <w:t>的，一经发现立即取消参与资格并追回所获资助，同时在媒</w:t>
      </w:r>
      <w:r>
        <w:rPr>
          <w:rFonts w:hint="eastAsia" w:eastAsia="仿宋_GB2312" w:cs="Times New Roman"/>
          <w:snapToGrid w:val="0"/>
          <w:spacing w:val="-1"/>
          <w:kern w:val="0"/>
          <w:sz w:val="24"/>
          <w:lang w:eastAsia="zh-CN"/>
        </w:rPr>
        <w:t>体上</w:t>
      </w:r>
      <w:r>
        <w:rPr>
          <w:rFonts w:hint="default" w:ascii="Times New Roman" w:hAnsi="Times New Roman" w:eastAsia="仿宋_GB2312" w:cs="Times New Roman"/>
          <w:snapToGrid w:val="0"/>
          <w:spacing w:val="-2"/>
          <w:kern w:val="0"/>
          <w:sz w:val="24"/>
        </w:rPr>
        <w:t>进行通告，并依据《财政违法行为处罚处分条例》</w:t>
      </w:r>
      <w:r>
        <w:rPr>
          <w:rFonts w:hint="default" w:ascii="Times New Roman" w:hAnsi="Times New Roman" w:eastAsia="仿宋_GB2312" w:cs="Times New Roman"/>
          <w:snapToGrid w:val="0"/>
          <w:spacing w:val="7"/>
          <w:kern w:val="0"/>
          <w:sz w:val="24"/>
        </w:rPr>
        <w:t>（</w:t>
      </w:r>
      <w:r>
        <w:rPr>
          <w:rFonts w:hint="default" w:ascii="Times New Roman" w:hAnsi="Times New Roman" w:eastAsia="仿宋_GB2312" w:cs="Times New Roman"/>
          <w:snapToGrid w:val="0"/>
          <w:spacing w:val="3"/>
          <w:kern w:val="0"/>
          <w:sz w:val="24"/>
        </w:rPr>
        <w:t>中华</w:t>
      </w:r>
      <w:r>
        <w:rPr>
          <w:rFonts w:hint="default" w:ascii="Times New Roman" w:hAnsi="Times New Roman" w:eastAsia="仿宋_GB2312" w:cs="Times New Roman"/>
          <w:snapToGrid w:val="0"/>
          <w:spacing w:val="-6"/>
          <w:kern w:val="0"/>
          <w:sz w:val="24"/>
        </w:rPr>
        <w:t>人民共和国国务院令第</w:t>
      </w:r>
      <w:r>
        <w:rPr>
          <w:rFonts w:hint="default" w:ascii="Times New Roman" w:hAnsi="Times New Roman" w:eastAsia="仿宋_GB2312" w:cs="Times New Roman"/>
          <w:snapToGrid w:val="0"/>
          <w:kern w:val="0"/>
          <w:sz w:val="24"/>
        </w:rPr>
        <w:t>427</w:t>
      </w:r>
      <w:r>
        <w:rPr>
          <w:rFonts w:hint="default" w:ascii="Times New Roman" w:hAnsi="Times New Roman" w:eastAsia="仿宋_GB2312" w:cs="Times New Roman"/>
          <w:snapToGrid w:val="0"/>
          <w:spacing w:val="-47"/>
          <w:kern w:val="0"/>
          <w:sz w:val="24"/>
        </w:rPr>
        <w:t>号</w:t>
      </w:r>
      <w:r>
        <w:rPr>
          <w:rFonts w:hint="default" w:ascii="Times New Roman" w:hAnsi="Times New Roman" w:eastAsia="仿宋_GB2312" w:cs="Times New Roman"/>
          <w:snapToGrid w:val="0"/>
          <w:spacing w:val="-159"/>
          <w:kern w:val="0"/>
          <w:sz w:val="24"/>
        </w:rPr>
        <w:t>）</w:t>
      </w:r>
      <w:r>
        <w:rPr>
          <w:rFonts w:hint="default" w:ascii="Times New Roman" w:hAnsi="Times New Roman" w:eastAsia="仿宋_GB2312" w:cs="Times New Roman"/>
          <w:snapToGrid w:val="0"/>
          <w:kern w:val="0"/>
          <w:sz w:val="24"/>
        </w:rPr>
        <w:t>对相关人员或单位予以处理，情节严重涉嫌犯罪的，移送司法机关。</w:t>
      </w:r>
    </w:p>
    <w:p>
      <w:pPr>
        <w:keepNext w:val="0"/>
        <w:keepLines w:val="0"/>
        <w:pageBreakBefore w:val="0"/>
        <w:widowControl w:val="0"/>
        <w:kinsoku/>
        <w:wordWrap/>
        <w:overflowPunct/>
        <w:topLinePunct w:val="0"/>
        <w:bidi w:val="0"/>
        <w:adjustRightInd/>
        <w:snapToGrid/>
        <w:ind w:left="0" w:right="0"/>
        <w:textAlignment w:val="auto"/>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Pr>
        <w:ind w:right="640"/>
        <w:rPr>
          <w:rFonts w:hint="eastAsia" w:ascii="仿宋_GB2312" w:eastAsia="仿宋_GB2312"/>
          <w:szCs w:val="21"/>
        </w:rPr>
      </w:pPr>
    </w:p>
    <w:sectPr>
      <w:footerReference r:id="rId3" w:type="default"/>
      <w:footerReference r:id="rId4" w:type="even"/>
      <w:pgSz w:w="11906" w:h="16838"/>
      <w:pgMar w:top="1701" w:right="1588" w:bottom="1304" w:left="1588" w:header="851" w:footer="737"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Fonts w:ascii="宋体" w:hAnsi="宋体"/>
        <w:sz w:val="28"/>
        <w:szCs w:val="28"/>
      </w:rPr>
    </w:pPr>
    <w:r>
      <w:rPr>
        <w:rStyle w:val="13"/>
        <w:rFonts w:hint="eastAsia" w:ascii="宋体" w:hAnsi="宋体"/>
        <w:sz w:val="28"/>
        <w:szCs w:val="28"/>
      </w:rPr>
      <w:t xml:space="preserve">— </w:t>
    </w:r>
    <w:r>
      <w:rPr>
        <w:rStyle w:val="13"/>
        <w:rFonts w:hint="eastAsia" w:ascii="宋体" w:hAnsi="宋体"/>
        <w:sz w:val="28"/>
        <w:szCs w:val="28"/>
      </w:rPr>
      <w:fldChar w:fldCharType="begin"/>
    </w:r>
    <w:r>
      <w:rPr>
        <w:rStyle w:val="13"/>
        <w:rFonts w:hint="eastAsia"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37</w:t>
    </w:r>
    <w:r>
      <w:rPr>
        <w:rStyle w:val="13"/>
        <w:rFonts w:hint="eastAsia" w:ascii="宋体" w:hAnsi="宋体"/>
        <w:sz w:val="28"/>
        <w:szCs w:val="28"/>
      </w:rPr>
      <w:fldChar w:fldCharType="end"/>
    </w:r>
    <w:r>
      <w:rPr>
        <w:rStyle w:val="13"/>
        <w:rFonts w:hint="eastAsia" w:ascii="宋体" w:hAnsi="宋体"/>
        <w:sz w:val="28"/>
        <w:szCs w:val="28"/>
      </w:rPr>
      <w:t xml:space="preserve"> —</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NzY3MTBhYmIwY2Y2MzAxMGY4ODJlYzgwYjcwNjcifQ=="/>
    <w:docVar w:name="KSO_WPS_MARK_KEY" w:val="b91e647a-42a1-4f45-a085-0816b76f25ab"/>
  </w:docVars>
  <w:rsids>
    <w:rsidRoot w:val="004B1639"/>
    <w:rsid w:val="00030972"/>
    <w:rsid w:val="000326CB"/>
    <w:rsid w:val="00040FF2"/>
    <w:rsid w:val="00043340"/>
    <w:rsid w:val="00044D5F"/>
    <w:rsid w:val="000823CE"/>
    <w:rsid w:val="00096B9C"/>
    <w:rsid w:val="000C6257"/>
    <w:rsid w:val="000F64AB"/>
    <w:rsid w:val="00100E14"/>
    <w:rsid w:val="001353C7"/>
    <w:rsid w:val="00157D19"/>
    <w:rsid w:val="001C2938"/>
    <w:rsid w:val="001D0586"/>
    <w:rsid w:val="001E1E57"/>
    <w:rsid w:val="001F246F"/>
    <w:rsid w:val="001F32E6"/>
    <w:rsid w:val="002053D9"/>
    <w:rsid w:val="002405A6"/>
    <w:rsid w:val="0026286D"/>
    <w:rsid w:val="00281130"/>
    <w:rsid w:val="002C4220"/>
    <w:rsid w:val="002D069C"/>
    <w:rsid w:val="002F1A58"/>
    <w:rsid w:val="003041D9"/>
    <w:rsid w:val="00317223"/>
    <w:rsid w:val="00330475"/>
    <w:rsid w:val="00335796"/>
    <w:rsid w:val="003A4B04"/>
    <w:rsid w:val="003B6659"/>
    <w:rsid w:val="003C5302"/>
    <w:rsid w:val="003D7D0A"/>
    <w:rsid w:val="003F4C55"/>
    <w:rsid w:val="004020A1"/>
    <w:rsid w:val="004047BC"/>
    <w:rsid w:val="00406714"/>
    <w:rsid w:val="00431D25"/>
    <w:rsid w:val="00487876"/>
    <w:rsid w:val="00493D06"/>
    <w:rsid w:val="004B1639"/>
    <w:rsid w:val="004C3167"/>
    <w:rsid w:val="004C6CAD"/>
    <w:rsid w:val="004D1D87"/>
    <w:rsid w:val="004F17D3"/>
    <w:rsid w:val="004F555E"/>
    <w:rsid w:val="005200B6"/>
    <w:rsid w:val="00566E0A"/>
    <w:rsid w:val="00574906"/>
    <w:rsid w:val="00595A8D"/>
    <w:rsid w:val="005A5860"/>
    <w:rsid w:val="005F0DE0"/>
    <w:rsid w:val="005F15FE"/>
    <w:rsid w:val="006151F5"/>
    <w:rsid w:val="00650525"/>
    <w:rsid w:val="00663445"/>
    <w:rsid w:val="006A03FA"/>
    <w:rsid w:val="006B260A"/>
    <w:rsid w:val="006E5E7D"/>
    <w:rsid w:val="00702E14"/>
    <w:rsid w:val="00712E6C"/>
    <w:rsid w:val="00731B76"/>
    <w:rsid w:val="00751594"/>
    <w:rsid w:val="00752200"/>
    <w:rsid w:val="00753F3F"/>
    <w:rsid w:val="00762718"/>
    <w:rsid w:val="00766B67"/>
    <w:rsid w:val="007821EF"/>
    <w:rsid w:val="0078561F"/>
    <w:rsid w:val="00797BB4"/>
    <w:rsid w:val="007A1AA8"/>
    <w:rsid w:val="007A2740"/>
    <w:rsid w:val="007B0DE6"/>
    <w:rsid w:val="007B2122"/>
    <w:rsid w:val="007C38E3"/>
    <w:rsid w:val="007E6B2F"/>
    <w:rsid w:val="00806549"/>
    <w:rsid w:val="0082630F"/>
    <w:rsid w:val="00863441"/>
    <w:rsid w:val="00866781"/>
    <w:rsid w:val="00867857"/>
    <w:rsid w:val="00884D96"/>
    <w:rsid w:val="00892F0B"/>
    <w:rsid w:val="00896FBB"/>
    <w:rsid w:val="008C7CE0"/>
    <w:rsid w:val="0090232E"/>
    <w:rsid w:val="00905E72"/>
    <w:rsid w:val="0093458D"/>
    <w:rsid w:val="00935327"/>
    <w:rsid w:val="009430BC"/>
    <w:rsid w:val="00972082"/>
    <w:rsid w:val="00995995"/>
    <w:rsid w:val="009E3E43"/>
    <w:rsid w:val="00A0261C"/>
    <w:rsid w:val="00A24C46"/>
    <w:rsid w:val="00A42994"/>
    <w:rsid w:val="00A546B0"/>
    <w:rsid w:val="00A64467"/>
    <w:rsid w:val="00A67133"/>
    <w:rsid w:val="00A7514B"/>
    <w:rsid w:val="00A83387"/>
    <w:rsid w:val="00A8348F"/>
    <w:rsid w:val="00A93ACF"/>
    <w:rsid w:val="00B04967"/>
    <w:rsid w:val="00B22993"/>
    <w:rsid w:val="00B458E5"/>
    <w:rsid w:val="00B73B9E"/>
    <w:rsid w:val="00B8799B"/>
    <w:rsid w:val="00B91EA2"/>
    <w:rsid w:val="00BB3F35"/>
    <w:rsid w:val="00BC1690"/>
    <w:rsid w:val="00BD24F0"/>
    <w:rsid w:val="00BD57F2"/>
    <w:rsid w:val="00BF5CD0"/>
    <w:rsid w:val="00C20BEA"/>
    <w:rsid w:val="00C24895"/>
    <w:rsid w:val="00C27A40"/>
    <w:rsid w:val="00CB6818"/>
    <w:rsid w:val="00CD0E1A"/>
    <w:rsid w:val="00CD13F0"/>
    <w:rsid w:val="00CE1BA1"/>
    <w:rsid w:val="00CF5501"/>
    <w:rsid w:val="00D323EA"/>
    <w:rsid w:val="00D34138"/>
    <w:rsid w:val="00D345E1"/>
    <w:rsid w:val="00D821B2"/>
    <w:rsid w:val="00D95467"/>
    <w:rsid w:val="00DB107E"/>
    <w:rsid w:val="00DC4BA1"/>
    <w:rsid w:val="00DC7564"/>
    <w:rsid w:val="00DE6B48"/>
    <w:rsid w:val="00E03108"/>
    <w:rsid w:val="00E03DF2"/>
    <w:rsid w:val="00E20F07"/>
    <w:rsid w:val="00E2219E"/>
    <w:rsid w:val="00E3680B"/>
    <w:rsid w:val="00E55F7C"/>
    <w:rsid w:val="00E61F66"/>
    <w:rsid w:val="00E71D40"/>
    <w:rsid w:val="00E90D8D"/>
    <w:rsid w:val="00EA06EA"/>
    <w:rsid w:val="00EB2836"/>
    <w:rsid w:val="00EC30ED"/>
    <w:rsid w:val="00ED24A2"/>
    <w:rsid w:val="00ED698F"/>
    <w:rsid w:val="00EE5787"/>
    <w:rsid w:val="00EF0A75"/>
    <w:rsid w:val="00EF2E25"/>
    <w:rsid w:val="00EF7DE1"/>
    <w:rsid w:val="00F00A3F"/>
    <w:rsid w:val="00F37A50"/>
    <w:rsid w:val="00F41423"/>
    <w:rsid w:val="00F71CB8"/>
    <w:rsid w:val="00F8166F"/>
    <w:rsid w:val="00FD7635"/>
    <w:rsid w:val="0131523E"/>
    <w:rsid w:val="018502B5"/>
    <w:rsid w:val="04F038CD"/>
    <w:rsid w:val="051D4572"/>
    <w:rsid w:val="0666580E"/>
    <w:rsid w:val="06773667"/>
    <w:rsid w:val="06EC79C8"/>
    <w:rsid w:val="07616D2B"/>
    <w:rsid w:val="077B3E8E"/>
    <w:rsid w:val="0B906705"/>
    <w:rsid w:val="0C4E6A2F"/>
    <w:rsid w:val="0F9806ED"/>
    <w:rsid w:val="101050C0"/>
    <w:rsid w:val="13F207F8"/>
    <w:rsid w:val="1862753A"/>
    <w:rsid w:val="19FF783D"/>
    <w:rsid w:val="1A441CBC"/>
    <w:rsid w:val="1BF00CA6"/>
    <w:rsid w:val="1C8A3F71"/>
    <w:rsid w:val="1C8E5869"/>
    <w:rsid w:val="1E5F66D8"/>
    <w:rsid w:val="20271EFA"/>
    <w:rsid w:val="20663E28"/>
    <w:rsid w:val="23743AB1"/>
    <w:rsid w:val="249D60D3"/>
    <w:rsid w:val="2C335F5A"/>
    <w:rsid w:val="2C787D08"/>
    <w:rsid w:val="2EAF7163"/>
    <w:rsid w:val="2F545306"/>
    <w:rsid w:val="320E4E29"/>
    <w:rsid w:val="329C583E"/>
    <w:rsid w:val="32CE2F7C"/>
    <w:rsid w:val="34BC7C80"/>
    <w:rsid w:val="34CA0DF3"/>
    <w:rsid w:val="38D05A47"/>
    <w:rsid w:val="39C45B9C"/>
    <w:rsid w:val="3C247AA6"/>
    <w:rsid w:val="3D657648"/>
    <w:rsid w:val="3DDE6D18"/>
    <w:rsid w:val="41751E80"/>
    <w:rsid w:val="43B44DEF"/>
    <w:rsid w:val="43B55A3F"/>
    <w:rsid w:val="48B4716F"/>
    <w:rsid w:val="4F813436"/>
    <w:rsid w:val="4FA87738"/>
    <w:rsid w:val="50221084"/>
    <w:rsid w:val="507F11F7"/>
    <w:rsid w:val="510435F6"/>
    <w:rsid w:val="532F074A"/>
    <w:rsid w:val="540A60C7"/>
    <w:rsid w:val="55F472C7"/>
    <w:rsid w:val="55F722A8"/>
    <w:rsid w:val="575854B2"/>
    <w:rsid w:val="597806CF"/>
    <w:rsid w:val="59FE12F9"/>
    <w:rsid w:val="5A653CB7"/>
    <w:rsid w:val="5CCC33C2"/>
    <w:rsid w:val="5D0E5118"/>
    <w:rsid w:val="5E0C39FB"/>
    <w:rsid w:val="5F775C2F"/>
    <w:rsid w:val="6112492B"/>
    <w:rsid w:val="64421B4B"/>
    <w:rsid w:val="650E0E71"/>
    <w:rsid w:val="6558014F"/>
    <w:rsid w:val="6620498E"/>
    <w:rsid w:val="681A7B2C"/>
    <w:rsid w:val="6BE56940"/>
    <w:rsid w:val="6E9808C4"/>
    <w:rsid w:val="6F8B7955"/>
    <w:rsid w:val="6FA67432"/>
    <w:rsid w:val="72250AE2"/>
    <w:rsid w:val="74190F8D"/>
    <w:rsid w:val="77B62653"/>
    <w:rsid w:val="7BD95A88"/>
    <w:rsid w:val="7CC11CF8"/>
    <w:rsid w:val="7CC63BD2"/>
    <w:rsid w:val="7D121F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表格文字"/>
    <w:basedOn w:val="3"/>
    <w:qFormat/>
    <w:uiPriority w:val="0"/>
    <w:pPr>
      <w:spacing w:before="25" w:after="25" w:line="300" w:lineRule="auto"/>
    </w:pPr>
    <w:rPr>
      <w:rFonts w:ascii="Times" w:hAnsi="Times"/>
      <w:spacing w:val="10"/>
    </w:rPr>
  </w:style>
  <w:style w:type="paragraph" w:customStyle="1" w:styleId="3">
    <w:name w:val="正文_0_0"/>
    <w:next w:val="2"/>
    <w:qFormat/>
    <w:uiPriority w:val="0"/>
    <w:pPr>
      <w:widowControl w:val="0"/>
      <w:jc w:val="both"/>
    </w:pPr>
    <w:rPr>
      <w:rFonts w:ascii="宋体" w:hAnsi="Times New Roman" w:eastAsia="宋体" w:cs="Times New Roman"/>
      <w:sz w:val="24"/>
      <w:lang w:val="en-US" w:eastAsia="zh-CN" w:bidi="ar-SA"/>
    </w:rPr>
  </w:style>
  <w:style w:type="paragraph" w:styleId="4">
    <w:name w:val="annotation text"/>
    <w:basedOn w:val="1"/>
    <w:qFormat/>
    <w:uiPriority w:val="0"/>
    <w:pPr>
      <w:jc w:val="left"/>
    </w:pPr>
  </w:style>
  <w:style w:type="paragraph" w:styleId="5">
    <w:name w:val="Body Text"/>
    <w:basedOn w:val="1"/>
    <w:unhideWhenUsed/>
    <w:qFormat/>
    <w:uiPriority w:val="0"/>
    <w:pPr>
      <w:widowControl/>
      <w:kinsoku w:val="0"/>
      <w:autoSpaceDE w:val="0"/>
      <w:autoSpaceDN w:val="0"/>
      <w:adjustRightInd w:val="0"/>
      <w:snapToGrid w:val="0"/>
      <w:spacing w:after="120"/>
      <w:jc w:val="left"/>
      <w:textAlignment w:val="baseline"/>
    </w:pPr>
    <w:rPr>
      <w:rFonts w:ascii="Arial" w:hAnsi="Arial" w:eastAsia="Arial"/>
      <w:snapToGrid w:val="0"/>
      <w:color w:val="000000"/>
      <w:kern w:val="0"/>
      <w:szCs w:val="21"/>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 w:type="character" w:customStyle="1" w:styleId="15">
    <w:name w:val=" Char Char"/>
    <w:basedOn w:val="11"/>
    <w:link w:val="6"/>
    <w:qFormat/>
    <w:uiPriority w:val="0"/>
    <w:rPr>
      <w:kern w:val="2"/>
      <w:sz w:val="18"/>
      <w:szCs w:val="18"/>
    </w:rPr>
  </w:style>
  <w:style w:type="character" w:customStyle="1" w:styleId="16">
    <w:name w:val="Char Char"/>
    <w:basedOn w:val="11"/>
    <w:qFormat/>
    <w:locked/>
    <w:uiPriority w:val="0"/>
    <w:rPr>
      <w:rFonts w:ascii="宋体" w:hAnsi="宋体"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105;&#30340;&#25991;&#26723;\&#26700;&#38754;\doc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475e5a37-c3f7-43e0-b2c6-9b993a7a2423</errorID>
      <errorWord>、</errorWord>
      <group>L1_Grammar</group>
      <groupName>语法问题</groupName>
      <ability>L2_Grammar</ability>
      <abilityName>语法错误</abilityName>
      <candidateList>
        <item>，还有</item>
      </candidateList>
      <explain/>
      <paraID>288042F9</paraID>
      <start>152</start>
      <end>153</end>
      <status>unmodified</status>
      <modifiedWord/>
      <trackRevisions>false</trackRevisions>
    </reviewItem>
    <reviewItem>
      <errorID>6f8b892a-3343-41bf-8ad1-306a53d1a8f2</errorID>
      <errorWord>国家档案</errorWord>
      <group>L1_Word</group>
      <groupName>字词问题</groupName>
      <ability>L2_Typo</ability>
      <abilityName>字词错误</abilityName>
      <candidateList>
        <item>国家档案局</item>
      </candidateList>
      <explain/>
      <paraID>51075870</paraID>
      <start>165</start>
      <end>169</end>
      <status>unmodified</status>
      <modifiedWord/>
      <trackRevisions>false</trackRevisions>
    </reviewItem>
    <reviewItem>
      <errorID>9d6b2592-42c9-4409-b954-d406043fb5c3</errorID>
      <errorWord>超</errorWord>
      <group>L1_Word</group>
      <groupName>字词问题</groupName>
      <ability>L2_Typo</ability>
      <abilityName>字词错误</abilityName>
      <candidateList>
        <item>超过</item>
      </candidateList>
      <explain/>
      <paraID>6D8F7456</paraID>
      <start>8</start>
      <end>9</end>
      <status>unmodified</status>
      <modifiedWord/>
      <trackRevisions>false</trackRevisions>
    </reviewItem>
    <reviewItem>
      <errorID>a6eef5da-9306-40e0-b11a-248b4178cd62</errorID>
      <errorWord>超过3000元的物资或服务需要进行三家以上</errorWord>
      <group>L1_Grammar</group>
      <groupName>语法问题</groupName>
      <ability>L2_Grammar</ability>
      <abilityName>语法错误</abilityName>
      <candidateList>
        <item>超过3000元的物资或服务需要进行三家</item>
      </candidateList>
      <explain/>
      <paraID>6D8F7456</paraID>
      <start>17</start>
      <end>59</end>
      <status>unmodified</status>
      <modifiedWord/>
      <trackRevisions>false</trackRevisions>
    </reviewItem>
    <reviewItem>
      <errorID>494ee1a6-106b-4bc0-baaf-18460d92a6b9</errorID>
      <errorWord>、购买服务</errorWord>
      <group>L1_Grammar</group>
      <groupName>语法问题</groupName>
      <ability>L2_Grammar</ability>
      <abilityName>语法错误</abilityName>
      <candidateList>
        <item>购买和服务采购</item>
      </candidateList>
      <explain/>
      <paraID>1F616E5C</paraID>
      <start>7</start>
      <end>12</end>
      <status>unmodified</status>
      <modifiedWord/>
      <trackRevisions>false</trackRevisions>
    </reviewItem>
    <reviewItem>
      <errorID>b1de8e67-832b-462a-9d70-11da4ab4df23</errorID>
      <errorWord>强</errorWord>
      <group>L1_Word</group>
      <groupName>字词问题</groupName>
      <ability>L2_Typo</ability>
      <abilityName>字词错误</abilityName>
      <candidateList>
        <item>强对</item>
      </candidateList>
      <explain/>
      <paraID>4443C8F3</paraID>
      <start>72</start>
      <end>73</end>
      <status>unmodified</status>
      <modifiedWord/>
      <trackRevisions>false</trackRevisions>
    </reviewItem>
    <reviewItem>
      <errorID>914eb4f3-d7fa-433d-a8e4-0ffbe486f444</errorID>
      <errorWord>善</errorWord>
      <group>L1_Word</group>
      <groupName>字词问题</groupName>
      <ability>L2_Typo</ability>
      <abilityName>字词错误</abilityName>
      <candidateList>
        <item>善和</item>
      </candidateList>
      <explain/>
      <paraID>4BC20232</paraID>
      <start>76</start>
      <end>77</end>
      <status>unmodified</status>
      <modifiedWord/>
      <trackRevisions>false</trackRevisions>
    </reviewItem>
    <reviewItem>
      <errorID>90315cf4-fc87-4fc7-a817-f64a0a64c718</errorID>
      <errorWord>应按</errorWord>
      <group>L1_Word</group>
      <groupName>字词问题</groupName>
      <ability>L2_Typo</ability>
      <abilityName>字词错误</abilityName>
      <candidateList>
        <item>应</item>
      </candidateList>
      <explain/>
      <paraID>1A4CBD40</paraID>
      <start>94</start>
      <end>96</end>
      <status>unmodified</status>
      <modifiedWord/>
      <trackRevisions>false</trackRevisions>
    </reviewItem>
    <reviewItem>
      <errorID>764f2249-e908-4521-b6e9-dfc60f203507</errorID>
      <errorWord>和</errorWord>
      <group>L1_Grammar</group>
      <groupName>语法问题</groupName>
      <ability>L2_Grammar</ability>
      <abilityName>语法错误</abilityName>
      <candidateList>
        <item>，以及</item>
      </candidateList>
      <explain/>
      <paraID>1A4CBD40</paraID>
      <start>107</start>
      <end>108</end>
      <status>unmodified</status>
      <modifiedWord/>
      <trackRevisions>false</trackRevisions>
    </reviewItem>
    <reviewItem>
      <errorID>0fba0d6f-6cde-467b-ab95-281b9a030d53</errorID>
      <errorWord>次数</errorWord>
      <group>L1_Punc</group>
      <groupName>标点问题</groupName>
      <ability>L2_Punc</ability>
      <abilityName>标点符号检查</abilityName>
      <candidateList>
        <item>、次数</item>
      </candidateList>
      <explain/>
      <paraID>1A4CBD40</paraID>
      <start>121</start>
      <end>123</end>
      <status>unmodified</status>
      <modifiedWord/>
      <trackRevisions>false</trackRevisions>
    </reviewItem>
    <reviewItem>
      <errorID>fe539a3c-4e69-4067-be96-f8be3d4bc5a4</errorID>
      <errorWord>设计</errorWord>
      <group>L1_Word</group>
      <groupName>字词问题</groupName>
      <ability>L2_Typo</ability>
      <abilityName>字词错误</abilityName>
      <candidateList>
        <item>时</item>
      </candidateList>
      <explain/>
      <paraID>4CAF15A9</paraID>
      <start>49</start>
      <end>51</end>
      <status>unmodified</status>
      <modifiedWord/>
      <trackRevisions>false</trackRevisions>
    </reviewItem>
    <reviewItem>
      <errorID>d4f873cf-687c-4854-8568-eb35950404d0</errorID>
      <errorWord>签订</errorWord>
      <group>L1_Word</group>
      <groupName>字词问题</groupName>
      <ability>L2_Typo</ability>
      <abilityName>字词错误</abilityName>
      <candidateList>
        <item>与签订</item>
      </candidateList>
      <explain/>
      <paraID>715D2BDF</paraID>
      <start>12</start>
      <end>14</end>
      <status>unmodified</status>
      <modifiedWord/>
      <trackRevisions>false</trackRevisions>
    </reviewItem>
    <reviewItem>
      <errorID>85fb199c-6bfb-4af6-8f8d-ea3813146158</errorID>
      <errorWord>，且投入于</errorWord>
      <group>L1_Grammar</group>
      <groupName>语法问题</groupName>
      <ability>L2_Grammar</ability>
      <abilityName>语法错误</abilityName>
      <candidateList>
        <item>签订协议，投入</item>
      </candidateList>
      <explain/>
      <paraID>715D2BDF</paraID>
      <start>23</start>
      <end>28</end>
      <status>unmodified</status>
      <modifiedWord/>
      <trackRevisions>false</trackRevisions>
    </reviewItem>
    <reviewItem>
      <errorID>4379c688-5451-40b8-8b6d-ace269014b55</errorID>
      <errorWord>摊分</errorWord>
      <group>L1_Word</group>
      <groupName>字词问题</groupName>
      <ability>L2_Typo</ability>
      <abilityName>字词错误</abilityName>
      <candidateList>
        <item>分摊</item>
      </candidateList>
      <explain/>
      <paraID>59DBC937</paraID>
      <start>71</start>
      <end>73</end>
      <status>unmodified</status>
      <modifiedWord/>
      <trackRevisions>false</trackRevisions>
    </reviewItem>
    <reviewItem>
      <errorID>a549f7c3-f162-42e9-81a2-d4b0001bb49c</errorID>
      <errorWord>执行的</errorWord>
      <group>L1_Word</group>
      <groupName>字词问题</groupName>
      <ability>L2_Typo</ability>
      <abilityName>字词错误</abilityName>
      <candidateList>
        <item>执行</item>
      </candidateList>
      <explain/>
      <paraID> CB6D71E</paraID>
      <start>6</start>
      <end>9</end>
      <status>unmodified</status>
      <modifiedWord/>
      <trackRevisions>false</trackRevisions>
    </reviewItem>
    <reviewItem>
      <errorID>8f90c634-97c5-4eba-8393-fadd8ebf1c13</errorID>
      <errorWord>给予</errorWord>
      <group>L1_Word</group>
      <groupName>字词问题</groupName>
      <ability>L2_Typo</ability>
      <abilityName>字词错误</abilityName>
      <candidateList>
        <item>给与</item>
      </candidateList>
      <explain/>
      <paraID>6EAAE5CE</paraID>
      <start>66</start>
      <end>68</end>
      <status>unmodified</status>
      <modifiedWord/>
      <trackRevisions>false</trackRevisions>
    </reviewItem>
    <reviewItem>
      <errorID>6c6a8fa9-95c3-4e44-ada0-e57a6efebccc</errorID>
      <errorWord>强</errorWord>
      <group>L1_Word</group>
      <groupName>字词问题</groupName>
      <ability>L2_Typo</ability>
      <abilityName>字词错误</abilityName>
      <candidateList>
        <item>强对</item>
      </candidateList>
      <explain/>
      <paraID>6EAAE5CE</paraID>
      <start>116</start>
      <end>117</end>
      <status>unmodified</status>
      <modifiedWord/>
      <trackRevisions>false</trackRevisions>
    </reviewItem>
    <reviewItem>
      <errorID>8b073408-5097-46aa-9ae4-ddd031a0c79d</errorID>
      <errorWord>收入支出</errorWord>
      <group>L1_Grammar</group>
      <groupName>语法问题</groupName>
      <ability>L2_Grammar</ability>
      <abilityName>语法错误</abilityName>
      <candidateList>
        <item>的收入、支出</item>
      </candidateList>
      <explain/>
      <paraID>21598A57</paraID>
      <start>26</start>
      <end>36</end>
      <status>modified</status>
      <modifiedWord>的收入、支出</modifiedWord>
      <trackRevisions>true</trackRevisions>
    </reviewItem>
    <reviewItem>
      <errorID>34d4e214-8193-46e5-bcf9-a384becab91e</errorID>
      <errorWord>严格</errorWord>
      <group>L1_Word</group>
      <groupName>字词问题</groupName>
      <ability>L2_Typo</ability>
      <abilityName>字词错误</abilityName>
      <candidateList>
        <item>应严格</item>
      </candidateList>
      <explain/>
      <paraID>7B7D449B</paraID>
      <start>4</start>
      <end>6</end>
      <status>unmodified</status>
      <modifiedWord/>
      <trackRevisions>false</trackRevisions>
    </reviewItem>
    <reviewItem>
      <errorID>c23d974d-7143-4537-a050-0956d64e47b5</errorID>
      <errorWord>所规定</errorWord>
      <group>L1_Word</group>
      <groupName>字词问题</groupName>
      <ability>L2_Typo</ability>
      <abilityName>字词错误</abilityName>
      <candidateList>
        <item>规定的</item>
      </candidateList>
      <explain/>
      <paraID>7B7D449B</paraID>
      <start>54</start>
      <end>57</end>
      <status>unmodified</status>
      <modifiedWord/>
      <trackRevisions>false</trackRevisions>
    </reviewItem>
    <reviewItem>
      <errorID>069abf18-9570-44f2-819a-0f5e0a1cc0ee</errorID>
      <errorWord>）的相关资料</errorWord>
      <group>L1_Grammar</group>
      <groupName>语法问题</groupName>
      <ability>L2_Grammar</ability>
      <abilityName>语法错误</abilityName>
      <candidateList>
        <item>）</item>
      </candidateList>
      <explain/>
      <paraID>3B555009</paraID>
      <start>64</start>
      <end>70</end>
      <status>unmodified</status>
      <modifiedWord/>
      <trackRevisions>false</trackRevisions>
    </reviewItem>
    <reviewItem>
      <errorID>063b440c-2449-4729-8a30-25005d696cb5</errorID>
      <errorWord>超</errorWord>
      <group>L1_Word</group>
      <groupName>字词问题</groupName>
      <ability>L2_Typo</ability>
      <abilityName>字词错误</abilityName>
      <candidateList>
        <item>超过</item>
      </candidateList>
      <explain/>
      <paraID>28ABF340</paraID>
      <start>66</start>
      <end>67</end>
      <status>unmodified</status>
      <modifiedWord/>
      <trackRevisions>false</trackRevisions>
    </reviewItem>
    <reviewItem>
      <errorID>91970177-f568-4fe8-b603-3325d0dbceed</errorID>
      <errorWord>、</errorWord>
      <group>L1_Grammar</group>
      <groupName>语法问题</groupName>
      <ability>L2_Grammar</ability>
      <abilityName>语法错误</abilityName>
      <candidateList>
        <item>，以及</item>
      </candidateList>
      <explain/>
      <paraID>1AEFF26C</paraID>
      <start>39</start>
      <end>40</end>
      <status>unmodified</status>
      <modifiedWord/>
      <trackRevisions>false</trackRevisions>
    </reviewItem>
    <reviewItem>
      <errorID>a89753b2-d196-4757-bbfa-581bd55e0c57</errorID>
      <errorWord>作为</errorWord>
      <group>L1_Word</group>
      <groupName>字词问题</groupName>
      <ability>L2_Typo</ability>
      <abilityName>字词错误</abilityName>
      <candidateList>
        <item>但作为</item>
      </candidateList>
      <explain/>
      <paraID>2B84D759</paraID>
      <start>32</start>
      <end>34</end>
      <status>unmodified</status>
      <modifiedWord/>
      <trackRevisions>false</trackRevisions>
    </reviewItem>
    <reviewItem>
      <errorID>bfa2ff20-91c0-4c87-ab05-e2157eae65c4</errorID>
      <errorWord>体</errorWord>
      <group>L1_Word</group>
      <groupName>字词问题</groupName>
      <ability>L2_Typo</ability>
      <abilityName>字词错误</abilityName>
      <candidateList>
        <item>体上</item>
      </candidateList>
      <explain/>
      <paraID>3717F201</paraID>
      <start>101</start>
      <end>104</end>
      <status>modified</status>
      <modifiedWord>体上</modifiedWord>
      <trackRevisions>true</trackRevisions>
    </reviewItem>
  </reviewItems>
  <config/>
</contractReview>
</file>

<file path=customXml/itemProps1.xml><?xml version="1.0" encoding="utf-8"?>
<ds:datastoreItem xmlns:ds="http://schemas.openxmlformats.org/officeDocument/2006/customXml" ds:itemID="{5f681d4d-f2a8-4e1c-924f-1a4bdb7855a5}">
  <ds:schemaRefs/>
</ds:datastoreItem>
</file>

<file path=docProps/app.xml><?xml version="1.0" encoding="utf-8"?>
<Properties xmlns="http://schemas.openxmlformats.org/officeDocument/2006/extended-properties" xmlns:vt="http://schemas.openxmlformats.org/officeDocument/2006/docPropsVTypes">
  <Template>doc1</Template>
  <Company>hpmzj</Company>
  <Pages>13</Pages>
  <Words>7068</Words>
  <Characters>7164</Characters>
  <Lines>113</Lines>
  <Paragraphs>31</Paragraphs>
  <TotalTime>6</TotalTime>
  <ScaleCrop>false</ScaleCrop>
  <LinksUpToDate>false</LinksUpToDate>
  <CharactersWithSpaces>7169</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2024-01-30T01:35:00Z</dcterms:created>
  <dc:creator>mzj</dc:creator>
  <cp:lastModifiedBy>Administrator</cp:lastModifiedBy>
  <dcterms:modified xsi:type="dcterms:W3CDTF">2026-04-07T06:08:38Z</dcterms:modified>
  <dc:title>广州市黄埔区民政局办公室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eyJoZGlkIjoiM2EwM2IzMmVkMzRmY2VkOTFiMGQ0YTVhNjlhYTUzNTgiLCJ1c2VySWQiOiIxMDQxNDExNDA4In0=</vt:lpwstr>
  </property>
  <property fmtid="{D5CDD505-2E9C-101B-9397-08002B2CF9AE}" pid="3" name="KSOProductBuildVer">
    <vt:lpwstr>2052-11.8.2.12118</vt:lpwstr>
  </property>
  <property fmtid="{D5CDD505-2E9C-101B-9397-08002B2CF9AE}" pid="4" name="ICV">
    <vt:lpwstr>0E138C6BBADA49EFA4A2BBB80395B424_13</vt:lpwstr>
  </property>
</Properties>
</file>