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640427">
      <w:pPr>
        <w:spacing w:line="56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4BB26F1D">
      <w:pPr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shd w:val="clear" w:color="auto" w:fill="auto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shd w:val="clear" w:color="auto" w:fill="auto"/>
        </w:rPr>
        <w:t>石滩镇严重精神障碍患者监护责任补偿</w:t>
      </w:r>
    </w:p>
    <w:p w14:paraId="42AD718A">
      <w:pPr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shd w:val="clear" w:color="auto" w:fill="auto"/>
        </w:rPr>
        <w:t>保险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shd w:val="clear" w:color="auto" w:fill="auto"/>
          <w:lang w:val="en-US" w:eastAsia="zh-CN"/>
        </w:rPr>
        <w:t>服务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sz w:val="44"/>
          <w:szCs w:val="44"/>
          <w:shd w:val="clear" w:color="auto" w:fill="auto"/>
          <w:lang w:val="en-US" w:eastAsia="zh-CN"/>
        </w:rPr>
        <w:t>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综合评分表</w:t>
      </w:r>
    </w:p>
    <w:p w14:paraId="634E8B4B">
      <w:pPr>
        <w:spacing w:line="280" w:lineRule="exact"/>
        <w:ind w:firstLine="0" w:firstLineChars="0"/>
        <w:jc w:val="center"/>
        <w:rPr>
          <w:rFonts w:hint="default" w:ascii="仿宋" w:hAnsi="仿宋" w:eastAsia="仿宋" w:cs="仿宋"/>
          <w:sz w:val="44"/>
          <w:szCs w:val="44"/>
          <w:lang w:val="en-US" w:eastAsia="zh-CN"/>
        </w:rPr>
      </w:pPr>
    </w:p>
    <w:p w14:paraId="075E8B01">
      <w:pPr>
        <w:pStyle w:val="2"/>
        <w:ind w:firstLine="0" w:firstLineChars="0"/>
        <w:jc w:val="left"/>
        <w:rPr>
          <w:rFonts w:hint="default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供应商名称：                     最终评分：</w:t>
      </w:r>
    </w:p>
    <w:tbl>
      <w:tblPr>
        <w:tblStyle w:val="9"/>
        <w:tblW w:w="829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1110"/>
        <w:gridCol w:w="4390"/>
        <w:gridCol w:w="935"/>
        <w:gridCol w:w="1327"/>
      </w:tblGrid>
      <w:tr w14:paraId="570D3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B3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rFonts w:hint="eastAsia"/>
                <w:sz w:val="24"/>
                <w:szCs w:val="24"/>
                <w:lang w:val="en-US" w:eastAsia="zh-CN" w:bidi="ar"/>
              </w:rPr>
              <w:t>分值</w:t>
            </w:r>
          </w:p>
        </w:tc>
        <w:tc>
          <w:tcPr>
            <w:tcW w:w="5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4D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z w:val="24"/>
                <w:szCs w:val="24"/>
                <w:lang w:val="en-US" w:eastAsia="zh-CN" w:bidi="ar"/>
              </w:rPr>
              <w:t xml:space="preserve">评  </w:t>
            </w:r>
            <w:r>
              <w:rPr>
                <w:rStyle w:val="12"/>
                <w:rFonts w:hint="eastAsia"/>
                <w:sz w:val="24"/>
                <w:szCs w:val="24"/>
                <w:lang w:val="en-US" w:eastAsia="zh-CN" w:bidi="ar"/>
              </w:rPr>
              <w:t xml:space="preserve">  分</w:t>
            </w:r>
            <w:r>
              <w:rPr>
                <w:rStyle w:val="12"/>
                <w:sz w:val="24"/>
                <w:szCs w:val="24"/>
                <w:lang w:val="en-US" w:eastAsia="zh-CN" w:bidi="ar"/>
              </w:rPr>
              <w:t xml:space="preserve">    内   容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78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z w:val="24"/>
                <w:szCs w:val="24"/>
                <w:lang w:val="en-US" w:eastAsia="zh-CN" w:bidi="ar"/>
              </w:rPr>
              <w:t>评分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57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2"/>
                <w:rFonts w:hint="default"/>
                <w:sz w:val="24"/>
                <w:szCs w:val="24"/>
                <w:lang w:val="en-US" w:eastAsia="zh-CN" w:bidi="ar"/>
              </w:rPr>
            </w:pPr>
            <w:r>
              <w:rPr>
                <w:rStyle w:val="12"/>
                <w:rFonts w:hint="eastAsia"/>
                <w:sz w:val="24"/>
                <w:szCs w:val="24"/>
                <w:lang w:val="en-US" w:eastAsia="zh-CN" w:bidi="ar"/>
              </w:rPr>
              <w:t>扣分理由</w:t>
            </w:r>
          </w:p>
        </w:tc>
      </w:tr>
      <w:tr w14:paraId="1307AD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5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6CDC8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20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51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</w:rPr>
              <w:t>承保服务</w:t>
            </w:r>
            <w:r>
              <w:rPr>
                <w:rFonts w:hint="eastAsia" w:ascii="宋体" w:hAnsi="宋体" w:eastAsia="宋体" w:cs="宋体"/>
                <w:spacing w:val="5"/>
                <w:lang w:val="en-US" w:eastAsia="zh-CN"/>
              </w:rPr>
              <w:t>方</w:t>
            </w:r>
            <w:r>
              <w:rPr>
                <w:rFonts w:hint="eastAsia" w:ascii="宋体" w:hAnsi="宋体" w:eastAsia="宋体" w:cs="宋体"/>
                <w:spacing w:val="5"/>
              </w:rPr>
              <w:t>案</w:t>
            </w:r>
          </w:p>
        </w:tc>
        <w:tc>
          <w:tcPr>
            <w:tcW w:w="4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B321C">
            <w:pPr>
              <w:widowControl/>
              <w:numPr>
                <w:ilvl w:val="-1"/>
                <w:numId w:val="0"/>
              </w:numPr>
              <w:ind w:leftChars="0" w:firstLine="216" w:firstLineChars="100"/>
              <w:jc w:val="left"/>
              <w:textAlignment w:val="center"/>
              <w:rPr>
                <w:rStyle w:val="12"/>
                <w:rFonts w:hint="eastAsia" w:ascii="宋体" w:hAnsi="宋体" w:eastAsia="宋体" w:cs="宋体"/>
                <w:color w:val="auto"/>
                <w:spacing w:val="3"/>
                <w:sz w:val="21"/>
                <w:szCs w:val="21"/>
                <w:lang w:bidi="ar"/>
              </w:rPr>
            </w:pPr>
            <w:r>
              <w:rPr>
                <w:rStyle w:val="12"/>
                <w:rFonts w:hint="eastAsia" w:ascii="宋体" w:hAnsi="宋体" w:eastAsia="宋体" w:cs="宋体"/>
                <w:color w:val="auto"/>
                <w:spacing w:val="3"/>
                <w:sz w:val="21"/>
                <w:szCs w:val="21"/>
                <w:lang w:bidi="ar"/>
              </w:rPr>
              <w:t>根据承保服务方案的内容情况进行评审：</w:t>
            </w:r>
          </w:p>
          <w:p w14:paraId="0D28F4C2">
            <w:pPr>
              <w:widowControl/>
              <w:numPr>
                <w:ilvl w:val="-1"/>
                <w:numId w:val="0"/>
              </w:numPr>
              <w:ind w:left="0" w:leftChars="0" w:firstLine="210" w:firstLineChars="100"/>
              <w:jc w:val="left"/>
              <w:textAlignment w:val="center"/>
              <w:rPr>
                <w:rStyle w:val="12"/>
                <w:rFonts w:hint="eastAsia" w:ascii="宋体" w:hAnsi="宋体" w:eastAsia="宋体" w:cs="宋体"/>
                <w:color w:val="auto"/>
                <w:spacing w:val="3"/>
                <w:sz w:val="21"/>
                <w:szCs w:val="21"/>
                <w:lang w:bidi="ar"/>
              </w:rPr>
            </w:pPr>
            <w:r>
              <w:rPr>
                <w:rStyle w:val="12"/>
                <w:rFonts w:hint="eastAsia" w:eastAsia="宋体"/>
                <w:color w:val="auto"/>
                <w:sz w:val="21"/>
                <w:szCs w:val="21"/>
                <w:lang w:eastAsia="zh-CN" w:bidi="ar"/>
              </w:rPr>
              <w:t>（</w:t>
            </w:r>
            <w:r>
              <w:rPr>
                <w:rStyle w:val="12"/>
                <w:rFonts w:hint="eastAsia" w:eastAsia="宋体"/>
                <w:color w:val="auto"/>
                <w:sz w:val="21"/>
                <w:szCs w:val="21"/>
                <w:lang w:val="en-US" w:eastAsia="zh-CN" w:bidi="ar"/>
              </w:rPr>
              <w:t>1</w:t>
            </w:r>
            <w:r>
              <w:rPr>
                <w:rStyle w:val="12"/>
                <w:rFonts w:hint="eastAsia" w:eastAsia="宋体"/>
                <w:color w:val="auto"/>
                <w:sz w:val="21"/>
                <w:szCs w:val="21"/>
                <w:lang w:eastAsia="zh-CN" w:bidi="ar"/>
              </w:rPr>
              <w:t>）</w:t>
            </w:r>
            <w:r>
              <w:rPr>
                <w:rStyle w:val="12"/>
                <w:rFonts w:hint="eastAsia" w:ascii="宋体" w:hAnsi="宋体" w:eastAsia="宋体" w:cs="宋体"/>
                <w:color w:val="auto"/>
                <w:spacing w:val="3"/>
                <w:sz w:val="21"/>
                <w:szCs w:val="21"/>
                <w:lang w:bidi="ar"/>
              </w:rPr>
              <w:t>承保服务方案非常完整</w:t>
            </w:r>
            <w:r>
              <w:rPr>
                <w:rStyle w:val="12"/>
                <w:rFonts w:hint="eastAsia" w:ascii="宋体" w:hAnsi="宋体" w:eastAsia="宋体" w:cs="宋体"/>
                <w:color w:val="auto"/>
                <w:spacing w:val="3"/>
                <w:sz w:val="21"/>
                <w:szCs w:val="21"/>
                <w:lang w:eastAsia="zh-CN" w:bidi="ar"/>
              </w:rPr>
              <w:t>，</w:t>
            </w:r>
            <w:r>
              <w:rPr>
                <w:rStyle w:val="12"/>
                <w:rFonts w:hint="eastAsia" w:ascii="宋体" w:hAnsi="宋体" w:eastAsia="宋体" w:cs="宋体"/>
                <w:color w:val="auto"/>
                <w:spacing w:val="3"/>
                <w:sz w:val="21"/>
                <w:szCs w:val="21"/>
                <w:lang w:bidi="ar"/>
              </w:rPr>
              <w:t>对本项目的现状、问题、特点、难点及整体服务需求的理解与分析内容非  常详细，有利于项目实施的，完全满足且优于采购需求的，得</w:t>
            </w:r>
            <w:r>
              <w:rPr>
                <w:rStyle w:val="12"/>
                <w:rFonts w:hint="eastAsia" w:eastAsia="宋体"/>
                <w:color w:val="auto"/>
                <w:sz w:val="21"/>
                <w:szCs w:val="21"/>
                <w:lang w:eastAsia="zh-CN" w:bidi="ar"/>
              </w:rPr>
              <w:t>2</w:t>
            </w:r>
            <w:r>
              <w:rPr>
                <w:rStyle w:val="12"/>
                <w:rFonts w:hint="eastAsia" w:eastAsia="宋体"/>
                <w:color w:val="auto"/>
                <w:sz w:val="21"/>
                <w:szCs w:val="21"/>
                <w:lang w:val="en-US" w:eastAsia="zh-CN" w:bidi="ar"/>
              </w:rPr>
              <w:t>0</w:t>
            </w:r>
            <w:r>
              <w:rPr>
                <w:rStyle w:val="12"/>
                <w:rFonts w:hint="eastAsia" w:ascii="宋体" w:hAnsi="宋体" w:eastAsia="宋体" w:cs="宋体"/>
                <w:color w:val="auto"/>
                <w:spacing w:val="3"/>
                <w:sz w:val="21"/>
                <w:szCs w:val="21"/>
                <w:lang w:bidi="ar"/>
              </w:rPr>
              <w:t xml:space="preserve">分； </w:t>
            </w:r>
          </w:p>
          <w:p w14:paraId="599FE687">
            <w:pPr>
              <w:widowControl/>
              <w:numPr>
                <w:ilvl w:val="-1"/>
                <w:numId w:val="0"/>
              </w:numPr>
              <w:ind w:left="0" w:leftChars="0" w:firstLine="210" w:firstLineChars="100"/>
              <w:jc w:val="left"/>
              <w:textAlignment w:val="center"/>
              <w:rPr>
                <w:rStyle w:val="12"/>
                <w:rFonts w:hint="eastAsia" w:ascii="宋体" w:hAnsi="宋体" w:eastAsia="宋体" w:cs="宋体"/>
                <w:color w:val="auto"/>
                <w:spacing w:val="3"/>
                <w:sz w:val="21"/>
                <w:szCs w:val="21"/>
                <w:lang w:bidi="ar"/>
              </w:rPr>
            </w:pPr>
            <w:r>
              <w:rPr>
                <w:rStyle w:val="12"/>
                <w:rFonts w:hint="eastAsia" w:eastAsia="宋体"/>
                <w:color w:val="auto"/>
                <w:sz w:val="21"/>
                <w:szCs w:val="21"/>
                <w:lang w:eastAsia="zh-CN" w:bidi="ar"/>
              </w:rPr>
              <w:t>（</w:t>
            </w:r>
            <w:r>
              <w:rPr>
                <w:rStyle w:val="12"/>
                <w:rFonts w:hint="eastAsia" w:eastAsia="宋体"/>
                <w:color w:val="auto"/>
                <w:sz w:val="21"/>
                <w:szCs w:val="21"/>
                <w:lang w:val="en-US" w:eastAsia="zh-CN" w:bidi="ar"/>
              </w:rPr>
              <w:t>2</w:t>
            </w:r>
            <w:r>
              <w:rPr>
                <w:rStyle w:val="12"/>
                <w:rFonts w:hint="eastAsia" w:eastAsia="宋体"/>
                <w:color w:val="auto"/>
                <w:sz w:val="21"/>
                <w:szCs w:val="21"/>
                <w:lang w:eastAsia="zh-CN" w:bidi="ar"/>
              </w:rPr>
              <w:t>）</w:t>
            </w:r>
            <w:r>
              <w:rPr>
                <w:rStyle w:val="12"/>
                <w:rFonts w:hint="eastAsia" w:ascii="宋体" w:hAnsi="宋体" w:eastAsia="宋体" w:cs="宋体"/>
                <w:color w:val="auto"/>
                <w:spacing w:val="3"/>
                <w:sz w:val="21"/>
                <w:szCs w:val="21"/>
                <w:lang w:bidi="ar"/>
              </w:rPr>
              <w:t>承保服务方案完整，对本项目的现状、问题、特点、难点及整体服务需求的理解与分析内容详细，能确保项目实施的，基本满足采购需求的，得</w:t>
            </w:r>
            <w:r>
              <w:rPr>
                <w:rStyle w:val="12"/>
                <w:rFonts w:hint="eastAsia" w:eastAsia="宋体"/>
                <w:color w:val="auto"/>
                <w:sz w:val="21"/>
                <w:szCs w:val="21"/>
                <w:lang w:eastAsia="zh-CN" w:bidi="ar"/>
              </w:rPr>
              <w:t>1</w:t>
            </w:r>
            <w:r>
              <w:rPr>
                <w:rStyle w:val="12"/>
                <w:rFonts w:hint="eastAsia" w:eastAsia="宋体"/>
                <w:color w:val="auto"/>
                <w:sz w:val="21"/>
                <w:szCs w:val="21"/>
                <w:lang w:val="en-US" w:eastAsia="zh-CN" w:bidi="ar"/>
              </w:rPr>
              <w:t>5</w:t>
            </w:r>
            <w:r>
              <w:rPr>
                <w:rStyle w:val="12"/>
                <w:rFonts w:hint="eastAsia" w:ascii="宋体" w:hAnsi="宋体" w:eastAsia="宋体" w:cs="宋体"/>
                <w:color w:val="auto"/>
                <w:spacing w:val="3"/>
                <w:sz w:val="21"/>
                <w:szCs w:val="21"/>
                <w:lang w:bidi="ar"/>
              </w:rPr>
              <w:t xml:space="preserve">分； </w:t>
            </w:r>
          </w:p>
          <w:p w14:paraId="336B7E85">
            <w:pPr>
              <w:widowControl/>
              <w:numPr>
                <w:ilvl w:val="-1"/>
                <w:numId w:val="0"/>
              </w:numPr>
              <w:ind w:left="0" w:leftChars="0" w:firstLine="210" w:firstLineChars="100"/>
              <w:jc w:val="left"/>
              <w:textAlignment w:val="center"/>
              <w:rPr>
                <w:rStyle w:val="12"/>
                <w:rFonts w:hint="eastAsia" w:ascii="宋体" w:hAnsi="宋体" w:eastAsia="宋体" w:cs="宋体"/>
                <w:color w:val="auto"/>
                <w:spacing w:val="3"/>
                <w:sz w:val="21"/>
                <w:szCs w:val="21"/>
                <w:lang w:bidi="ar"/>
              </w:rPr>
            </w:pPr>
            <w:r>
              <w:rPr>
                <w:rStyle w:val="12"/>
                <w:rFonts w:hint="eastAsia" w:eastAsia="宋体"/>
                <w:color w:val="auto"/>
                <w:sz w:val="21"/>
                <w:szCs w:val="21"/>
                <w:lang w:eastAsia="zh-CN" w:bidi="ar"/>
              </w:rPr>
              <w:t>（</w:t>
            </w:r>
            <w:r>
              <w:rPr>
                <w:rStyle w:val="12"/>
                <w:rFonts w:hint="eastAsia" w:eastAsia="宋体"/>
                <w:color w:val="auto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12"/>
                <w:rFonts w:hint="eastAsia" w:eastAsia="宋体"/>
                <w:color w:val="auto"/>
                <w:sz w:val="21"/>
                <w:szCs w:val="21"/>
                <w:lang w:eastAsia="zh-CN" w:bidi="ar"/>
              </w:rPr>
              <w:t>）</w:t>
            </w:r>
            <w:r>
              <w:rPr>
                <w:rStyle w:val="12"/>
                <w:rFonts w:hint="eastAsia" w:ascii="宋体" w:hAnsi="宋体" w:eastAsia="宋体" w:cs="宋体"/>
                <w:color w:val="auto"/>
                <w:spacing w:val="3"/>
                <w:sz w:val="21"/>
                <w:szCs w:val="21"/>
                <w:lang w:bidi="ar"/>
              </w:rPr>
              <w:t>承保服务方案不完整，对本项目的现状、问题、特点、难点及整体服务需求的理解与分析内容简单，部分满足采购需求，得</w:t>
            </w:r>
            <w:r>
              <w:rPr>
                <w:rStyle w:val="12"/>
                <w:rFonts w:hint="eastAsia" w:ascii="宋体" w:hAnsi="宋体" w:eastAsia="宋体" w:cs="宋体"/>
                <w:color w:val="auto"/>
                <w:spacing w:val="3"/>
                <w:sz w:val="21"/>
                <w:szCs w:val="21"/>
                <w:lang w:val="en-US" w:eastAsia="zh-CN" w:bidi="ar"/>
              </w:rPr>
              <w:t>10</w:t>
            </w:r>
            <w:r>
              <w:rPr>
                <w:rStyle w:val="12"/>
                <w:rFonts w:hint="eastAsia" w:ascii="宋体" w:hAnsi="宋体" w:eastAsia="宋体" w:cs="宋体"/>
                <w:color w:val="auto"/>
                <w:spacing w:val="3"/>
                <w:sz w:val="21"/>
                <w:szCs w:val="21"/>
                <w:lang w:bidi="ar"/>
              </w:rPr>
              <w:t xml:space="preserve">分； </w:t>
            </w:r>
          </w:p>
          <w:p w14:paraId="62B808EF">
            <w:pPr>
              <w:widowControl/>
              <w:numPr>
                <w:ilvl w:val="-1"/>
                <w:numId w:val="0"/>
              </w:numPr>
              <w:ind w:left="0" w:leftChars="0" w:firstLine="216" w:firstLineChars="100"/>
              <w:jc w:val="left"/>
              <w:textAlignment w:val="center"/>
              <w:rPr>
                <w:rStyle w:val="12"/>
                <w:rFonts w:hint="default" w:ascii="宋体" w:hAnsi="宋体" w:eastAsia="宋体" w:cs="宋体"/>
                <w:color w:val="auto"/>
                <w:spacing w:val="3"/>
                <w:sz w:val="21"/>
                <w:szCs w:val="21"/>
                <w:lang w:val="en-US" w:eastAsia="zh-CN" w:bidi="ar"/>
              </w:rPr>
            </w:pPr>
            <w:r>
              <w:rPr>
                <w:rStyle w:val="12"/>
                <w:rFonts w:hint="eastAsia" w:ascii="宋体" w:hAnsi="宋体" w:eastAsia="宋体" w:cs="宋体"/>
                <w:color w:val="auto"/>
                <w:spacing w:val="3"/>
                <w:sz w:val="21"/>
                <w:szCs w:val="21"/>
                <w:lang w:bidi="ar"/>
              </w:rPr>
              <w:t>（4）无提供或承保服务方案不满足采购需求的，得0分。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42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DC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2"/>
                <w:rFonts w:hint="eastAsia"/>
                <w:sz w:val="24"/>
                <w:szCs w:val="24"/>
                <w:lang w:val="en-US" w:eastAsia="zh-CN" w:bidi="ar"/>
              </w:rPr>
            </w:pPr>
          </w:p>
        </w:tc>
      </w:tr>
      <w:tr w14:paraId="230F3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5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E508F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30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FE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spacing w:val="2"/>
              </w:rPr>
              <w:t>理赔服务整体运作流程方案</w:t>
            </w:r>
          </w:p>
        </w:tc>
        <w:tc>
          <w:tcPr>
            <w:tcW w:w="439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F301E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jc w:val="left"/>
              <w:textAlignment w:val="center"/>
              <w:rPr>
                <w:rFonts w:hint="eastAsia" w:ascii="Arial" w:hAnsi="Arial" w:cs="Arial"/>
                <w:color w:val="auto"/>
                <w:szCs w:val="21"/>
                <w:u w:val="none"/>
              </w:rPr>
            </w:pPr>
            <w:r>
              <w:rPr>
                <w:rFonts w:hint="eastAsia" w:ascii="Arial" w:hAnsi="Arial" w:cs="Arial"/>
                <w:color w:val="auto"/>
                <w:szCs w:val="21"/>
                <w:u w:val="none"/>
              </w:rPr>
              <w:t xml:space="preserve">根据理赔服务整体运作流程的内容情况进行评审： </w:t>
            </w:r>
          </w:p>
          <w:p w14:paraId="2BB39C9A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jc w:val="left"/>
              <w:textAlignment w:val="center"/>
              <w:rPr>
                <w:rFonts w:hint="eastAsia" w:ascii="Arial" w:hAnsi="Arial" w:cs="Arial"/>
                <w:color w:val="auto"/>
                <w:szCs w:val="21"/>
                <w:u w:val="none"/>
              </w:rPr>
            </w:pPr>
            <w:r>
              <w:rPr>
                <w:rFonts w:hint="eastAsia" w:ascii="Arial" w:hAnsi="Arial" w:cs="Arial"/>
                <w:color w:val="auto"/>
                <w:szCs w:val="21"/>
                <w:u w:val="none"/>
              </w:rPr>
              <w:t>（1）理赔服务方案完整，内容非常详细，小额案件和特殊案件处理流程及理赔时效高效，</w:t>
            </w:r>
          </w:p>
          <w:p w14:paraId="1755727C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jc w:val="left"/>
              <w:textAlignment w:val="center"/>
              <w:rPr>
                <w:rFonts w:hint="eastAsia" w:ascii="Arial" w:hAnsi="Arial" w:cs="Arial"/>
                <w:color w:val="auto"/>
                <w:szCs w:val="21"/>
                <w:u w:val="none"/>
              </w:rPr>
            </w:pPr>
            <w:r>
              <w:rPr>
                <w:rFonts w:hint="eastAsia" w:ascii="Arial" w:hAnsi="Arial" w:cs="Arial"/>
                <w:color w:val="auto"/>
                <w:szCs w:val="21"/>
                <w:u w:val="none"/>
              </w:rPr>
              <w:t>有利于项目的实施，完全满足且优于采购需求的，得</w:t>
            </w:r>
            <w:r>
              <w:rPr>
                <w:rFonts w:hint="eastAsia" w:ascii="Arial" w:hAnsi="Arial" w:cs="Arial"/>
                <w:color w:val="auto"/>
                <w:szCs w:val="21"/>
                <w:u w:val="none"/>
                <w:lang w:val="en-US" w:eastAsia="zh-CN"/>
              </w:rPr>
              <w:t>30</w:t>
            </w:r>
            <w:r>
              <w:rPr>
                <w:rFonts w:hint="eastAsia" w:ascii="Arial" w:hAnsi="Arial" w:cs="Arial"/>
                <w:color w:val="auto"/>
                <w:szCs w:val="21"/>
                <w:u w:val="none"/>
              </w:rPr>
              <w:t xml:space="preserve">分； </w:t>
            </w:r>
          </w:p>
          <w:p w14:paraId="64937F8B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jc w:val="left"/>
              <w:textAlignment w:val="center"/>
              <w:rPr>
                <w:rFonts w:hint="eastAsia" w:ascii="Arial" w:hAnsi="Arial" w:cs="Arial"/>
                <w:color w:val="auto"/>
                <w:szCs w:val="21"/>
                <w:u w:val="none"/>
              </w:rPr>
            </w:pPr>
            <w:r>
              <w:rPr>
                <w:rFonts w:hint="eastAsia" w:ascii="Arial" w:hAnsi="Arial" w:cs="Arial"/>
                <w:color w:val="auto"/>
                <w:szCs w:val="21"/>
                <w:u w:val="none"/>
              </w:rPr>
              <w:t>（2）理赔服务方案较完整，内容详细，小额案件和特殊案件处理流程及理赔时效合理，</w:t>
            </w:r>
          </w:p>
          <w:p w14:paraId="23DFB9FC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jc w:val="left"/>
              <w:textAlignment w:val="center"/>
              <w:rPr>
                <w:rFonts w:hint="eastAsia" w:ascii="Arial" w:hAnsi="Arial" w:cs="Arial"/>
                <w:color w:val="auto"/>
                <w:szCs w:val="21"/>
                <w:u w:val="none"/>
              </w:rPr>
            </w:pPr>
            <w:r>
              <w:rPr>
                <w:rFonts w:hint="eastAsia" w:ascii="Arial" w:hAnsi="Arial" w:cs="Arial"/>
                <w:color w:val="auto"/>
                <w:szCs w:val="21"/>
                <w:u w:val="none"/>
              </w:rPr>
              <w:t>能确保项目的实施，基本满足采购需求的，得</w:t>
            </w:r>
            <w:r>
              <w:rPr>
                <w:rFonts w:hint="eastAsia" w:ascii="Arial" w:hAnsi="Arial" w:cs="Arial"/>
                <w:color w:val="auto"/>
                <w:szCs w:val="21"/>
                <w:u w:val="none"/>
                <w:lang w:val="en-US" w:eastAsia="zh-CN"/>
              </w:rPr>
              <w:t>20</w:t>
            </w:r>
            <w:r>
              <w:rPr>
                <w:rFonts w:hint="eastAsia" w:ascii="Arial" w:hAnsi="Arial" w:cs="Arial"/>
                <w:color w:val="auto"/>
                <w:szCs w:val="21"/>
                <w:u w:val="none"/>
              </w:rPr>
              <w:t xml:space="preserve">分； </w:t>
            </w:r>
          </w:p>
          <w:p w14:paraId="73D19C14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jc w:val="left"/>
              <w:textAlignment w:val="center"/>
              <w:rPr>
                <w:rFonts w:hint="eastAsia" w:ascii="Arial" w:hAnsi="Arial" w:cs="Arial"/>
                <w:color w:val="auto"/>
                <w:szCs w:val="21"/>
                <w:u w:val="none"/>
              </w:rPr>
            </w:pPr>
            <w:r>
              <w:rPr>
                <w:rFonts w:hint="eastAsia" w:ascii="Arial" w:hAnsi="Arial" w:cs="Arial"/>
                <w:color w:val="auto"/>
                <w:szCs w:val="21"/>
                <w:u w:val="none"/>
                <w:lang w:eastAsia="zh-CN"/>
              </w:rPr>
              <w:t>（</w:t>
            </w:r>
            <w:r>
              <w:rPr>
                <w:rFonts w:hint="eastAsia" w:ascii="Arial" w:hAnsi="Arial" w:cs="Arial"/>
                <w:color w:val="auto"/>
                <w:szCs w:val="21"/>
                <w:u w:val="none"/>
                <w:lang w:val="en-US" w:eastAsia="zh-CN"/>
              </w:rPr>
              <w:t>3</w:t>
            </w:r>
            <w:r>
              <w:rPr>
                <w:rFonts w:hint="eastAsia" w:ascii="Arial" w:hAnsi="Arial" w:cs="Arial"/>
                <w:color w:val="auto"/>
                <w:szCs w:val="21"/>
                <w:u w:val="none"/>
                <w:lang w:eastAsia="zh-CN"/>
              </w:rPr>
              <w:t>）</w:t>
            </w:r>
            <w:r>
              <w:rPr>
                <w:rFonts w:hint="eastAsia" w:ascii="Arial" w:hAnsi="Arial" w:cs="Arial"/>
                <w:color w:val="auto"/>
                <w:szCs w:val="21"/>
                <w:u w:val="none"/>
              </w:rPr>
              <w:t>理赔服务方案不完整，内容简单，小额案件和特殊案件处理流程及理赔时效低下，不能确  保项目的实施，部分满足采购需求的，得</w:t>
            </w:r>
            <w:r>
              <w:rPr>
                <w:rFonts w:hint="eastAsia" w:ascii="Arial" w:hAnsi="Arial" w:cs="Arial"/>
                <w:color w:val="auto"/>
                <w:szCs w:val="21"/>
                <w:u w:val="none"/>
                <w:lang w:val="en-US" w:eastAsia="zh-CN"/>
              </w:rPr>
              <w:t>10</w:t>
            </w:r>
            <w:r>
              <w:rPr>
                <w:rFonts w:hint="eastAsia" w:ascii="Arial" w:hAnsi="Arial" w:cs="Arial"/>
                <w:color w:val="auto"/>
                <w:szCs w:val="21"/>
                <w:u w:val="none"/>
              </w:rPr>
              <w:t xml:space="preserve">分； </w:t>
            </w:r>
          </w:p>
          <w:p w14:paraId="1B09AE0B">
            <w:pPr>
              <w:widowControl/>
              <w:numPr>
                <w:ilvl w:val="-1"/>
                <w:numId w:val="0"/>
              </w:numPr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auto"/>
                <w:szCs w:val="21"/>
                <w:u w:val="none"/>
              </w:rPr>
              <w:t>（4）无提供或理赔服务整体运作流程方案内容不能满足采购需求的，得0分。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0A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2B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2"/>
                <w:rFonts w:hint="eastAsia"/>
                <w:sz w:val="24"/>
                <w:szCs w:val="24"/>
                <w:lang w:val="en-US" w:eastAsia="zh-CN" w:bidi="ar"/>
              </w:rPr>
            </w:pPr>
          </w:p>
        </w:tc>
      </w:tr>
    </w:tbl>
    <w:p w14:paraId="61404B8A">
      <w:p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 w:start="10"/>
          <w:cols w:space="425" w:num="1"/>
          <w:docGrid w:type="lines" w:linePitch="312" w:charSpace="0"/>
        </w:sectPr>
      </w:pPr>
    </w:p>
    <w:tbl>
      <w:tblPr>
        <w:tblStyle w:val="9"/>
        <w:tblW w:w="829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1110"/>
        <w:gridCol w:w="4390"/>
        <w:gridCol w:w="935"/>
        <w:gridCol w:w="1327"/>
      </w:tblGrid>
      <w:tr w14:paraId="25950F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82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70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2"/>
                <w:rFonts w:hint="eastAsia" w:ascii="宋体" w:hAnsi="宋体" w:eastAsia="宋体" w:cs="宋体"/>
                <w:sz w:val="21"/>
                <w:szCs w:val="21"/>
                <w:lang w:bidi="ar"/>
              </w:rPr>
              <w:t>同类项目经验</w:t>
            </w:r>
          </w:p>
        </w:tc>
        <w:tc>
          <w:tcPr>
            <w:tcW w:w="439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17E56">
            <w:pPr>
              <w:keepNext w:val="0"/>
              <w:keepLines w:val="0"/>
              <w:widowControl/>
              <w:suppressLineNumbers w:val="0"/>
              <w:ind w:firstLine="420" w:firstLineChars="20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/>
                <w:highlight w:val="none"/>
                <w:lang w:val="en-US" w:eastAsia="zh-CN"/>
              </w:rPr>
              <w:t>2024</w:t>
            </w:r>
            <w:r>
              <w:rPr>
                <w:rFonts w:hint="eastAsia"/>
                <w:highlight w:val="none"/>
              </w:rPr>
              <w:t>年至今</w:t>
            </w:r>
            <w:r>
              <w:rPr>
                <w:rFonts w:hint="eastAsia"/>
                <w:highlight w:val="none"/>
                <w:lang w:eastAsia="zh-CN"/>
              </w:rPr>
              <w:t>（</w:t>
            </w:r>
            <w:r>
              <w:rPr>
                <w:rFonts w:hint="eastAsia"/>
                <w:highlight w:val="none"/>
              </w:rPr>
              <w:t>时间以</w:t>
            </w:r>
            <w:r>
              <w:rPr>
                <w:rFonts w:hint="eastAsia"/>
                <w:highlight w:val="none"/>
                <w:lang w:eastAsia="zh-CN"/>
              </w:rPr>
              <w:t>协议或</w:t>
            </w:r>
            <w:r>
              <w:rPr>
                <w:rFonts w:hint="eastAsia"/>
                <w:highlight w:val="none"/>
              </w:rPr>
              <w:t>合同签订时间为准</w:t>
            </w:r>
            <w:r>
              <w:rPr>
                <w:rFonts w:hint="eastAsia"/>
                <w:highlight w:val="none"/>
                <w:lang w:eastAsia="zh-CN"/>
              </w:rPr>
              <w:t>）行政事业单位</w:t>
            </w:r>
            <w:r>
              <w:rPr>
                <w:rFonts w:hint="eastAsia"/>
                <w:highlight w:val="none"/>
              </w:rPr>
              <w:t>同类项目经验（同类项目指的是</w:t>
            </w:r>
            <w:r>
              <w:rPr>
                <w:rFonts w:hint="eastAsia"/>
                <w:highlight w:val="none"/>
                <w:lang w:eastAsia="zh-CN"/>
              </w:rPr>
              <w:t>行政事业单位的</w:t>
            </w:r>
            <w:r>
              <w:rPr>
                <w:rFonts w:hint="eastAsia"/>
                <w:highlight w:val="none"/>
              </w:rPr>
              <w:t>医疗、卫生类责任险项目），每参与一项得5分，最多得</w:t>
            </w:r>
            <w:r>
              <w:rPr>
                <w:rFonts w:hint="eastAsia"/>
                <w:highlight w:val="none"/>
                <w:lang w:val="en-US" w:eastAsia="zh-CN"/>
              </w:rPr>
              <w:t>2</w:t>
            </w:r>
            <w:r>
              <w:rPr>
                <w:rFonts w:hint="default"/>
                <w:highlight w:val="none"/>
                <w:lang w:val="en-US"/>
              </w:rPr>
              <w:t>0</w:t>
            </w:r>
            <w:r>
              <w:rPr>
                <w:rFonts w:hint="eastAsia"/>
                <w:highlight w:val="none"/>
              </w:rPr>
              <w:t>分；（备注：</w:t>
            </w:r>
            <w:r>
              <w:rPr>
                <w:rFonts w:hint="eastAsia"/>
                <w:highlight w:val="none"/>
                <w:lang w:val="en-US" w:eastAsia="zh-CN"/>
              </w:rPr>
              <w:t>仅考察投标供应商的业绩经验，若提供总公司或分、子公司的业绩经验均不予认可</w:t>
            </w:r>
            <w:r>
              <w:rPr>
                <w:rFonts w:hint="eastAsia"/>
                <w:highlight w:val="none"/>
              </w:rPr>
              <w:t>），提供业绩</w:t>
            </w:r>
            <w:r>
              <w:rPr>
                <w:rFonts w:hint="eastAsia"/>
                <w:highlight w:val="none"/>
                <w:lang w:eastAsia="zh-CN"/>
              </w:rPr>
              <w:t>协议或</w:t>
            </w:r>
            <w:r>
              <w:rPr>
                <w:rFonts w:hint="eastAsia"/>
                <w:highlight w:val="none"/>
              </w:rPr>
              <w:t>合同复印件</w:t>
            </w:r>
            <w:r>
              <w:rPr>
                <w:rFonts w:hint="eastAsia"/>
                <w:highlight w:val="none"/>
                <w:lang w:eastAsia="zh-CN"/>
              </w:rPr>
              <w:t>。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A51DD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3D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2"/>
                <w:rFonts w:hint="eastAsia"/>
                <w:sz w:val="24"/>
                <w:szCs w:val="24"/>
                <w:lang w:val="en-US" w:eastAsia="zh-CN" w:bidi="ar"/>
              </w:rPr>
            </w:pPr>
          </w:p>
        </w:tc>
      </w:tr>
      <w:tr w14:paraId="1ED0D1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1D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FF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t>核心偿付能力</w:t>
            </w:r>
          </w:p>
        </w:tc>
        <w:tc>
          <w:tcPr>
            <w:tcW w:w="4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F4E2A">
            <w:pPr>
              <w:pStyle w:val="14"/>
              <w:spacing w:before="89" w:line="210" w:lineRule="auto"/>
              <w:rPr>
                <w:rStyle w:val="12"/>
                <w:rFonts w:hint="eastAsia"/>
                <w:sz w:val="21"/>
                <w:szCs w:val="21"/>
                <w:lang w:eastAsia="zh-CN" w:bidi="ar"/>
              </w:rPr>
            </w:pPr>
            <w:r>
              <w:rPr>
                <w:rStyle w:val="12"/>
                <w:rFonts w:hint="eastAsia"/>
                <w:sz w:val="21"/>
                <w:szCs w:val="21"/>
                <w:lang w:eastAsia="zh-CN" w:bidi="ar"/>
              </w:rPr>
              <w:t>（一）评分内容</w:t>
            </w:r>
          </w:p>
          <w:p w14:paraId="03B0E31E">
            <w:pPr>
              <w:pStyle w:val="14"/>
              <w:spacing w:before="89" w:line="210" w:lineRule="auto"/>
              <w:rPr>
                <w:rStyle w:val="12"/>
                <w:rFonts w:hint="eastAsia"/>
                <w:sz w:val="21"/>
                <w:szCs w:val="21"/>
                <w:lang w:eastAsia="zh-CN" w:bidi="ar"/>
              </w:rPr>
            </w:pPr>
            <w:r>
              <w:rPr>
                <w:rStyle w:val="12"/>
                <w:rFonts w:hint="eastAsia"/>
                <w:sz w:val="21"/>
                <w:szCs w:val="21"/>
                <w:lang w:eastAsia="zh-CN" w:bidi="ar"/>
              </w:rPr>
              <w:t>根据中国保险行业协会官网披露的</w:t>
            </w:r>
            <w:r>
              <w:rPr>
                <w:rStyle w:val="12"/>
                <w:rFonts w:hint="eastAsia"/>
                <w:sz w:val="21"/>
                <w:szCs w:val="21"/>
                <w:lang w:val="en-US" w:eastAsia="zh-CN" w:bidi="ar"/>
              </w:rPr>
              <w:t>2025</w:t>
            </w:r>
            <w:r>
              <w:rPr>
                <w:rStyle w:val="12"/>
                <w:rFonts w:hint="eastAsia"/>
                <w:sz w:val="21"/>
                <w:szCs w:val="21"/>
                <w:lang w:eastAsia="zh-CN" w:bidi="ar"/>
              </w:rPr>
              <w:t>年度第四季度核心偿付能力充足率指标进行评分（如投标人为分公司的，则以总公司的核心偿付能力充足率为准）：</w:t>
            </w:r>
          </w:p>
          <w:p w14:paraId="4845DC80">
            <w:pPr>
              <w:pStyle w:val="14"/>
              <w:spacing w:before="89" w:line="210" w:lineRule="auto"/>
              <w:rPr>
                <w:rStyle w:val="12"/>
                <w:rFonts w:hint="eastAsia"/>
                <w:sz w:val="21"/>
                <w:szCs w:val="21"/>
                <w:lang w:eastAsia="zh-CN" w:bidi="ar"/>
              </w:rPr>
            </w:pPr>
            <w:r>
              <w:rPr>
                <w:rStyle w:val="12"/>
                <w:rFonts w:hint="eastAsia"/>
                <w:sz w:val="21"/>
                <w:szCs w:val="21"/>
                <w:lang w:eastAsia="zh-CN" w:bidi="ar"/>
              </w:rPr>
              <w:t>1.核心偿付能力充足率≥200%，得30分；</w:t>
            </w:r>
          </w:p>
          <w:p w14:paraId="2FA7AFEA">
            <w:pPr>
              <w:pStyle w:val="14"/>
              <w:spacing w:before="89" w:line="210" w:lineRule="auto"/>
              <w:rPr>
                <w:rStyle w:val="12"/>
                <w:rFonts w:hint="eastAsia"/>
                <w:sz w:val="21"/>
                <w:szCs w:val="21"/>
                <w:lang w:eastAsia="zh-CN" w:bidi="ar"/>
              </w:rPr>
            </w:pPr>
            <w:r>
              <w:rPr>
                <w:rStyle w:val="12"/>
                <w:rFonts w:hint="eastAsia"/>
                <w:sz w:val="21"/>
                <w:szCs w:val="21"/>
                <w:lang w:eastAsia="zh-CN" w:bidi="ar"/>
              </w:rPr>
              <w:t>2.150%≤核心偿付能力充足率&lt;200%，得20分；</w:t>
            </w:r>
          </w:p>
          <w:p w14:paraId="3D26FEB3">
            <w:pPr>
              <w:pStyle w:val="14"/>
              <w:spacing w:before="89" w:line="210" w:lineRule="auto"/>
              <w:rPr>
                <w:rStyle w:val="12"/>
                <w:rFonts w:hint="eastAsia"/>
                <w:sz w:val="21"/>
                <w:szCs w:val="21"/>
                <w:lang w:eastAsia="zh-CN" w:bidi="ar"/>
              </w:rPr>
            </w:pPr>
            <w:r>
              <w:rPr>
                <w:rStyle w:val="12"/>
                <w:rFonts w:hint="eastAsia"/>
                <w:sz w:val="21"/>
                <w:szCs w:val="21"/>
                <w:lang w:eastAsia="zh-CN" w:bidi="ar"/>
              </w:rPr>
              <w:t>3.100%≤核心偿付能力充足率&lt;150%，得10分；</w:t>
            </w:r>
          </w:p>
          <w:p w14:paraId="79985D21">
            <w:pPr>
              <w:pStyle w:val="14"/>
              <w:spacing w:before="89" w:line="210" w:lineRule="auto"/>
              <w:rPr>
                <w:rStyle w:val="12"/>
                <w:rFonts w:hint="eastAsia"/>
                <w:sz w:val="21"/>
                <w:szCs w:val="21"/>
                <w:lang w:eastAsia="zh-CN" w:bidi="ar"/>
              </w:rPr>
            </w:pPr>
            <w:r>
              <w:rPr>
                <w:rStyle w:val="12"/>
                <w:rFonts w:hint="eastAsia"/>
                <w:sz w:val="21"/>
                <w:szCs w:val="21"/>
                <w:lang w:eastAsia="zh-CN" w:bidi="ar"/>
              </w:rPr>
              <w:t>4.核心偿付能力充足率＜100%，不得分。</w:t>
            </w:r>
          </w:p>
          <w:p w14:paraId="26302DF9">
            <w:pPr>
              <w:pStyle w:val="14"/>
              <w:spacing w:before="89" w:line="210" w:lineRule="auto"/>
              <w:rPr>
                <w:rStyle w:val="12"/>
                <w:rFonts w:hint="eastAsia"/>
                <w:sz w:val="21"/>
                <w:szCs w:val="21"/>
                <w:lang w:eastAsia="zh-CN" w:bidi="ar"/>
              </w:rPr>
            </w:pPr>
            <w:r>
              <w:rPr>
                <w:rStyle w:val="12"/>
                <w:rFonts w:hint="eastAsia"/>
                <w:sz w:val="21"/>
                <w:szCs w:val="21"/>
                <w:lang w:eastAsia="zh-CN" w:bidi="ar"/>
              </w:rPr>
              <w:t>（二）评分依据：</w:t>
            </w:r>
          </w:p>
          <w:p w14:paraId="33EC8829">
            <w:pPr>
              <w:pStyle w:val="14"/>
              <w:spacing w:before="89" w:line="210" w:lineRule="auto"/>
              <w:rPr>
                <w:rStyle w:val="12"/>
                <w:rFonts w:hint="eastAsia"/>
                <w:sz w:val="21"/>
                <w:szCs w:val="21"/>
                <w:lang w:eastAsia="zh-CN" w:bidi="ar"/>
              </w:rPr>
            </w:pPr>
            <w:r>
              <w:rPr>
                <w:rStyle w:val="12"/>
                <w:rFonts w:hint="eastAsia"/>
                <w:sz w:val="21"/>
                <w:szCs w:val="21"/>
                <w:lang w:eastAsia="zh-CN" w:bidi="ar"/>
              </w:rPr>
              <w:t>1.提供中国保险行业协会官网披露的</w:t>
            </w:r>
            <w:r>
              <w:rPr>
                <w:rStyle w:val="12"/>
                <w:rFonts w:hint="eastAsia"/>
                <w:sz w:val="21"/>
                <w:szCs w:val="21"/>
                <w:lang w:val="en-US" w:eastAsia="zh-CN" w:bidi="ar"/>
              </w:rPr>
              <w:t>2025</w:t>
            </w:r>
            <w:r>
              <w:rPr>
                <w:rStyle w:val="12"/>
                <w:rFonts w:hint="eastAsia"/>
                <w:sz w:val="21"/>
                <w:szCs w:val="21"/>
                <w:lang w:eastAsia="zh-CN" w:bidi="ar"/>
              </w:rPr>
              <w:t>年第四季度偿付能力充足率截图。</w:t>
            </w:r>
          </w:p>
          <w:p w14:paraId="5922BD61">
            <w:pPr>
              <w:pStyle w:val="14"/>
              <w:keepNext w:val="0"/>
              <w:keepLines w:val="0"/>
              <w:widowControl/>
              <w:suppressLineNumbers w:val="0"/>
              <w:spacing w:before="89" w:line="210" w:lineRule="auto"/>
              <w:jc w:val="left"/>
              <w:textAlignment w:val="center"/>
              <w:rPr>
                <w:rFonts w:hint="default" w:ascii="Arial" w:hAnsi="Arial" w:cs="Arial" w:eastAsiaTheme="minorEastAsia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Style w:val="12"/>
                <w:rFonts w:hint="eastAsia"/>
                <w:sz w:val="21"/>
                <w:szCs w:val="21"/>
                <w:lang w:eastAsia="zh-CN" w:bidi="ar"/>
              </w:rPr>
              <w:t>2.未按要求提供相关证明材料（或相关证明材料无法判断是否符合评分要求）的不计得分。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0FC32"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Style w:val="1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BDD0D"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Style w:val="12"/>
                <w:sz w:val="24"/>
                <w:szCs w:val="24"/>
                <w:lang w:val="en-US" w:eastAsia="zh-CN" w:bidi="ar"/>
              </w:rPr>
            </w:pPr>
          </w:p>
        </w:tc>
      </w:tr>
    </w:tbl>
    <w:p w14:paraId="0019A4BF">
      <w:pPr>
        <w:jc w:val="left"/>
        <w:rPr>
          <w:rFonts w:hint="eastAsia"/>
          <w:lang w:val="en-US" w:eastAsia="zh-CN"/>
        </w:rPr>
      </w:pPr>
      <w:r>
        <w:rPr>
          <w:rFonts w:hint="eastAsia" w:ascii="Arial" w:hAnsi="Arial" w:cs="Arial" w:eastAsiaTheme="minorEastAsia"/>
          <w:color w:val="000000"/>
          <w:sz w:val="28"/>
          <w:szCs w:val="28"/>
          <w:u w:val="none"/>
          <w:lang w:val="en-US" w:eastAsia="zh-CN"/>
        </w:rPr>
        <w:t xml:space="preserve">评分人：          </w:t>
      </w:r>
      <w:bookmarkStart w:id="0" w:name="_GoBack"/>
      <w:bookmarkEnd w:id="0"/>
      <w:r>
        <w:rPr>
          <w:rFonts w:hint="eastAsia" w:ascii="Arial" w:hAnsi="Arial" w:cs="Arial" w:eastAsiaTheme="minorEastAsia"/>
          <w:color w:val="000000"/>
          <w:sz w:val="28"/>
          <w:szCs w:val="28"/>
          <w:u w:val="none"/>
          <w:lang w:val="en-US" w:eastAsia="zh-CN"/>
        </w:rPr>
        <w:t xml:space="preserve">      </w:t>
      </w:r>
      <w:r>
        <w:rPr>
          <w:rFonts w:hint="eastAsia" w:ascii="Arial" w:hAnsi="Arial" w:cs="Arial"/>
          <w:color w:val="000000"/>
          <w:sz w:val="28"/>
          <w:szCs w:val="28"/>
          <w:u w:val="none"/>
          <w:lang w:val="en-US" w:eastAsia="zh-CN"/>
        </w:rPr>
        <w:t xml:space="preserve">    </w:t>
      </w:r>
      <w:r>
        <w:rPr>
          <w:rFonts w:hint="eastAsia" w:ascii="Arial" w:hAnsi="Arial" w:cs="Arial" w:eastAsiaTheme="minorEastAsia"/>
          <w:color w:val="000000"/>
          <w:sz w:val="28"/>
          <w:szCs w:val="28"/>
          <w:u w:val="none"/>
          <w:lang w:val="en-US" w:eastAsia="zh-CN"/>
        </w:rPr>
        <w:t xml:space="preserve">   评分日期</w:t>
      </w:r>
      <w:r>
        <w:rPr>
          <w:rFonts w:hint="eastAsia" w:ascii="Arial" w:hAnsi="Arial" w:cs="Arial"/>
          <w:color w:val="000000"/>
          <w:sz w:val="28"/>
          <w:szCs w:val="28"/>
          <w:u w:val="none"/>
          <w:lang w:val="en-US" w:eastAsia="zh-CN"/>
        </w:rPr>
        <w:t>：</w:t>
      </w:r>
    </w:p>
    <w:sectPr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2E216C">
    <w:pPr>
      <w:pStyle w:val="4"/>
      <w:spacing w:before="1" w:line="192" w:lineRule="auto"/>
      <w:rPr>
        <w:rFonts w:hint="eastAsia" w:ascii="宋体" w:hAnsi="宋体" w:eastAsia="宋体" w:cs="宋体"/>
        <w:sz w:val="24"/>
        <w:szCs w:val="24"/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17702A">
    <w:pPr>
      <w:pStyle w:val="4"/>
      <w:spacing w:before="1" w:line="192" w:lineRule="auto"/>
      <w:rPr>
        <w:rFonts w:hint="eastAsia" w:ascii="宋体" w:hAnsi="宋体" w:eastAsia="宋体" w:cs="宋体"/>
        <w:sz w:val="24"/>
        <w:szCs w:val="24"/>
        <w:lang w:val="en-US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184F9C"/>
    <w:rsid w:val="0CF602B9"/>
    <w:rsid w:val="1D645EA9"/>
    <w:rsid w:val="2A157C2B"/>
    <w:rsid w:val="350E4253"/>
    <w:rsid w:val="40C00A4B"/>
    <w:rsid w:val="4E830D12"/>
    <w:rsid w:val="5D6967A3"/>
    <w:rsid w:val="756B19C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napToGrid w:val="0"/>
      <w:spacing w:line="560" w:lineRule="exact"/>
      <w:ind w:firstLine="880" w:firstLineChars="200"/>
      <w:outlineLvl w:val="1"/>
    </w:pPr>
    <w:rPr>
      <w:rFonts w:ascii="黑体" w:hAnsi="黑体" w:eastAsia="楷体_GB2312" w:cs="黑体"/>
      <w:b/>
      <w:szCs w:val="44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unhideWhenUsed/>
    <w:qFormat/>
    <w:uiPriority w:val="99"/>
    <w:pPr>
      <w:ind w:firstLine="420" w:firstLineChars="200"/>
    </w:pPr>
  </w:style>
  <w:style w:type="paragraph" w:styleId="4">
    <w:name w:val="Body Text"/>
    <w:basedOn w:val="1"/>
    <w:semiHidden/>
    <w:qFormat/>
    <w:uiPriority w:val="0"/>
    <w:rPr>
      <w:rFonts w:ascii="仿宋" w:hAnsi="仿宋" w:eastAsia="仿宋" w:cs="仿宋"/>
      <w:sz w:val="19"/>
      <w:szCs w:val="19"/>
      <w:lang w:val="en-US" w:eastAsia="en-US" w:bidi="ar-SA"/>
    </w:rPr>
  </w:style>
  <w:style w:type="paragraph" w:styleId="5">
    <w:name w:val="Date"/>
    <w:basedOn w:val="1"/>
    <w:next w:val="1"/>
    <w:qFormat/>
    <w:uiPriority w:val="0"/>
    <w:rPr>
      <w:rFonts w:eastAsia="仿宋_GB2312"/>
      <w:sz w:val="32"/>
      <w:szCs w:val="2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0"/>
    <w:rPr>
      <w:b/>
    </w:rPr>
  </w:style>
  <w:style w:type="character" w:customStyle="1" w:styleId="12">
    <w:name w:val="font21"/>
    <w:basedOn w:val="10"/>
    <w:qFormat/>
    <w:uiPriority w:val="0"/>
    <w:rPr>
      <w:rFonts w:ascii="宋体" w:hAnsi="宋体" w:eastAsia="宋体" w:cs="宋体"/>
      <w:color w:val="000000"/>
      <w:sz w:val="10"/>
      <w:szCs w:val="10"/>
      <w:u w:val="none"/>
    </w:rPr>
  </w:style>
  <w:style w:type="paragraph" w:customStyle="1" w:styleId="13">
    <w:name w:val="正文_0_3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4">
    <w:name w:val="Table Text"/>
    <w:basedOn w:val="1"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  <w:style w:type="table" w:customStyle="1" w:styleId="15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9c145c3e-cc4d-47b4-87e7-280a38c5df4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951</Words>
  <Characters>994</Characters>
  <Lines>0</Lines>
  <Paragraphs>0</Paragraphs>
  <TotalTime>4</TotalTime>
  <ScaleCrop>false</ScaleCrop>
  <LinksUpToDate>false</LinksUpToDate>
  <CharactersWithSpaces>1060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Administrator</dc:creator>
  <cp:lastModifiedBy>蝴蝶</cp:lastModifiedBy>
  <cp:lastPrinted>2025-05-29T20:24:00Z</cp:lastPrinted>
  <dcterms:modified xsi:type="dcterms:W3CDTF">2026-06-11T10:13:15Z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1E6154A4A98C4CC298694A7AFDCE0FDE_13</vt:lpwstr>
  </property>
  <property fmtid="{D5CDD505-2E9C-101B-9397-08002B2CF9AE}" pid="4" name="KSOTemplateDocerSaveRecord">
    <vt:lpwstr>eyJoZGlkIjoiN2MyOWRiZGI4ZTE3NmZkN2UyZDg1MjAxNWU3YzAzMDMiLCJ1c2VySWQiOiI1MjUxMTg1MzcifQ==</vt:lpwstr>
  </property>
</Properties>
</file>