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B804254">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_GB2312" w:hAnsi="仿宋_GB2312" w:eastAsia="仿宋_GB2312" w:cs="仿宋_GB2312"/>
          <w:sz w:val="32"/>
          <w:szCs w:val="32"/>
        </w:rPr>
      </w:pPr>
      <w:r>
        <w:rPr>
          <w:rFonts w:hint="eastAsia"/>
          <w:b/>
          <w:sz w:val="32"/>
          <w:szCs w:val="32"/>
        </w:rPr>
        <mc:AlternateContent>
          <mc:Choice Requires="wps">
            <w:drawing>
              <wp:anchor distT="0" distB="0" distL="114300" distR="114300" simplePos="0" relativeHeight="251663360" behindDoc="0" locked="0" layoutInCell="1" allowOverlap="1">
                <wp:simplePos x="0" y="0"/>
                <wp:positionH relativeFrom="column">
                  <wp:posOffset>-10160</wp:posOffset>
                </wp:positionH>
                <wp:positionV relativeFrom="paragraph">
                  <wp:posOffset>8110220</wp:posOffset>
                </wp:positionV>
                <wp:extent cx="5738495" cy="635"/>
                <wp:effectExtent l="0" t="19050" r="14605" b="37465"/>
                <wp:wrapNone/>
                <wp:docPr id="4" name="自选图形 3"/>
                <wp:cNvGraphicFramePr/>
                <a:graphic xmlns:a="http://schemas.openxmlformats.org/drawingml/2006/main">
                  <a:graphicData uri="http://schemas.microsoft.com/office/word/2010/wordprocessingShape">
                    <wps:wsp>
                      <wps:cNvCnPr/>
                      <wps:spPr>
                        <a:xfrm>
                          <a:off x="0" y="0"/>
                          <a:ext cx="5738495" cy="635"/>
                        </a:xfrm>
                        <a:prstGeom prst="straightConnector1">
                          <a:avLst/>
                        </a:prstGeom>
                        <a:ln w="38100" cap="flat" cmpd="sng">
                          <a:solidFill>
                            <a:srgbClr val="FF0000"/>
                          </a:solidFill>
                          <a:prstDash val="solid"/>
                          <a:headEnd type="none" w="med" len="med"/>
                          <a:tailEnd type="none" w="med" len="med"/>
                        </a:ln>
                      </wps:spPr>
                      <wps:bodyPr/>
                    </wps:wsp>
                  </a:graphicData>
                </a:graphic>
              </wp:anchor>
            </w:drawing>
          </mc:Choice>
          <mc:Fallback>
            <w:pict>
              <v:shape id="自选图形 3" o:spid="_x0000_s1026" o:spt="32" type="#_x0000_t32" style="position:absolute;left:0pt;margin-left:-0.8pt;margin-top:638.6pt;height:0.05pt;width:451.85pt;z-index:251663360;mso-width-relative:page;mso-height-relative:page;" filled="f" stroked="t" coordsize="21600,21600" o:gfxdata="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">
                <v:fill on="f" focussize="0,0"/>
                <v:stroke weight="3pt" color="#FF0000" joinstyle="round"/>
                <v:imagedata o:title=""/>
                <o:lock v:ext="edit" aspectratio="f"/>
              </v:shape>
            </w:pict>
          </mc:Fallback>
        </mc:AlternateContent>
      </w:r>
      <w:r>
        <w:rPr>
          <w:rFonts w:hint="eastAsia"/>
          <w:b/>
          <w:sz w:val="32"/>
          <w:szCs w:val="32"/>
        </w:rPr>
        <mc:AlternateContent>
          <mc:Choice Requires="wps">
            <w:drawing>
              <wp:anchor distT="0" distB="0" distL="114300" distR="114300" simplePos="0" relativeHeight="251662336" behindDoc="0" locked="0" layoutInCell="1" allowOverlap="1">
                <wp:simplePos x="0" y="0"/>
                <wp:positionH relativeFrom="column">
                  <wp:posOffset>-10160</wp:posOffset>
                </wp:positionH>
                <wp:positionV relativeFrom="paragraph">
                  <wp:posOffset>8063865</wp:posOffset>
                </wp:positionV>
                <wp:extent cx="5738495" cy="0"/>
                <wp:effectExtent l="0" t="9525" r="0" b="9525"/>
                <wp:wrapNone/>
                <wp:docPr id="3" name="自选图形 2"/>
                <wp:cNvGraphicFramePr/>
                <a:graphic xmlns:a="http://schemas.openxmlformats.org/drawingml/2006/main">
                  <a:graphicData uri="http://schemas.microsoft.com/office/word/2010/wordprocessingShape">
                    <wps:wsp>
                      <wps:cNvCnPr/>
                      <wps:spPr>
                        <a:xfrm>
                          <a:off x="0" y="0"/>
                          <a:ext cx="5738495" cy="0"/>
                        </a:xfrm>
                        <a:prstGeom prst="straightConnector1">
                          <a:avLst/>
                        </a:prstGeom>
                        <a:ln w="19050" cap="flat" cmpd="sng">
                          <a:solidFill>
                            <a:srgbClr val="FF0000"/>
                          </a:solidFill>
                          <a:prstDash val="solid"/>
                          <a:headEnd type="none" w="med" len="med"/>
                          <a:tailEnd type="none" w="med" len="med"/>
                        </a:ln>
                      </wps:spPr>
                      <wps:bodyPr/>
                    </wps:wsp>
                  </a:graphicData>
                </a:graphic>
              </wp:anchor>
            </w:drawing>
          </mc:Choice>
          <mc:Fallback>
            <w:pict>
              <v:shape id="自选图形 2" o:spid="_x0000_s1026" o:spt="32" type="#_x0000_t32" style="position:absolute;left:0pt;margin-left:-0.8pt;margin-top:634.95pt;height:0pt;width:451.85pt;z-index:251662336;mso-width-relative:page;mso-height-relative:page;" filled="f" stroked="t" coordsize="21600,21600" o:gfxdata="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">
                <v:fill on="f" focussize="0,0"/>
                <v:stroke weight="1.5pt" color="#FF0000" joinstyle="round"/>
                <v:imagedata o:title=""/>
                <o:lock v:ext="edit" aspectratio="f"/>
              </v:shape>
            </w:pict>
          </mc:Fallback>
        </mc:AlternateContent>
      </w:r>
      <w:r>
        <w:rPr>
          <w:rFonts w:hint="eastAsia"/>
          <w:b/>
          <w:sz w:val="32"/>
          <w:szCs w:val="32"/>
        </w:rPr>
        <mc:AlternateContent>
          <mc:Choice Requires="wps">
            <w:drawing>
              <wp:anchor distT="0" distB="0" distL="114300" distR="114300" simplePos="0" relativeHeight="251661312" behindDoc="0" locked="0" layoutInCell="1" allowOverlap="1">
                <wp:simplePos x="0" y="0"/>
                <wp:positionH relativeFrom="column">
                  <wp:posOffset>18415</wp:posOffset>
                </wp:positionH>
                <wp:positionV relativeFrom="paragraph">
                  <wp:posOffset>672465</wp:posOffset>
                </wp:positionV>
                <wp:extent cx="5738495" cy="0"/>
                <wp:effectExtent l="0" t="9525" r="0" b="9525"/>
                <wp:wrapNone/>
                <wp:docPr id="2" name="自选图形 52"/>
                <wp:cNvGraphicFramePr/>
                <a:graphic xmlns:a="http://schemas.openxmlformats.org/drawingml/2006/main">
                  <a:graphicData uri="http://schemas.microsoft.com/office/word/2010/wordprocessingShape">
                    <wps:wsp>
                      <wps:cNvCnPr/>
                      <wps:spPr>
                        <a:xfrm>
                          <a:off x="0" y="0"/>
                          <a:ext cx="5738495" cy="0"/>
                        </a:xfrm>
                        <a:prstGeom prst="straightConnector1">
                          <a:avLst/>
                        </a:prstGeom>
                        <a:ln w="19050" cap="flat" cmpd="sng">
                          <a:solidFill>
                            <a:srgbClr val="FF0000"/>
                          </a:solidFill>
                          <a:prstDash val="solid"/>
                          <a:headEnd type="none" w="med" len="med"/>
                          <a:tailEnd type="none" w="med" len="med"/>
                        </a:ln>
                      </wps:spPr>
                      <wps:bodyPr/>
                    </wps:wsp>
                  </a:graphicData>
                </a:graphic>
              </wp:anchor>
            </w:drawing>
          </mc:Choice>
          <mc:Fallback>
            <w:pict>
              <v:shape id="自选图形 52" o:spid="_x0000_s1026" o:spt="32" type="#_x0000_t32" style="position:absolute;left:0pt;margin-left:1.45pt;margin-top:52.95pt;height:0pt;width:451.85pt;z-index:251661312;mso-width-relative:page;mso-height-relative:page;" filled="f" stroked="t" coordsize="21600,21600" o:gfxdata="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">
                <v:fill on="f" focussize="0,0"/>
                <v:stroke weight="1.5pt" color="#FF0000" joinstyle="round"/>
                <v:imagedata o:title=""/>
                <o:lock v:ext="edit" aspectratio="f"/>
              </v:shape>
            </w:pict>
          </mc:Fallback>
        </mc:AlternateContent>
      </w:r>
      <w:r>
        <w:rPr>
          <w:rFonts w:hint="eastAsia"/>
          <w:b/>
          <w:sz w:val="32"/>
          <w:szCs w:val="32"/>
        </w:rPr>
        <mc:AlternateContent>
          <mc:Choice Requires="wps">
            <w:drawing>
              <wp:anchor distT="0" distB="0" distL="114300" distR="114300" simplePos="0" relativeHeight="251660288" behindDoc="0" locked="0" layoutInCell="1" allowOverlap="1">
                <wp:simplePos x="0" y="0"/>
                <wp:positionH relativeFrom="column">
                  <wp:posOffset>18415</wp:posOffset>
                </wp:positionH>
                <wp:positionV relativeFrom="paragraph">
                  <wp:posOffset>623570</wp:posOffset>
                </wp:positionV>
                <wp:extent cx="5738495" cy="635"/>
                <wp:effectExtent l="0" t="19050" r="14605" b="37465"/>
                <wp:wrapNone/>
                <wp:docPr id="1" name="自选图形 51"/>
                <wp:cNvGraphicFramePr/>
                <a:graphic xmlns:a="http://schemas.openxmlformats.org/drawingml/2006/main">
                  <a:graphicData uri="http://schemas.microsoft.com/office/word/2010/wordprocessingShape">
                    <wps:wsp>
                      <wps:cNvCnPr/>
                      <wps:spPr>
                        <a:xfrm>
                          <a:off x="0" y="0"/>
                          <a:ext cx="5738495" cy="635"/>
                        </a:xfrm>
                        <a:prstGeom prst="straightConnector1">
                          <a:avLst/>
                        </a:prstGeom>
                        <a:ln w="38100" cap="flat" cmpd="sng">
                          <a:solidFill>
                            <a:srgbClr val="FF0000"/>
                          </a:solidFill>
                          <a:prstDash val="solid"/>
                          <a:headEnd type="none" w="med" len="med"/>
                          <a:tailEnd type="none" w="med" len="med"/>
                        </a:ln>
                      </wps:spPr>
                      <wps:bodyPr/>
                    </wps:wsp>
                  </a:graphicData>
                </a:graphic>
              </wp:anchor>
            </w:drawing>
          </mc:Choice>
          <mc:Fallback>
            <w:pict>
              <v:shape id="自选图形 51" o:spid="_x0000_s1026" o:spt="32" type="#_x0000_t32" style="position:absolute;left:0pt;margin-left:1.45pt;margin-top:49.1pt;height:0.05pt;width:451.85pt;z-index:251660288;mso-width-relative:page;mso-height-relative:page;" filled="f" stroked="t" coordsize="21600,21600" o:gfxdata="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">
                <v:fill on="f" focussize="0,0"/>
                <v:stroke weight="3pt" color="#FF0000" joinstyle="round"/>
                <v:imagedata o:title=""/>
                <o:lock v:ext="edit" aspectratio="f"/>
              </v:shape>
            </w:pict>
          </mc:Fallback>
        </mc:AlternateContent>
      </w:r>
      <w:r>
        <w:rPr>
          <w:rFonts w:hint="eastAsia" w:ascii="仿宋_GB2312" w:hAnsi="仿宋_GB2312" w:eastAsia="仿宋_GB2312" w:cs="仿宋_GB2312"/>
          <w:sz w:val="32"/>
          <w:szCs w:val="32"/>
        </w:rPr>
        <w:pict>
          <v:shape id="艺术字 12" o:spid="_x0000_s2054" o:spt="136" type="#_x0000_t136" style="position:absolute;left:0pt;margin-left:4.7pt;margin-top:7.55pt;height:34pt;width:443.35pt;mso-wrap-distance-bottom:0pt;mso-wrap-distance-left:9pt;mso-wrap-distance-right:9pt;mso-wrap-distance-top:0pt;z-index:251659264;mso-width-relative:page;mso-height-relative:page;" fillcolor="#FF0000" filled="t" stroked="f" coordsize="21600,21600" adj="10800">
            <v:path/>
            <v:fill on="t" color2="#FFFFFF" focussize="0,0"/>
            <v:stroke on="f"/>
            <v:imagedata o:title=""/>
            <o:lock v:ext="edit" aspectratio="f"/>
            <v:textpath on="t" fitshape="t" fitpath="t" trim="t" xscale="f" string="广州市增城区发展和改革局" style="font-family:方正小标宋简体;font-size:32pt;v-rotate-letters:f;v-same-letter-heights:t;v-text-align:center;v-text-spacing:78650f;"/>
            <w10:wrap type="square"/>
          </v:shape>
        </w:pict>
      </w:r>
    </w:p>
    <w:p w14:paraId="67E03892">
      <w:pPr>
        <w:keepNext w:val="0"/>
        <w:keepLines w:val="0"/>
        <w:pageBreakBefore w:val="0"/>
        <w:widowControl w:val="0"/>
        <w:kinsoku/>
        <w:wordWrap/>
        <w:overflowPunct/>
        <w:topLinePunct w:val="0"/>
        <w:autoSpaceDE/>
        <w:autoSpaceDN/>
        <w:bidi w:val="0"/>
        <w:adjustRightInd/>
        <w:snapToGrid/>
        <w:spacing w:line="660" w:lineRule="exact"/>
        <w:ind w:firstLine="0" w:firstLineChars="0"/>
        <w:jc w:val="center"/>
        <w:textAlignment w:val="auto"/>
        <w:rPr>
          <w:rFonts w:hint="default" w:ascii="Times New Roman" w:hAnsi="Times New Roman" w:eastAsia="方正小标宋简体" w:cs="Times New Roman"/>
          <w:b w:val="0"/>
          <w:bCs w:val="0"/>
          <w:sz w:val="44"/>
          <w:szCs w:val="44"/>
          <w:lang w:eastAsia="zh-CN" w:bidi="ar-SA"/>
        </w:rPr>
      </w:pPr>
      <w:r>
        <w:rPr>
          <w:rFonts w:hint="default" w:ascii="Times New Roman" w:hAnsi="Times New Roman" w:eastAsia="方正小标宋简体" w:cs="Times New Roman"/>
          <w:b w:val="0"/>
          <w:bCs w:val="0"/>
          <w:sz w:val="44"/>
          <w:szCs w:val="44"/>
          <w:lang w:eastAsia="zh-CN" w:bidi="ar-SA"/>
        </w:rPr>
        <w:t>关于增城区城市公共汽（电）车企业营运</w:t>
      </w:r>
    </w:p>
    <w:p w14:paraId="4425E370">
      <w:pPr>
        <w:keepNext w:val="0"/>
        <w:keepLines w:val="0"/>
        <w:pageBreakBefore w:val="0"/>
        <w:widowControl w:val="0"/>
        <w:kinsoku/>
        <w:wordWrap/>
        <w:overflowPunct/>
        <w:topLinePunct w:val="0"/>
        <w:autoSpaceDE/>
        <w:autoSpaceDN/>
        <w:bidi w:val="0"/>
        <w:adjustRightInd/>
        <w:snapToGrid/>
        <w:spacing w:line="660" w:lineRule="exact"/>
        <w:ind w:firstLine="0" w:firstLineChars="0"/>
        <w:jc w:val="center"/>
        <w:textAlignment w:val="auto"/>
        <w:rPr>
          <w:rFonts w:hint="default" w:ascii="Times New Roman" w:hAnsi="Times New Roman" w:eastAsia="方正小标宋简体" w:cs="Times New Roman"/>
          <w:b w:val="0"/>
          <w:bCs w:val="0"/>
          <w:sz w:val="44"/>
          <w:szCs w:val="44"/>
          <w:lang w:eastAsia="zh-CN" w:bidi="ar-SA"/>
        </w:rPr>
      </w:pPr>
      <w:r>
        <w:rPr>
          <w:rFonts w:hint="default" w:ascii="Times New Roman" w:hAnsi="Times New Roman" w:eastAsia="方正小标宋简体" w:cs="Times New Roman"/>
          <w:b w:val="0"/>
          <w:bCs w:val="0"/>
          <w:sz w:val="44"/>
          <w:szCs w:val="44"/>
          <w:lang w:eastAsia="zh-CN" w:bidi="ar-SA"/>
        </w:rPr>
        <w:t>成本的监审报告</w:t>
      </w:r>
    </w:p>
    <w:p w14:paraId="2815CC81">
      <w:pPr>
        <w:spacing w:line="660" w:lineRule="exact"/>
        <w:jc w:val="center"/>
        <w:rPr>
          <w:rFonts w:hint="default" w:ascii="Times New Roman" w:hAnsi="Times New Roman" w:eastAsia="方正小标宋_GBK" w:cs="Times New Roman"/>
          <w:b w:val="0"/>
          <w:bCs w:val="0"/>
          <w:sz w:val="44"/>
          <w:szCs w:val="44"/>
        </w:rPr>
      </w:pPr>
    </w:p>
    <w:p w14:paraId="66B2510C">
      <w:pPr>
        <w:spacing w:line="560" w:lineRule="exact"/>
        <w:ind w:firstLine="640" w:firstLineChars="200"/>
        <w:rPr>
          <w:rFonts w:hint="default" w:ascii="Times New Roman" w:hAnsi="Times New Roman" w:eastAsia="仿宋_GB2312" w:cs="Times New Roman"/>
          <w:sz w:val="32"/>
          <w:szCs w:val="28"/>
        </w:rPr>
      </w:pPr>
      <w:r>
        <w:rPr>
          <w:rFonts w:hint="default" w:ascii="Times New Roman" w:hAnsi="Times New Roman" w:eastAsia="仿宋_GB2312" w:cs="Times New Roman"/>
          <w:sz w:val="32"/>
          <w:szCs w:val="28"/>
        </w:rPr>
        <w:t>根据《中华人民共和国价格法》、《政府制定价格成本监审办法》等规定，</w:t>
      </w:r>
      <w:r>
        <w:rPr>
          <w:rFonts w:hint="default" w:ascii="Times New Roman" w:hAnsi="Times New Roman" w:eastAsia="仿宋_GB2312" w:cs="Times New Roman"/>
          <w:sz w:val="32"/>
          <w:szCs w:val="28"/>
          <w:lang w:eastAsia="zh-CN"/>
        </w:rPr>
        <w:t>我局</w:t>
      </w:r>
      <w:r>
        <w:rPr>
          <w:rFonts w:hint="default" w:ascii="Times New Roman" w:hAnsi="Times New Roman" w:eastAsia="仿宋_GB2312" w:cs="Times New Roman"/>
          <w:sz w:val="32"/>
          <w:szCs w:val="28"/>
        </w:rPr>
        <w:t>于202</w:t>
      </w:r>
      <w:r>
        <w:rPr>
          <w:rFonts w:hint="default" w:ascii="Times New Roman" w:hAnsi="Times New Roman" w:eastAsia="仿宋_GB2312" w:cs="Times New Roman"/>
          <w:sz w:val="32"/>
          <w:szCs w:val="28"/>
          <w:lang w:val="en-US" w:eastAsia="zh-CN"/>
        </w:rPr>
        <w:t>5</w:t>
      </w:r>
      <w:r>
        <w:rPr>
          <w:rFonts w:hint="default" w:ascii="Times New Roman" w:hAnsi="Times New Roman" w:eastAsia="仿宋_GB2312" w:cs="Times New Roman"/>
          <w:sz w:val="32"/>
          <w:szCs w:val="28"/>
        </w:rPr>
        <w:t>年</w:t>
      </w:r>
      <w:r>
        <w:rPr>
          <w:rFonts w:hint="default" w:ascii="Times New Roman" w:hAnsi="Times New Roman" w:eastAsia="仿宋_GB2312" w:cs="Times New Roman"/>
          <w:sz w:val="32"/>
          <w:szCs w:val="28"/>
          <w:lang w:val="en-US" w:eastAsia="zh-CN"/>
        </w:rPr>
        <w:t>8</w:t>
      </w:r>
      <w:r>
        <w:rPr>
          <w:rFonts w:hint="default" w:ascii="Times New Roman" w:hAnsi="Times New Roman" w:eastAsia="仿宋_GB2312" w:cs="Times New Roman"/>
          <w:sz w:val="32"/>
          <w:szCs w:val="28"/>
        </w:rPr>
        <w:t>月至</w:t>
      </w:r>
      <w:r>
        <w:rPr>
          <w:rFonts w:hint="default" w:ascii="Times New Roman" w:hAnsi="Times New Roman" w:eastAsia="仿宋_GB2312" w:cs="Times New Roman"/>
          <w:sz w:val="32"/>
          <w:szCs w:val="28"/>
          <w:lang w:val="en-US" w:eastAsia="zh-CN"/>
        </w:rPr>
        <w:t>11</w:t>
      </w:r>
      <w:r>
        <w:rPr>
          <w:rFonts w:hint="default" w:ascii="Times New Roman" w:hAnsi="Times New Roman" w:eastAsia="仿宋_GB2312" w:cs="Times New Roman"/>
          <w:sz w:val="32"/>
          <w:szCs w:val="28"/>
        </w:rPr>
        <w:t>月对</w:t>
      </w:r>
      <w:r>
        <w:rPr>
          <w:rFonts w:hint="default" w:ascii="Times New Roman" w:hAnsi="Times New Roman" w:eastAsia="仿宋_GB2312" w:cs="Times New Roman"/>
          <w:sz w:val="32"/>
          <w:szCs w:val="28"/>
          <w:lang w:eastAsia="zh-CN"/>
        </w:rPr>
        <w:t>广州市粤运汽车运输有限公司</w:t>
      </w:r>
      <w:r>
        <w:rPr>
          <w:rFonts w:hint="default" w:ascii="Times New Roman" w:hAnsi="Times New Roman" w:eastAsia="仿宋_GB2312" w:cs="Times New Roman"/>
          <w:sz w:val="32"/>
          <w:szCs w:val="28"/>
        </w:rPr>
        <w:t>等</w:t>
      </w:r>
      <w:r>
        <w:rPr>
          <w:rFonts w:hint="default" w:ascii="Times New Roman" w:hAnsi="Times New Roman" w:eastAsia="仿宋_GB2312" w:cs="Times New Roman"/>
          <w:sz w:val="32"/>
          <w:szCs w:val="28"/>
          <w:lang w:val="en-US" w:eastAsia="zh-CN"/>
        </w:rPr>
        <w:t>3</w:t>
      </w:r>
      <w:r>
        <w:rPr>
          <w:rFonts w:hint="default" w:ascii="Times New Roman" w:hAnsi="Times New Roman" w:eastAsia="仿宋_GB2312" w:cs="Times New Roman"/>
          <w:sz w:val="32"/>
          <w:szCs w:val="28"/>
        </w:rPr>
        <w:t>家公交企业</w:t>
      </w:r>
      <w:r>
        <w:rPr>
          <w:rFonts w:hint="default" w:ascii="Times New Roman" w:hAnsi="Times New Roman" w:eastAsia="仿宋_GB2312" w:cs="Times New Roman"/>
          <w:sz w:val="32"/>
          <w:szCs w:val="28"/>
          <w:lang w:eastAsia="zh-CN"/>
        </w:rPr>
        <w:t>2022年1月</w:t>
      </w:r>
      <w:r>
        <w:rPr>
          <w:rFonts w:hint="default" w:ascii="Times New Roman" w:hAnsi="Times New Roman" w:eastAsia="仿宋_GB2312" w:cs="Times New Roman"/>
          <w:sz w:val="32"/>
          <w:szCs w:val="28"/>
          <w:lang w:val="en-US" w:eastAsia="zh-CN"/>
        </w:rPr>
        <w:t>-</w:t>
      </w:r>
      <w:r>
        <w:rPr>
          <w:rFonts w:hint="default" w:ascii="Times New Roman" w:hAnsi="Times New Roman" w:eastAsia="仿宋_GB2312" w:cs="Times New Roman"/>
          <w:sz w:val="32"/>
          <w:szCs w:val="28"/>
          <w:lang w:eastAsia="zh-CN"/>
        </w:rPr>
        <w:t>2025年6月</w:t>
      </w:r>
      <w:r>
        <w:rPr>
          <w:rFonts w:hint="default" w:ascii="Times New Roman" w:hAnsi="Times New Roman" w:eastAsia="仿宋_GB2312" w:cs="Times New Roman"/>
          <w:sz w:val="32"/>
          <w:szCs w:val="28"/>
        </w:rPr>
        <w:t>的营运成本实施了监审，本次成本监审的职责是在经会计师事务所</w:t>
      </w:r>
      <w:r>
        <w:rPr>
          <w:rFonts w:hint="default" w:ascii="Times New Roman" w:hAnsi="Times New Roman" w:eastAsia="仿宋_GB2312" w:cs="Times New Roman"/>
          <w:sz w:val="32"/>
          <w:szCs w:val="28"/>
          <w:lang w:val="en-US" w:eastAsia="zh-CN"/>
        </w:rPr>
        <w:t>审核</w:t>
      </w:r>
      <w:r>
        <w:rPr>
          <w:rFonts w:hint="default" w:ascii="Times New Roman" w:hAnsi="Times New Roman" w:eastAsia="仿宋_GB2312" w:cs="Times New Roman"/>
          <w:sz w:val="32"/>
          <w:szCs w:val="28"/>
        </w:rPr>
        <w:t>确认的营运成本基础上，按照定价成本监审法规将营运成本合理归集为定价成本，形成监审结论，为政府确定有关公交政策提供参考依据。现将有关情况报告如下：</w:t>
      </w:r>
    </w:p>
    <w:p w14:paraId="7FF6A473">
      <w:pPr>
        <w:keepNext/>
        <w:keepLines/>
        <w:widowControl w:val="0"/>
        <w:numPr>
          <w:ilvl w:val="0"/>
          <w:numId w:val="0"/>
        </w:numPr>
        <w:spacing w:before="0" w:beforeLines="0" w:after="0" w:afterLines="0" w:line="560" w:lineRule="exact"/>
        <w:ind w:firstLine="640" w:firstLineChars="200"/>
        <w:jc w:val="both"/>
        <w:outlineLvl w:val="0"/>
        <w:rPr>
          <w:rFonts w:hint="default" w:ascii="Times New Roman" w:hAnsi="Times New Roman" w:eastAsia="黑体" w:cs="Times New Roman"/>
          <w:b w:val="0"/>
          <w:bCs w:val="0"/>
          <w:kern w:val="44"/>
          <w:sz w:val="32"/>
          <w:szCs w:val="28"/>
          <w:lang w:val="en-US" w:eastAsia="zh-CN"/>
        </w:rPr>
      </w:pPr>
      <w:r>
        <w:rPr>
          <w:rFonts w:hint="default" w:ascii="Times New Roman" w:hAnsi="Times New Roman" w:eastAsia="黑体" w:cs="Times New Roman"/>
          <w:b w:val="0"/>
          <w:bCs w:val="0"/>
          <w:kern w:val="44"/>
          <w:sz w:val="32"/>
          <w:szCs w:val="28"/>
          <w:lang w:val="en-US" w:eastAsia="zh-CN"/>
        </w:rPr>
        <w:t>一、增城区城市公交行业的基本情况</w:t>
      </w:r>
    </w:p>
    <w:p w14:paraId="20BA48E2">
      <w:pPr>
        <w:keepNext/>
        <w:keepLines/>
        <w:widowControl w:val="0"/>
        <w:spacing w:before="0" w:beforeLines="0" w:after="0" w:afterLines="0" w:line="560" w:lineRule="exact"/>
        <w:ind w:firstLine="640" w:firstLineChars="200"/>
        <w:jc w:val="both"/>
        <w:outlineLvl w:val="0"/>
        <w:rPr>
          <w:rFonts w:hint="default" w:ascii="Times New Roman" w:hAnsi="Times New Roman" w:eastAsia="仿宋_GB2312" w:cs="Times New Roman"/>
          <w:b w:val="0"/>
          <w:bCs w:val="0"/>
          <w:kern w:val="44"/>
          <w:sz w:val="32"/>
          <w:szCs w:val="28"/>
          <w:lang w:val="en-US" w:eastAsia="zh-CN"/>
        </w:rPr>
      </w:pPr>
      <w:r>
        <w:rPr>
          <w:rFonts w:hint="default" w:ascii="Times New Roman" w:hAnsi="Times New Roman" w:eastAsia="仿宋_GB2312" w:cs="Times New Roman"/>
          <w:b w:val="0"/>
          <w:bCs w:val="0"/>
          <w:kern w:val="44"/>
          <w:sz w:val="32"/>
          <w:szCs w:val="28"/>
          <w:lang w:val="en-US" w:eastAsia="zh-CN"/>
        </w:rPr>
        <w:t>增城区共有公交企业3家，其中全资国有企业2家：广州巴士集团有限公司增城分公司、广州市荔通公共汽车有限公司；国有参股企业1家：广州市粤运汽车运输有限公司。3家公交企业审核年度属于公交营运车辆年平均数量为685辆；总营运里程年平均达25,663,289.65公里；客运总量年平均为18,314,414.00人次。</w:t>
      </w:r>
    </w:p>
    <w:p w14:paraId="31EB62C6">
      <w:pPr>
        <w:keepNext/>
        <w:keepLines/>
        <w:widowControl w:val="0"/>
        <w:numPr>
          <w:ilvl w:val="0"/>
          <w:numId w:val="0"/>
        </w:numPr>
        <w:spacing w:before="0" w:beforeLines="0" w:after="0" w:afterLines="0" w:line="560" w:lineRule="exact"/>
        <w:ind w:firstLine="640" w:firstLineChars="200"/>
        <w:jc w:val="both"/>
        <w:outlineLvl w:val="0"/>
        <w:rPr>
          <w:rFonts w:hint="default" w:ascii="Times New Roman" w:hAnsi="Times New Roman" w:eastAsia="黑体" w:cs="Times New Roman"/>
          <w:b w:val="0"/>
          <w:bCs w:val="0"/>
          <w:kern w:val="44"/>
          <w:sz w:val="32"/>
          <w:szCs w:val="28"/>
          <w:lang w:val="en-US" w:eastAsia="zh-CN"/>
        </w:rPr>
      </w:pPr>
      <w:r>
        <w:rPr>
          <w:rFonts w:hint="default" w:ascii="Times New Roman" w:hAnsi="Times New Roman" w:eastAsia="黑体" w:cs="Times New Roman"/>
          <w:b w:val="0"/>
          <w:bCs w:val="0"/>
          <w:kern w:val="44"/>
          <w:sz w:val="32"/>
          <w:szCs w:val="28"/>
          <w:lang w:val="en-US" w:eastAsia="zh-CN"/>
        </w:rPr>
        <w:t>二、成本监审的依据</w:t>
      </w:r>
    </w:p>
    <w:p w14:paraId="03692665">
      <w:pPr>
        <w:spacing w:line="560" w:lineRule="exact"/>
        <w:ind w:firstLine="640" w:firstLineChars="200"/>
        <w:rPr>
          <w:rFonts w:hint="default" w:ascii="Times New Roman" w:hAnsi="Times New Roman" w:eastAsia="仿宋_GB2312" w:cs="Times New Roman"/>
          <w:b w:val="0"/>
          <w:bCs w:val="0"/>
          <w:sz w:val="32"/>
          <w:szCs w:val="32"/>
        </w:rPr>
      </w:pPr>
      <w:r>
        <w:rPr>
          <w:rFonts w:hint="default" w:ascii="Times New Roman" w:hAnsi="Times New Roman" w:eastAsia="仿宋_GB2312" w:cs="Times New Roman"/>
          <w:b w:val="0"/>
          <w:bCs w:val="0"/>
          <w:sz w:val="32"/>
          <w:szCs w:val="32"/>
        </w:rPr>
        <w:t>本次成本监审的主要依据为：</w:t>
      </w:r>
    </w:p>
    <w:p w14:paraId="4B721F47">
      <w:pPr>
        <w:spacing w:line="560" w:lineRule="exact"/>
        <w:ind w:firstLine="640" w:firstLineChars="200"/>
        <w:rPr>
          <w:rFonts w:hint="default" w:ascii="Times New Roman" w:hAnsi="Times New Roman" w:eastAsia="仿宋_GB2312" w:cs="Times New Roman"/>
          <w:b w:val="0"/>
          <w:bCs w:val="0"/>
          <w:sz w:val="32"/>
          <w:szCs w:val="32"/>
        </w:rPr>
      </w:pPr>
      <w:r>
        <w:rPr>
          <w:rFonts w:hint="default" w:ascii="Times New Roman" w:hAnsi="Times New Roman" w:eastAsia="仿宋_GB2312" w:cs="Times New Roman"/>
          <w:b w:val="0"/>
          <w:bCs w:val="0"/>
          <w:sz w:val="32"/>
          <w:szCs w:val="32"/>
        </w:rPr>
        <w:t>（一）《中华人民共和国价格法》；</w:t>
      </w:r>
    </w:p>
    <w:p w14:paraId="2DA06CA3">
      <w:pPr>
        <w:spacing w:line="560" w:lineRule="exact"/>
        <w:ind w:firstLine="640" w:firstLineChars="200"/>
        <w:rPr>
          <w:rFonts w:hint="default" w:ascii="Times New Roman" w:hAnsi="Times New Roman" w:eastAsia="仿宋_GB2312" w:cs="Times New Roman"/>
          <w:b w:val="0"/>
          <w:bCs w:val="0"/>
          <w:sz w:val="32"/>
          <w:szCs w:val="32"/>
        </w:rPr>
      </w:pPr>
      <w:r>
        <w:rPr>
          <w:rFonts w:hint="default" w:ascii="Times New Roman" w:hAnsi="Times New Roman" w:eastAsia="仿宋_GB2312" w:cs="Times New Roman"/>
          <w:b w:val="0"/>
          <w:bCs w:val="0"/>
          <w:sz w:val="32"/>
          <w:szCs w:val="32"/>
        </w:rPr>
        <w:t>（二）《政府制定价格成本监审办法》（国家发展和改革委员会令第8号）；</w:t>
      </w:r>
    </w:p>
    <w:p w14:paraId="51007F4C">
      <w:pPr>
        <w:spacing w:line="560" w:lineRule="exact"/>
        <w:ind w:firstLine="640" w:firstLineChars="200"/>
        <w:rPr>
          <w:rFonts w:hint="default" w:ascii="Times New Roman" w:hAnsi="Times New Roman" w:eastAsia="仿宋_GB2312" w:cs="Times New Roman"/>
          <w:b w:val="0"/>
          <w:bCs w:val="0"/>
          <w:color w:val="000000"/>
          <w:sz w:val="32"/>
          <w:szCs w:val="32"/>
        </w:rPr>
      </w:pPr>
      <w:r>
        <w:rPr>
          <w:rFonts w:hint="default" w:ascii="Times New Roman" w:hAnsi="Times New Roman" w:eastAsia="仿宋_GB2312" w:cs="Times New Roman"/>
          <w:b w:val="0"/>
          <w:bCs w:val="0"/>
          <w:color w:val="000000"/>
          <w:sz w:val="32"/>
          <w:szCs w:val="32"/>
        </w:rPr>
        <w:t>（三）《广东省实施〈中华人民共和国价格法〉办法》；</w:t>
      </w:r>
    </w:p>
    <w:p w14:paraId="20B2657D">
      <w:pPr>
        <w:spacing w:line="560" w:lineRule="exact"/>
        <w:ind w:firstLine="640" w:firstLineChars="200"/>
        <w:rPr>
          <w:rFonts w:hint="default" w:ascii="Times New Roman" w:hAnsi="Times New Roman" w:eastAsia="仿宋_GB2312" w:cs="Times New Roman"/>
          <w:b w:val="0"/>
          <w:bCs w:val="0"/>
          <w:sz w:val="32"/>
          <w:szCs w:val="32"/>
        </w:rPr>
      </w:pPr>
      <w:r>
        <w:rPr>
          <w:rFonts w:hint="default" w:ascii="Times New Roman" w:hAnsi="Times New Roman" w:eastAsia="仿宋_GB2312" w:cs="Times New Roman"/>
          <w:b w:val="0"/>
          <w:bCs w:val="0"/>
          <w:color w:val="000000"/>
          <w:sz w:val="32"/>
          <w:szCs w:val="32"/>
        </w:rPr>
        <w:t>（四）</w:t>
      </w:r>
      <w:r>
        <w:rPr>
          <w:rFonts w:hint="default" w:ascii="Times New Roman" w:hAnsi="Times New Roman" w:eastAsia="仿宋_GB2312" w:cs="Times New Roman"/>
          <w:b w:val="0"/>
          <w:bCs w:val="0"/>
          <w:sz w:val="32"/>
          <w:szCs w:val="32"/>
        </w:rPr>
        <w:t>《关于印发&lt;广东省发展改革委关于城市公共汽（电）车客运定价成本监审的办法&gt;的通知》（粤发改规〔2021〕6号）；</w:t>
      </w:r>
    </w:p>
    <w:p w14:paraId="55D3D603">
      <w:pPr>
        <w:spacing w:line="560" w:lineRule="exact"/>
        <w:ind w:firstLine="640" w:firstLineChars="200"/>
        <w:rPr>
          <w:rFonts w:hint="default" w:ascii="Times New Roman" w:hAnsi="Times New Roman" w:eastAsia="仿宋_GB2312" w:cs="Times New Roman"/>
          <w:b w:val="0"/>
          <w:bCs w:val="0"/>
          <w:sz w:val="32"/>
          <w:szCs w:val="32"/>
        </w:rPr>
      </w:pPr>
      <w:r>
        <w:rPr>
          <w:rFonts w:hint="default" w:ascii="Times New Roman" w:hAnsi="Times New Roman" w:eastAsia="仿宋_GB2312" w:cs="Times New Roman"/>
          <w:b w:val="0"/>
          <w:bCs w:val="0"/>
          <w:sz w:val="32"/>
          <w:szCs w:val="32"/>
        </w:rPr>
        <w:t>（五）</w:t>
      </w:r>
      <w:r>
        <w:rPr>
          <w:rFonts w:hint="default" w:ascii="Times New Roman" w:hAnsi="Times New Roman" w:eastAsia="仿宋_GB2312" w:cs="Times New Roman"/>
          <w:b w:val="0"/>
          <w:bCs w:val="0"/>
          <w:sz w:val="32"/>
          <w:szCs w:val="32"/>
          <w:lang w:val="en-US" w:eastAsia="zh-CN"/>
        </w:rPr>
        <w:t>会计师事务所出具的</w:t>
      </w:r>
      <w:r>
        <w:rPr>
          <w:rFonts w:hint="default" w:ascii="Times New Roman" w:hAnsi="Times New Roman" w:eastAsia="仿宋_GB2312" w:cs="Times New Roman"/>
          <w:b w:val="0"/>
          <w:bCs w:val="0"/>
          <w:sz w:val="32"/>
          <w:szCs w:val="32"/>
        </w:rPr>
        <w:t>《</w:t>
      </w:r>
      <w:r>
        <w:rPr>
          <w:rFonts w:hint="default" w:ascii="Times New Roman" w:hAnsi="Times New Roman" w:eastAsia="仿宋_GB2312" w:cs="Times New Roman"/>
          <w:b w:val="0"/>
          <w:bCs w:val="0"/>
          <w:sz w:val="32"/>
          <w:szCs w:val="32"/>
          <w:lang w:eastAsia="zh-CN"/>
        </w:rPr>
        <w:t>增城区城市公共汽车企业营运成本专项审核报告</w:t>
      </w:r>
      <w:r>
        <w:rPr>
          <w:rFonts w:hint="default" w:ascii="Times New Roman" w:hAnsi="Times New Roman" w:eastAsia="仿宋_GB2312" w:cs="Times New Roman"/>
          <w:b w:val="0"/>
          <w:bCs w:val="0"/>
          <w:sz w:val="32"/>
          <w:szCs w:val="32"/>
        </w:rPr>
        <w:t>》、各公交企业年度审计报告及财务资料。</w:t>
      </w:r>
    </w:p>
    <w:p w14:paraId="7EFFB8D7">
      <w:pPr>
        <w:numPr>
          <w:ilvl w:val="0"/>
          <w:numId w:val="0"/>
        </w:numPr>
        <w:adjustRightInd w:val="0"/>
        <w:snapToGrid w:val="0"/>
        <w:spacing w:line="560" w:lineRule="exact"/>
        <w:ind w:firstLine="640" w:firstLineChars="200"/>
        <w:rPr>
          <w:rFonts w:hint="default" w:ascii="Times New Roman" w:hAnsi="Times New Roman" w:eastAsia="黑体" w:cs="Times New Roman"/>
          <w:b w:val="0"/>
          <w:bCs w:val="0"/>
          <w:sz w:val="32"/>
          <w:szCs w:val="28"/>
        </w:rPr>
      </w:pPr>
      <w:r>
        <w:rPr>
          <w:rFonts w:hint="default" w:ascii="Times New Roman" w:hAnsi="Times New Roman" w:eastAsia="黑体" w:cs="Times New Roman"/>
          <w:b w:val="0"/>
          <w:bCs w:val="0"/>
          <w:kern w:val="2"/>
          <w:sz w:val="32"/>
          <w:szCs w:val="28"/>
          <w:lang w:val="en-US" w:eastAsia="zh-CN"/>
        </w:rPr>
        <w:t>三、</w:t>
      </w:r>
      <w:r>
        <w:rPr>
          <w:rFonts w:hint="default" w:ascii="Times New Roman" w:hAnsi="Times New Roman" w:eastAsia="黑体" w:cs="Times New Roman"/>
          <w:b w:val="0"/>
          <w:bCs w:val="0"/>
          <w:sz w:val="32"/>
          <w:szCs w:val="28"/>
        </w:rPr>
        <w:t>成本监审的程序</w:t>
      </w:r>
    </w:p>
    <w:p w14:paraId="6756E71E">
      <w:pPr>
        <w:numPr>
          <w:ilvl w:val="0"/>
          <w:numId w:val="0"/>
        </w:numPr>
        <w:spacing w:line="560" w:lineRule="exact"/>
        <w:ind w:firstLine="640" w:firstLineChars="200"/>
        <w:rPr>
          <w:rFonts w:hint="default" w:ascii="Times New Roman" w:hAnsi="Times New Roman" w:eastAsia="仿宋_GB2312" w:cs="Times New Roman"/>
          <w:b w:val="0"/>
          <w:bCs/>
          <w:kern w:val="0"/>
          <w:sz w:val="32"/>
          <w:szCs w:val="32"/>
          <w:lang w:val="en-US" w:eastAsia="zh-CN"/>
        </w:rPr>
      </w:pPr>
      <w:r>
        <w:rPr>
          <w:rFonts w:hint="default" w:ascii="Times New Roman" w:hAnsi="Times New Roman" w:eastAsia="仿宋_GB2312" w:cs="Times New Roman"/>
          <w:b w:val="0"/>
          <w:bCs/>
          <w:kern w:val="0"/>
          <w:sz w:val="32"/>
          <w:szCs w:val="32"/>
          <w:lang w:val="en-US" w:eastAsia="zh-CN"/>
        </w:rPr>
        <w:t>（一）下达监审通知书。要求企业填报成本监审数据。</w:t>
      </w:r>
    </w:p>
    <w:p w14:paraId="4AB8DA60">
      <w:pPr>
        <w:numPr>
          <w:ilvl w:val="0"/>
          <w:numId w:val="0"/>
        </w:numPr>
        <w:spacing w:line="560" w:lineRule="exact"/>
        <w:ind w:firstLine="640" w:firstLineChars="200"/>
        <w:rPr>
          <w:rFonts w:hint="default" w:ascii="Times New Roman" w:hAnsi="Times New Roman" w:eastAsia="仿宋_GB2312" w:cs="Times New Roman"/>
          <w:b w:val="0"/>
          <w:bCs/>
          <w:kern w:val="0"/>
          <w:sz w:val="32"/>
          <w:szCs w:val="32"/>
          <w:lang w:val="en-US" w:eastAsia="zh-CN"/>
        </w:rPr>
      </w:pPr>
      <w:r>
        <w:rPr>
          <w:rFonts w:hint="default" w:ascii="Times New Roman" w:hAnsi="Times New Roman" w:eastAsia="仿宋_GB2312" w:cs="Times New Roman"/>
          <w:b w:val="0"/>
          <w:bCs/>
          <w:kern w:val="0"/>
          <w:sz w:val="32"/>
          <w:szCs w:val="32"/>
          <w:lang w:val="en-US" w:eastAsia="zh-CN"/>
        </w:rPr>
        <w:t>（二）资料初审。对企业报送的成本数据和资料进行初步审查。对成本数据不符合要求或资料不完整的，要求被监审企业按规定修正或补充相关资料。</w:t>
      </w:r>
    </w:p>
    <w:p w14:paraId="71ED80D8">
      <w:pPr>
        <w:numPr>
          <w:ilvl w:val="0"/>
          <w:numId w:val="0"/>
        </w:numPr>
        <w:spacing w:line="560" w:lineRule="exact"/>
        <w:ind w:firstLine="640" w:firstLineChars="200"/>
        <w:rPr>
          <w:rFonts w:hint="default" w:ascii="Times New Roman" w:hAnsi="Times New Roman" w:eastAsia="仿宋_GB2312" w:cs="Times New Roman"/>
          <w:b w:val="0"/>
          <w:bCs/>
          <w:kern w:val="0"/>
          <w:sz w:val="32"/>
          <w:szCs w:val="32"/>
          <w:lang w:val="en-US" w:eastAsia="zh-CN"/>
        </w:rPr>
      </w:pPr>
      <w:r>
        <w:rPr>
          <w:rFonts w:hint="default" w:ascii="Times New Roman" w:hAnsi="Times New Roman" w:eastAsia="仿宋_GB2312" w:cs="Times New Roman"/>
          <w:b w:val="0"/>
          <w:bCs/>
          <w:kern w:val="0"/>
          <w:sz w:val="32"/>
          <w:szCs w:val="32"/>
          <w:lang w:val="en-US" w:eastAsia="zh-CN"/>
        </w:rPr>
        <w:t>（三）实地监审。对被监审企业的运营成本报表、会计报表、审计报告、会计账簿、原始凭证、合同、协议、实物以及其他与成本相关的财务资料等进行实地审查、取证。</w:t>
      </w:r>
    </w:p>
    <w:p w14:paraId="0C2011E4">
      <w:pPr>
        <w:numPr>
          <w:ilvl w:val="0"/>
          <w:numId w:val="0"/>
        </w:numPr>
        <w:spacing w:line="560" w:lineRule="exact"/>
        <w:ind w:firstLine="640" w:firstLineChars="200"/>
        <w:rPr>
          <w:rFonts w:hint="default" w:ascii="Times New Roman" w:hAnsi="Times New Roman" w:eastAsia="仿宋_GB2312" w:cs="Times New Roman"/>
          <w:b w:val="0"/>
          <w:bCs/>
          <w:kern w:val="0"/>
          <w:sz w:val="32"/>
          <w:szCs w:val="32"/>
          <w:lang w:val="en-US" w:eastAsia="zh-CN"/>
        </w:rPr>
      </w:pPr>
      <w:r>
        <w:rPr>
          <w:rFonts w:hint="default" w:ascii="Times New Roman" w:hAnsi="Times New Roman" w:eastAsia="仿宋_GB2312" w:cs="Times New Roman"/>
          <w:b w:val="0"/>
          <w:bCs/>
          <w:kern w:val="0"/>
          <w:sz w:val="32"/>
          <w:szCs w:val="32"/>
          <w:lang w:val="en-US" w:eastAsia="zh-CN"/>
        </w:rPr>
        <w:t>（四）意见告知。将成本核增核减意见及理由书面告知各公交企业，并充分交换意见，最终确认成本数据。</w:t>
      </w:r>
    </w:p>
    <w:p w14:paraId="6E68259C">
      <w:pPr>
        <w:numPr>
          <w:ilvl w:val="0"/>
          <w:numId w:val="0"/>
        </w:numPr>
        <w:spacing w:line="560" w:lineRule="exact"/>
        <w:ind w:firstLine="640" w:firstLineChars="200"/>
        <w:rPr>
          <w:rFonts w:hint="default" w:ascii="Times New Roman" w:hAnsi="Times New Roman" w:eastAsia="仿宋_GB2312" w:cs="Times New Roman"/>
          <w:b w:val="0"/>
          <w:bCs/>
          <w:kern w:val="0"/>
          <w:sz w:val="32"/>
          <w:szCs w:val="32"/>
          <w:lang w:val="en-US" w:eastAsia="zh-CN"/>
        </w:rPr>
      </w:pPr>
      <w:r>
        <w:rPr>
          <w:rFonts w:hint="default" w:ascii="Times New Roman" w:hAnsi="Times New Roman" w:eastAsia="仿宋_GB2312" w:cs="Times New Roman"/>
          <w:b w:val="0"/>
          <w:bCs/>
          <w:kern w:val="0"/>
          <w:sz w:val="32"/>
          <w:szCs w:val="32"/>
          <w:lang w:val="en-US" w:eastAsia="zh-CN"/>
        </w:rPr>
        <w:t>（五）出具监审报告。</w:t>
      </w:r>
    </w:p>
    <w:p w14:paraId="37CBB928">
      <w:pPr>
        <w:keepNext/>
        <w:keepLines/>
        <w:widowControl w:val="0"/>
        <w:numPr>
          <w:ilvl w:val="0"/>
          <w:numId w:val="0"/>
        </w:numPr>
        <w:spacing w:before="0" w:beforeLines="0" w:after="0" w:afterLines="0" w:line="560" w:lineRule="exact"/>
        <w:ind w:firstLine="640" w:firstLineChars="200"/>
        <w:jc w:val="both"/>
        <w:outlineLvl w:val="0"/>
        <w:rPr>
          <w:rFonts w:hint="default" w:ascii="Times New Roman" w:hAnsi="Times New Roman" w:eastAsia="黑体" w:cs="Times New Roman"/>
          <w:b w:val="0"/>
          <w:bCs w:val="0"/>
          <w:kern w:val="44"/>
          <w:sz w:val="32"/>
          <w:szCs w:val="28"/>
          <w:lang w:val="en-US" w:eastAsia="zh-CN"/>
        </w:rPr>
      </w:pPr>
      <w:r>
        <w:rPr>
          <w:rFonts w:hint="default" w:ascii="Times New Roman" w:hAnsi="Times New Roman" w:eastAsia="黑体" w:cs="Times New Roman"/>
          <w:b w:val="0"/>
          <w:bCs w:val="0"/>
          <w:kern w:val="44"/>
          <w:sz w:val="32"/>
          <w:szCs w:val="28"/>
          <w:lang w:val="en-US" w:eastAsia="zh-CN"/>
        </w:rPr>
        <w:t>四、成本审核的主要内容</w:t>
      </w:r>
    </w:p>
    <w:p w14:paraId="336697FE">
      <w:pPr>
        <w:numPr>
          <w:ilvl w:val="0"/>
          <w:numId w:val="0"/>
        </w:numPr>
        <w:spacing w:line="560" w:lineRule="exact"/>
        <w:ind w:firstLine="640" w:firstLineChars="200"/>
        <w:rPr>
          <w:rFonts w:hint="default" w:ascii="Times New Roman" w:hAnsi="Times New Roman" w:eastAsia="仿宋_GB2312" w:cs="Times New Roman"/>
          <w:b w:val="0"/>
          <w:bCs/>
          <w:kern w:val="0"/>
          <w:sz w:val="32"/>
          <w:szCs w:val="32"/>
          <w:lang w:val="en-US" w:eastAsia="zh-CN"/>
        </w:rPr>
      </w:pPr>
      <w:r>
        <w:rPr>
          <w:rFonts w:hint="default" w:ascii="Times New Roman" w:hAnsi="Times New Roman" w:eastAsia="仿宋_GB2312" w:cs="Times New Roman"/>
          <w:b w:val="0"/>
          <w:bCs/>
          <w:kern w:val="0"/>
          <w:sz w:val="32"/>
          <w:szCs w:val="32"/>
          <w:lang w:val="en-US" w:eastAsia="zh-CN"/>
        </w:rPr>
        <w:t>增城区城市公共汽车企业营运成本由直接营运成本、期间费用和部分税金构成。</w:t>
      </w:r>
    </w:p>
    <w:p w14:paraId="4ADC22A4">
      <w:pPr>
        <w:keepNext w:val="0"/>
        <w:keepLines w:val="0"/>
        <w:pageBreakBefore w:val="0"/>
        <w:numPr>
          <w:ilvl w:val="0"/>
          <w:numId w:val="1"/>
        </w:numPr>
        <w:kinsoku/>
        <w:wordWrap/>
        <w:overflowPunct/>
        <w:topLinePunct w:val="0"/>
        <w:autoSpaceDE/>
        <w:autoSpaceDN/>
        <w:bidi w:val="0"/>
        <w:adjustRightInd/>
        <w:spacing w:line="560" w:lineRule="exact"/>
        <w:ind w:left="0" w:leftChars="0" w:firstLine="420" w:firstLineChars="0"/>
        <w:outlineLvl w:val="1"/>
        <w:rPr>
          <w:rFonts w:hint="default" w:ascii="Times New Roman" w:hAnsi="Times New Roman" w:eastAsia="楷体" w:cs="Times New Roman"/>
          <w:b w:val="0"/>
          <w:bCs/>
          <w:sz w:val="32"/>
          <w:szCs w:val="32"/>
        </w:rPr>
      </w:pPr>
      <w:r>
        <w:rPr>
          <w:rFonts w:hint="default" w:ascii="Times New Roman" w:hAnsi="Times New Roman" w:eastAsia="楷体" w:cs="Times New Roman"/>
          <w:b w:val="0"/>
          <w:bCs/>
          <w:sz w:val="32"/>
          <w:szCs w:val="32"/>
        </w:rPr>
        <w:t>直接营运成本</w:t>
      </w:r>
    </w:p>
    <w:p w14:paraId="086F2C4D">
      <w:pPr>
        <w:numPr>
          <w:ilvl w:val="0"/>
          <w:numId w:val="0"/>
        </w:numPr>
        <w:spacing w:line="560" w:lineRule="exact"/>
        <w:ind w:firstLine="640" w:firstLineChars="200"/>
        <w:rPr>
          <w:rFonts w:hint="default" w:ascii="Times New Roman" w:hAnsi="Times New Roman" w:eastAsia="仿宋_GB2312" w:cs="Times New Roman"/>
          <w:b w:val="0"/>
          <w:bCs/>
          <w:kern w:val="0"/>
          <w:sz w:val="32"/>
          <w:szCs w:val="32"/>
          <w:lang w:val="en-US" w:eastAsia="zh-CN"/>
        </w:rPr>
      </w:pPr>
      <w:r>
        <w:rPr>
          <w:rFonts w:hint="default" w:ascii="Times New Roman" w:hAnsi="Times New Roman" w:eastAsia="仿宋_GB2312" w:cs="Times New Roman"/>
          <w:b w:val="0"/>
          <w:bCs/>
          <w:kern w:val="0"/>
          <w:sz w:val="32"/>
          <w:szCs w:val="32"/>
          <w:lang w:val="en-US" w:eastAsia="zh-CN"/>
        </w:rPr>
        <w:t>包括营运人员职工薪酬、营运车辆各种燃料动力耗费、折旧费、轮胎消耗费、修理费、安全生产费、通行费、保险费、租赁费、车辆牌照检验费、线路费、站场维护费、事故损失费、劳务费、点钞费、结算服务费及其他直接营运费用。</w:t>
      </w:r>
    </w:p>
    <w:p w14:paraId="3F2C280E">
      <w:pPr>
        <w:keepNext w:val="0"/>
        <w:keepLines w:val="0"/>
        <w:pageBreakBefore w:val="0"/>
        <w:numPr>
          <w:ilvl w:val="0"/>
          <w:numId w:val="1"/>
        </w:numPr>
        <w:kinsoku/>
        <w:wordWrap/>
        <w:overflowPunct/>
        <w:topLinePunct w:val="0"/>
        <w:autoSpaceDE/>
        <w:autoSpaceDN/>
        <w:bidi w:val="0"/>
        <w:adjustRightInd/>
        <w:spacing w:line="560" w:lineRule="exact"/>
        <w:ind w:left="0" w:leftChars="0" w:firstLine="420" w:firstLineChars="0"/>
        <w:outlineLvl w:val="1"/>
        <w:rPr>
          <w:rFonts w:hint="default" w:ascii="Times New Roman" w:hAnsi="Times New Roman" w:eastAsia="楷体" w:cs="Times New Roman"/>
          <w:b w:val="0"/>
          <w:bCs/>
          <w:sz w:val="32"/>
          <w:szCs w:val="32"/>
        </w:rPr>
      </w:pPr>
      <w:r>
        <w:rPr>
          <w:rFonts w:hint="default" w:ascii="Times New Roman" w:hAnsi="Times New Roman" w:eastAsia="楷体" w:cs="Times New Roman"/>
          <w:b w:val="0"/>
          <w:bCs/>
          <w:sz w:val="32"/>
          <w:szCs w:val="32"/>
        </w:rPr>
        <w:t>期间费用</w:t>
      </w:r>
    </w:p>
    <w:p w14:paraId="345346D3">
      <w:pPr>
        <w:numPr>
          <w:ilvl w:val="0"/>
          <w:numId w:val="0"/>
        </w:numPr>
        <w:spacing w:line="560" w:lineRule="exact"/>
        <w:ind w:firstLine="640" w:firstLineChars="200"/>
        <w:rPr>
          <w:rFonts w:hint="default" w:ascii="Times New Roman" w:hAnsi="Times New Roman" w:eastAsia="仿宋_GB2312" w:cs="Times New Roman"/>
          <w:b w:val="0"/>
          <w:bCs/>
          <w:kern w:val="0"/>
          <w:sz w:val="32"/>
          <w:szCs w:val="32"/>
          <w:lang w:val="en-US" w:eastAsia="zh-CN"/>
        </w:rPr>
      </w:pPr>
      <w:r>
        <w:rPr>
          <w:rFonts w:hint="default" w:ascii="Times New Roman" w:hAnsi="Times New Roman" w:eastAsia="仿宋_GB2312" w:cs="Times New Roman"/>
          <w:b w:val="0"/>
          <w:bCs/>
          <w:kern w:val="0"/>
          <w:sz w:val="32"/>
          <w:szCs w:val="32"/>
          <w:lang w:val="en-US" w:eastAsia="zh-CN"/>
        </w:rPr>
        <w:t>包括管理费用和财务费用。管理费用，指公共汽（电）车营运企业内设的行政管理部门为组织和管理营运生产活动而发生的各项费用。包括：管理部门人员职工薪酬、差旅费、业务招待费、折旧费、非营运车辆费用（修理费、保险费、通行费等）、办公费、水电费、租赁费、会议费、宣传费、劳务费、低值易耗品、无形资产摊销和长期待摊费用等。财务费用，指公共汽（电）车营运企业为筹集营运业务所需资金而发生的各项费用。包括企业营运期间发生的利息净支出、汇兑净损失和相关手续费等。</w:t>
      </w:r>
    </w:p>
    <w:p w14:paraId="7ACFDE12">
      <w:pPr>
        <w:keepNext w:val="0"/>
        <w:keepLines w:val="0"/>
        <w:pageBreakBefore w:val="0"/>
        <w:numPr>
          <w:ilvl w:val="0"/>
          <w:numId w:val="1"/>
        </w:numPr>
        <w:kinsoku/>
        <w:wordWrap/>
        <w:overflowPunct/>
        <w:topLinePunct w:val="0"/>
        <w:autoSpaceDE/>
        <w:autoSpaceDN/>
        <w:bidi w:val="0"/>
        <w:adjustRightInd/>
        <w:spacing w:line="560" w:lineRule="exact"/>
        <w:ind w:left="0" w:leftChars="0" w:firstLine="420" w:firstLineChars="0"/>
        <w:outlineLvl w:val="1"/>
        <w:rPr>
          <w:rFonts w:hint="default" w:ascii="Times New Roman" w:hAnsi="Times New Roman" w:eastAsia="楷体" w:cs="Times New Roman"/>
          <w:b w:val="0"/>
          <w:bCs/>
          <w:sz w:val="32"/>
          <w:szCs w:val="32"/>
        </w:rPr>
      </w:pPr>
      <w:r>
        <w:rPr>
          <w:rFonts w:hint="default" w:ascii="Times New Roman" w:hAnsi="Times New Roman" w:eastAsia="楷体" w:cs="Times New Roman"/>
          <w:b w:val="0"/>
          <w:bCs/>
          <w:sz w:val="32"/>
          <w:szCs w:val="32"/>
        </w:rPr>
        <w:t>部分税金</w:t>
      </w:r>
    </w:p>
    <w:p w14:paraId="4552CA7D">
      <w:pPr>
        <w:numPr>
          <w:ilvl w:val="0"/>
          <w:numId w:val="0"/>
        </w:numPr>
        <w:spacing w:line="560" w:lineRule="exact"/>
        <w:ind w:firstLine="640" w:firstLineChars="200"/>
        <w:rPr>
          <w:rFonts w:hint="default" w:ascii="Times New Roman" w:hAnsi="Times New Roman" w:eastAsia="仿宋_GB2312" w:cs="Times New Roman"/>
          <w:b w:val="0"/>
          <w:bCs/>
          <w:kern w:val="0"/>
          <w:sz w:val="32"/>
          <w:szCs w:val="32"/>
          <w:lang w:val="en-US" w:eastAsia="zh-CN"/>
        </w:rPr>
      </w:pPr>
      <w:r>
        <w:rPr>
          <w:rFonts w:hint="default" w:ascii="Times New Roman" w:hAnsi="Times New Roman" w:eastAsia="仿宋_GB2312" w:cs="Times New Roman"/>
          <w:b w:val="0"/>
          <w:bCs/>
          <w:kern w:val="0"/>
          <w:sz w:val="32"/>
          <w:szCs w:val="32"/>
          <w:lang w:val="en-US" w:eastAsia="zh-CN"/>
        </w:rPr>
        <w:t>指房产税、土地使用税、车船税及印花税。</w:t>
      </w:r>
    </w:p>
    <w:p w14:paraId="06A76E04">
      <w:pPr>
        <w:keepNext w:val="0"/>
        <w:keepLines w:val="0"/>
        <w:pageBreakBefore w:val="0"/>
        <w:numPr>
          <w:ilvl w:val="0"/>
          <w:numId w:val="0"/>
        </w:numPr>
        <w:kinsoku/>
        <w:wordWrap/>
        <w:overflowPunct/>
        <w:topLinePunct w:val="0"/>
        <w:autoSpaceDE/>
        <w:autoSpaceDN/>
        <w:bidi w:val="0"/>
        <w:adjustRightInd/>
        <w:spacing w:line="560" w:lineRule="exact"/>
        <w:ind w:firstLine="640" w:firstLineChars="200"/>
        <w:outlineLvl w:val="0"/>
        <w:rPr>
          <w:rFonts w:hint="default" w:ascii="Times New Roman" w:hAnsi="Times New Roman" w:eastAsia="黑体" w:cs="Times New Roman"/>
          <w:b w:val="0"/>
          <w:bCs/>
          <w:sz w:val="32"/>
          <w:szCs w:val="32"/>
        </w:rPr>
      </w:pPr>
      <w:r>
        <w:rPr>
          <w:rFonts w:hint="default" w:ascii="Times New Roman" w:hAnsi="Times New Roman" w:eastAsia="黑体" w:cs="Times New Roman"/>
          <w:b w:val="0"/>
          <w:bCs/>
          <w:kern w:val="2"/>
          <w:sz w:val="32"/>
          <w:szCs w:val="32"/>
          <w:lang w:val="en-US" w:eastAsia="zh-CN"/>
        </w:rPr>
        <w:t>五、</w:t>
      </w:r>
      <w:r>
        <w:rPr>
          <w:rFonts w:hint="default" w:ascii="Times New Roman" w:hAnsi="Times New Roman" w:eastAsia="黑体" w:cs="Times New Roman"/>
          <w:b w:val="0"/>
          <w:bCs/>
          <w:sz w:val="32"/>
          <w:szCs w:val="32"/>
        </w:rPr>
        <w:t>成本核算方法</w:t>
      </w:r>
    </w:p>
    <w:p w14:paraId="4368FC6E">
      <w:pPr>
        <w:numPr>
          <w:ilvl w:val="0"/>
          <w:numId w:val="0"/>
        </w:numPr>
        <w:spacing w:line="560" w:lineRule="exact"/>
        <w:ind w:firstLine="640" w:firstLineChars="200"/>
        <w:rPr>
          <w:rFonts w:hint="default" w:ascii="Times New Roman" w:hAnsi="Times New Roman" w:eastAsia="仿宋_GB2312" w:cs="Times New Roman"/>
          <w:b w:val="0"/>
          <w:bCs/>
          <w:kern w:val="0"/>
          <w:sz w:val="32"/>
          <w:szCs w:val="32"/>
          <w:lang w:val="en-US" w:eastAsia="zh-CN"/>
        </w:rPr>
      </w:pPr>
      <w:r>
        <w:rPr>
          <w:rFonts w:hint="default" w:ascii="Times New Roman" w:hAnsi="Times New Roman" w:eastAsia="仿宋_GB2312" w:cs="Times New Roman"/>
          <w:b w:val="0"/>
          <w:bCs/>
          <w:kern w:val="0"/>
          <w:sz w:val="32"/>
          <w:szCs w:val="32"/>
          <w:lang w:val="en-US" w:eastAsia="zh-CN"/>
        </w:rPr>
        <w:t>本次成本核算方法依据《关于印发&lt;广东省发展改革委关于城市公共汽（电）车客运定价成本监审的办法&gt;的通知》（粤发改规〔2021〕6号）（以下简称监审办法）的相关内容，具体如下：</w:t>
      </w:r>
    </w:p>
    <w:p w14:paraId="56133696">
      <w:pPr>
        <w:numPr>
          <w:ilvl w:val="0"/>
          <w:numId w:val="0"/>
        </w:numPr>
        <w:spacing w:line="560" w:lineRule="exact"/>
        <w:ind w:firstLine="640" w:firstLineChars="200"/>
        <w:rPr>
          <w:rFonts w:hint="default" w:ascii="Times New Roman" w:hAnsi="Times New Roman" w:eastAsia="仿宋_GB2312" w:cs="Times New Roman"/>
          <w:b w:val="0"/>
          <w:bCs/>
          <w:kern w:val="0"/>
          <w:sz w:val="32"/>
          <w:szCs w:val="32"/>
          <w:lang w:val="en-US" w:eastAsia="zh-CN"/>
        </w:rPr>
      </w:pPr>
      <w:r>
        <w:rPr>
          <w:rFonts w:hint="default" w:ascii="Times New Roman" w:hAnsi="Times New Roman" w:eastAsia="仿宋_GB2312" w:cs="Times New Roman"/>
          <w:b w:val="0"/>
          <w:bCs/>
          <w:kern w:val="0"/>
          <w:sz w:val="32"/>
          <w:szCs w:val="32"/>
          <w:lang w:val="en-US" w:eastAsia="zh-CN"/>
        </w:rPr>
        <w:t>营运总成本=直接营运成本+期间费用+部分税金及附加-应冲减成本数；</w:t>
      </w:r>
    </w:p>
    <w:p w14:paraId="7D1056EB">
      <w:pPr>
        <w:numPr>
          <w:ilvl w:val="0"/>
          <w:numId w:val="0"/>
        </w:numPr>
        <w:spacing w:line="560" w:lineRule="exact"/>
        <w:ind w:firstLine="640" w:firstLineChars="200"/>
        <w:rPr>
          <w:rFonts w:hint="default" w:ascii="Times New Roman" w:hAnsi="Times New Roman" w:eastAsia="仿宋_GB2312" w:cs="Times New Roman"/>
          <w:b w:val="0"/>
          <w:bCs/>
          <w:kern w:val="0"/>
          <w:sz w:val="32"/>
          <w:szCs w:val="32"/>
          <w:lang w:val="en-US" w:eastAsia="zh-CN"/>
        </w:rPr>
      </w:pPr>
      <w:r>
        <w:rPr>
          <w:rFonts w:hint="default" w:ascii="Times New Roman" w:hAnsi="Times New Roman" w:eastAsia="仿宋_GB2312" w:cs="Times New Roman"/>
          <w:b w:val="0"/>
          <w:bCs/>
          <w:kern w:val="0"/>
          <w:sz w:val="32"/>
          <w:szCs w:val="32"/>
          <w:lang w:val="en-US" w:eastAsia="zh-CN"/>
        </w:rPr>
        <w:t>单位人次营运成本=营运总成本/核定客运总量。</w:t>
      </w:r>
    </w:p>
    <w:p w14:paraId="2049C592">
      <w:pPr>
        <w:numPr>
          <w:ilvl w:val="0"/>
          <w:numId w:val="0"/>
        </w:numPr>
        <w:spacing w:line="560" w:lineRule="exact"/>
        <w:ind w:firstLine="640" w:firstLineChars="200"/>
        <w:rPr>
          <w:rFonts w:hint="default" w:ascii="Times New Roman" w:hAnsi="Times New Roman" w:eastAsia="仿宋_GB2312" w:cs="Times New Roman"/>
          <w:b w:val="0"/>
          <w:bCs/>
          <w:kern w:val="0"/>
          <w:sz w:val="32"/>
          <w:szCs w:val="32"/>
          <w:lang w:val="en-US" w:eastAsia="zh-CN"/>
        </w:rPr>
      </w:pPr>
      <w:r>
        <w:rPr>
          <w:rFonts w:hint="default" w:ascii="Times New Roman" w:hAnsi="Times New Roman" w:eastAsia="仿宋_GB2312" w:cs="Times New Roman"/>
          <w:b w:val="0"/>
          <w:bCs/>
          <w:kern w:val="0"/>
          <w:sz w:val="32"/>
          <w:szCs w:val="32"/>
          <w:lang w:val="en-US" w:eastAsia="zh-CN"/>
        </w:rPr>
        <w:t>各项成本坚持合法、合理、相关原则，按以下方法核定：</w:t>
      </w:r>
    </w:p>
    <w:p w14:paraId="74E7E4BF">
      <w:pPr>
        <w:keepNext w:val="0"/>
        <w:keepLines w:val="0"/>
        <w:pageBreakBefore w:val="0"/>
        <w:kinsoku/>
        <w:wordWrap/>
        <w:overflowPunct/>
        <w:topLinePunct w:val="0"/>
        <w:autoSpaceDE/>
        <w:autoSpaceDN/>
        <w:bidi w:val="0"/>
        <w:adjustRightInd/>
        <w:spacing w:line="560" w:lineRule="exact"/>
        <w:ind w:left="0" w:leftChars="0" w:firstLine="640" w:firstLineChars="200"/>
        <w:rPr>
          <w:rFonts w:hint="default" w:ascii="Times New Roman" w:hAnsi="Times New Roman" w:eastAsia="楷体" w:cs="Times New Roman"/>
          <w:b w:val="0"/>
          <w:bCs w:val="0"/>
          <w:sz w:val="32"/>
          <w:szCs w:val="32"/>
        </w:rPr>
      </w:pPr>
      <w:r>
        <w:rPr>
          <w:rFonts w:hint="default" w:ascii="Times New Roman" w:hAnsi="Times New Roman" w:eastAsia="楷体" w:cs="Times New Roman"/>
          <w:b w:val="0"/>
          <w:bCs w:val="0"/>
          <w:sz w:val="32"/>
          <w:szCs w:val="32"/>
        </w:rPr>
        <w:t>（一）职工薪酬</w:t>
      </w:r>
    </w:p>
    <w:p w14:paraId="0AF84363">
      <w:pPr>
        <w:numPr>
          <w:ilvl w:val="0"/>
          <w:numId w:val="0"/>
        </w:numPr>
        <w:spacing w:line="560" w:lineRule="exact"/>
        <w:ind w:firstLine="640" w:firstLineChars="200"/>
        <w:rPr>
          <w:rFonts w:hint="default" w:ascii="Times New Roman" w:hAnsi="Times New Roman" w:eastAsia="仿宋_GB2312" w:cs="Times New Roman"/>
          <w:b w:val="0"/>
          <w:bCs/>
          <w:kern w:val="0"/>
          <w:sz w:val="32"/>
          <w:szCs w:val="32"/>
          <w:lang w:val="en-US" w:eastAsia="zh-CN"/>
        </w:rPr>
      </w:pPr>
      <w:r>
        <w:rPr>
          <w:rFonts w:hint="default" w:ascii="Times New Roman" w:hAnsi="Times New Roman" w:eastAsia="仿宋_GB2312" w:cs="Times New Roman"/>
          <w:b w:val="0"/>
          <w:bCs/>
          <w:kern w:val="0"/>
          <w:sz w:val="32"/>
          <w:szCs w:val="32"/>
          <w:lang w:val="en-US" w:eastAsia="zh-CN"/>
        </w:rPr>
        <w:t>职工薪酬是指公共汽（电）车营运企业为获得职工提供的服务或依法解除劳动关系而给予的各种形式的报酬或补偿，包括职工工资总额、工会经费、职工教育经费、职工福利费、社会保险费（包含补充医疗和补充养老保险）、住房公积金和辞退福利等。本次成本监审按照广州市统计局公布的《全市城镇非私营单位在岗职工人数与工资》中交通运输、仓储和邮政业的在岗职工年平均工资核定职工工资总额。</w:t>
      </w:r>
    </w:p>
    <w:p w14:paraId="782C9E72">
      <w:pPr>
        <w:numPr>
          <w:ilvl w:val="0"/>
          <w:numId w:val="0"/>
        </w:numPr>
        <w:spacing w:line="560" w:lineRule="exact"/>
        <w:ind w:firstLine="640" w:firstLineChars="200"/>
        <w:rPr>
          <w:rFonts w:hint="default" w:ascii="Times New Roman" w:hAnsi="Times New Roman" w:eastAsia="仿宋_GB2312" w:cs="Times New Roman"/>
          <w:b w:val="0"/>
          <w:bCs/>
          <w:kern w:val="0"/>
          <w:sz w:val="32"/>
          <w:szCs w:val="32"/>
          <w:lang w:val="en-US" w:eastAsia="zh-CN"/>
        </w:rPr>
      </w:pPr>
      <w:r>
        <w:rPr>
          <w:rFonts w:hint="default" w:ascii="Times New Roman" w:hAnsi="Times New Roman" w:eastAsia="仿宋_GB2312" w:cs="Times New Roman"/>
          <w:b w:val="0"/>
          <w:bCs/>
          <w:kern w:val="0"/>
          <w:sz w:val="32"/>
          <w:szCs w:val="32"/>
          <w:lang w:val="en-US" w:eastAsia="zh-CN"/>
        </w:rPr>
        <w:t>1.职工人数。根据《广东省发展改革委关于城市公共汽（电）车客运定价成本监审的办法》（粤发改规〔2021〕6号）（以下简称《监审办法》）第十条规定：驾驶员、票（乘）务员、点（收）钞员、收箱工和电车架线工、供变电工人数原则上据实核定；行政管理人员、后勤人员和车队服务人员等按核定职工人数最高限额的20%内据实核定。企业职工人数以与企业正式订立劳动合同的年平均人数核定。对于劳务派遣工、临时工、内退人员、退休返聘人员以及非广州市本级财政补贴运营车辆人员予以了核减。</w:t>
      </w:r>
    </w:p>
    <w:p w14:paraId="5AA7705E">
      <w:pPr>
        <w:numPr>
          <w:ilvl w:val="0"/>
          <w:numId w:val="0"/>
        </w:numPr>
        <w:spacing w:line="560" w:lineRule="exact"/>
        <w:ind w:firstLine="640" w:firstLineChars="200"/>
        <w:rPr>
          <w:rFonts w:hint="default" w:ascii="Times New Roman" w:hAnsi="Times New Roman" w:eastAsia="仿宋_GB2312" w:cs="Times New Roman"/>
          <w:b w:val="0"/>
          <w:bCs/>
          <w:kern w:val="0"/>
          <w:sz w:val="32"/>
          <w:szCs w:val="32"/>
          <w:lang w:val="en-US" w:eastAsia="zh-CN"/>
        </w:rPr>
      </w:pPr>
      <w:r>
        <w:rPr>
          <w:rFonts w:hint="default" w:ascii="Times New Roman" w:hAnsi="Times New Roman" w:eastAsia="仿宋_GB2312" w:cs="Times New Roman"/>
          <w:b w:val="0"/>
          <w:bCs/>
          <w:kern w:val="0"/>
          <w:sz w:val="32"/>
          <w:szCs w:val="32"/>
          <w:lang w:val="en-US" w:eastAsia="zh-CN"/>
        </w:rPr>
        <w:t>2.人均工资。按照广州市2021-2023年城镇非私营单位交通运输、仓储和邮政业在岗职工平均工资核定。</w:t>
      </w:r>
    </w:p>
    <w:p w14:paraId="7844C1B3">
      <w:pPr>
        <w:numPr>
          <w:ilvl w:val="0"/>
          <w:numId w:val="0"/>
        </w:numPr>
        <w:spacing w:line="560" w:lineRule="exact"/>
        <w:ind w:firstLine="640" w:firstLineChars="200"/>
        <w:rPr>
          <w:rFonts w:hint="default" w:ascii="Times New Roman" w:hAnsi="Times New Roman" w:eastAsia="仿宋_GB2312" w:cs="Times New Roman"/>
          <w:b w:val="0"/>
          <w:bCs/>
          <w:kern w:val="0"/>
          <w:sz w:val="32"/>
          <w:szCs w:val="32"/>
          <w:lang w:val="en-US" w:eastAsia="zh-CN"/>
        </w:rPr>
      </w:pPr>
      <w:r>
        <w:rPr>
          <w:rFonts w:hint="default" w:ascii="Times New Roman" w:hAnsi="Times New Roman" w:eastAsia="仿宋_GB2312" w:cs="Times New Roman"/>
          <w:b w:val="0"/>
          <w:bCs/>
          <w:kern w:val="0"/>
          <w:sz w:val="32"/>
          <w:szCs w:val="32"/>
          <w:lang w:val="en-US" w:eastAsia="zh-CN"/>
        </w:rPr>
        <w:t>3.职工福利费。《监审办法》第十条规定，按照不超过职工工资总额的14%据实核定。</w:t>
      </w:r>
    </w:p>
    <w:p w14:paraId="50F5EC18">
      <w:pPr>
        <w:numPr>
          <w:ilvl w:val="0"/>
          <w:numId w:val="0"/>
        </w:numPr>
        <w:spacing w:line="560" w:lineRule="exact"/>
        <w:ind w:firstLine="640" w:firstLineChars="200"/>
        <w:rPr>
          <w:rFonts w:hint="default" w:ascii="Times New Roman" w:hAnsi="Times New Roman" w:eastAsia="仿宋_GB2312" w:cs="Times New Roman"/>
          <w:b w:val="0"/>
          <w:bCs/>
          <w:kern w:val="0"/>
          <w:sz w:val="32"/>
          <w:szCs w:val="32"/>
          <w:lang w:val="en-US" w:eastAsia="zh-CN"/>
        </w:rPr>
      </w:pPr>
      <w:r>
        <w:rPr>
          <w:rFonts w:hint="default" w:ascii="Times New Roman" w:hAnsi="Times New Roman" w:eastAsia="仿宋_GB2312" w:cs="Times New Roman"/>
          <w:b w:val="0"/>
          <w:bCs/>
          <w:kern w:val="0"/>
          <w:sz w:val="32"/>
          <w:szCs w:val="32"/>
          <w:lang w:val="en-US" w:eastAsia="zh-CN"/>
        </w:rPr>
        <w:t>4.社会保险费。根据《广州市人民政府转发广东省政府关于贯彻国务院完善企业职工基本养老保险制度决定的通知》（穗府〔2007〕15号）、《广州市城镇职工基本医疗保险试行办法》（穗府令〔2008〕第11号）等文件规定，据实核定公交企业的各项社会保险费支出。</w:t>
      </w:r>
    </w:p>
    <w:p w14:paraId="0237537A">
      <w:pPr>
        <w:numPr>
          <w:ilvl w:val="0"/>
          <w:numId w:val="0"/>
        </w:numPr>
        <w:spacing w:line="560" w:lineRule="exact"/>
        <w:ind w:firstLine="640" w:firstLineChars="200"/>
        <w:rPr>
          <w:rFonts w:hint="default" w:ascii="Times New Roman" w:hAnsi="Times New Roman" w:eastAsia="仿宋_GB2312" w:cs="Times New Roman"/>
          <w:b w:val="0"/>
          <w:bCs/>
          <w:kern w:val="0"/>
          <w:sz w:val="32"/>
          <w:szCs w:val="32"/>
          <w:lang w:val="en-US" w:eastAsia="zh-CN"/>
        </w:rPr>
      </w:pPr>
      <w:r>
        <w:rPr>
          <w:rFonts w:hint="default" w:ascii="Times New Roman" w:hAnsi="Times New Roman" w:eastAsia="仿宋_GB2312" w:cs="Times New Roman"/>
          <w:b w:val="0"/>
          <w:bCs/>
          <w:kern w:val="0"/>
          <w:sz w:val="32"/>
          <w:szCs w:val="32"/>
          <w:lang w:val="en-US" w:eastAsia="zh-CN"/>
        </w:rPr>
        <w:t>5.住房公积金。根据《住房公积金管理条例》、《建设部财政部中国人民银行关于住房公积金管理若干具体问题的指导意见》（建金管〔2005〕5号）的规定，广州市各公交公司的住房公积金缴存比例按不超过12%据实核定。</w:t>
      </w:r>
    </w:p>
    <w:p w14:paraId="793BC317">
      <w:pPr>
        <w:numPr>
          <w:ilvl w:val="0"/>
          <w:numId w:val="0"/>
        </w:numPr>
        <w:spacing w:line="560" w:lineRule="exact"/>
        <w:ind w:firstLine="640" w:firstLineChars="200"/>
        <w:rPr>
          <w:rFonts w:hint="default" w:ascii="Times New Roman" w:hAnsi="Times New Roman" w:eastAsia="仿宋_GB2312" w:cs="Times New Roman"/>
          <w:b w:val="0"/>
          <w:bCs/>
          <w:kern w:val="0"/>
          <w:sz w:val="32"/>
          <w:szCs w:val="32"/>
          <w:lang w:val="en-US" w:eastAsia="zh-CN"/>
        </w:rPr>
      </w:pPr>
      <w:r>
        <w:rPr>
          <w:rFonts w:hint="default" w:ascii="Times New Roman" w:hAnsi="Times New Roman" w:eastAsia="仿宋_GB2312" w:cs="Times New Roman"/>
          <w:b w:val="0"/>
          <w:bCs/>
          <w:kern w:val="0"/>
          <w:sz w:val="32"/>
          <w:szCs w:val="32"/>
          <w:lang w:val="en-US" w:eastAsia="zh-CN"/>
        </w:rPr>
        <w:t>6.工会经费、职工教育经费。按照《监审办法》第十条的规定，工会经费在不超过工资总额的2%以内据实核定，职工教育经费在不超过工资总额的8%以内据实核定。</w:t>
      </w:r>
    </w:p>
    <w:p w14:paraId="2ED0365C">
      <w:pPr>
        <w:keepNext w:val="0"/>
        <w:keepLines w:val="0"/>
        <w:pageBreakBefore w:val="0"/>
        <w:kinsoku/>
        <w:wordWrap/>
        <w:overflowPunct/>
        <w:topLinePunct w:val="0"/>
        <w:autoSpaceDE/>
        <w:autoSpaceDN/>
        <w:bidi w:val="0"/>
        <w:adjustRightInd/>
        <w:spacing w:line="560" w:lineRule="exact"/>
        <w:ind w:left="0" w:leftChars="0" w:firstLine="640" w:firstLineChars="200"/>
        <w:rPr>
          <w:rFonts w:hint="default" w:ascii="Times New Roman" w:hAnsi="Times New Roman" w:eastAsia="楷体" w:cs="Times New Roman"/>
          <w:b w:val="0"/>
          <w:bCs w:val="0"/>
          <w:sz w:val="32"/>
          <w:szCs w:val="32"/>
        </w:rPr>
      </w:pPr>
      <w:r>
        <w:rPr>
          <w:rFonts w:hint="default" w:ascii="Times New Roman" w:hAnsi="Times New Roman" w:eastAsia="楷体" w:cs="Times New Roman"/>
          <w:b w:val="0"/>
          <w:bCs w:val="0"/>
          <w:sz w:val="32"/>
          <w:szCs w:val="32"/>
        </w:rPr>
        <w:t>（二）燃料动力费</w:t>
      </w:r>
    </w:p>
    <w:p w14:paraId="6F7C4D3B">
      <w:pPr>
        <w:numPr>
          <w:ilvl w:val="0"/>
          <w:numId w:val="0"/>
        </w:numPr>
        <w:spacing w:line="560" w:lineRule="exact"/>
        <w:ind w:firstLine="640" w:firstLineChars="200"/>
        <w:rPr>
          <w:rFonts w:hint="default" w:ascii="Times New Roman" w:hAnsi="Times New Roman" w:eastAsia="仿宋_GB2312" w:cs="Times New Roman"/>
          <w:b w:val="0"/>
          <w:bCs/>
          <w:kern w:val="0"/>
          <w:sz w:val="32"/>
          <w:szCs w:val="32"/>
          <w:lang w:val="en-US" w:eastAsia="zh-CN"/>
        </w:rPr>
      </w:pPr>
      <w:r>
        <w:rPr>
          <w:rFonts w:hint="default" w:ascii="Times New Roman" w:hAnsi="Times New Roman" w:eastAsia="仿宋_GB2312" w:cs="Times New Roman"/>
          <w:b w:val="0"/>
          <w:bCs/>
          <w:kern w:val="0"/>
          <w:sz w:val="32"/>
          <w:szCs w:val="32"/>
          <w:lang w:val="en-US" w:eastAsia="zh-CN"/>
        </w:rPr>
        <w:t>根据《监审办法》第十一条，燃料动力费依据有关车辆技术指标并结合本地区实际情况确定，没有标准的据实核定。</w:t>
      </w:r>
    </w:p>
    <w:p w14:paraId="1BD812E6">
      <w:pPr>
        <w:keepNext w:val="0"/>
        <w:keepLines w:val="0"/>
        <w:pageBreakBefore w:val="0"/>
        <w:kinsoku/>
        <w:wordWrap/>
        <w:overflowPunct/>
        <w:topLinePunct w:val="0"/>
        <w:autoSpaceDE/>
        <w:autoSpaceDN/>
        <w:bidi w:val="0"/>
        <w:adjustRightInd/>
        <w:spacing w:line="560" w:lineRule="exact"/>
        <w:ind w:left="0" w:leftChars="0" w:firstLine="640" w:firstLineChars="200"/>
        <w:outlineLvl w:val="1"/>
        <w:rPr>
          <w:rFonts w:hint="default" w:ascii="Times New Roman" w:hAnsi="Times New Roman" w:eastAsia="楷体" w:cs="Times New Roman"/>
          <w:b w:val="0"/>
          <w:bCs/>
          <w:sz w:val="32"/>
          <w:szCs w:val="32"/>
        </w:rPr>
      </w:pPr>
      <w:r>
        <w:rPr>
          <w:rFonts w:hint="default" w:ascii="Times New Roman" w:hAnsi="Times New Roman" w:eastAsia="楷体" w:cs="Times New Roman"/>
          <w:b w:val="0"/>
          <w:bCs/>
          <w:sz w:val="32"/>
          <w:szCs w:val="32"/>
        </w:rPr>
        <w:t>（三）轮胎消耗费</w:t>
      </w:r>
    </w:p>
    <w:p w14:paraId="7096F725">
      <w:pPr>
        <w:numPr>
          <w:ilvl w:val="0"/>
          <w:numId w:val="0"/>
        </w:numPr>
        <w:spacing w:line="560" w:lineRule="exact"/>
        <w:ind w:firstLine="640" w:firstLineChars="200"/>
        <w:rPr>
          <w:rFonts w:hint="default" w:ascii="Times New Roman" w:hAnsi="Times New Roman" w:eastAsia="仿宋_GB2312" w:cs="Times New Roman"/>
          <w:b w:val="0"/>
          <w:bCs/>
          <w:kern w:val="0"/>
          <w:sz w:val="32"/>
          <w:szCs w:val="32"/>
          <w:lang w:val="en-US" w:eastAsia="zh-CN"/>
        </w:rPr>
      </w:pPr>
      <w:r>
        <w:rPr>
          <w:rFonts w:hint="default" w:ascii="Times New Roman" w:hAnsi="Times New Roman" w:eastAsia="仿宋_GB2312" w:cs="Times New Roman"/>
          <w:b w:val="0"/>
          <w:bCs/>
          <w:kern w:val="0"/>
          <w:sz w:val="32"/>
          <w:szCs w:val="32"/>
          <w:lang w:val="en-US" w:eastAsia="zh-CN"/>
        </w:rPr>
        <w:t>根据《监审办法》第十二条，轮胎消耗费包括营运车辆耗用的外胎、内胎、垫带、轮胎的翻新及修补费用。依据有关车辆技术指标并结合本地区实际情况考虑确定，平均轮胎消耗量不得超过监审年度前三年平均消耗量。</w:t>
      </w:r>
    </w:p>
    <w:p w14:paraId="0D6A4369">
      <w:pPr>
        <w:keepNext w:val="0"/>
        <w:keepLines w:val="0"/>
        <w:pageBreakBefore w:val="0"/>
        <w:kinsoku/>
        <w:wordWrap/>
        <w:overflowPunct/>
        <w:topLinePunct w:val="0"/>
        <w:autoSpaceDE/>
        <w:autoSpaceDN/>
        <w:bidi w:val="0"/>
        <w:adjustRightInd/>
        <w:spacing w:line="560" w:lineRule="exact"/>
        <w:ind w:left="0" w:leftChars="0" w:firstLine="640" w:firstLineChars="200"/>
        <w:outlineLvl w:val="1"/>
        <w:rPr>
          <w:rFonts w:hint="default" w:ascii="Times New Roman" w:hAnsi="Times New Roman" w:eastAsia="楷体" w:cs="Times New Roman"/>
          <w:b w:val="0"/>
          <w:bCs/>
          <w:sz w:val="32"/>
          <w:szCs w:val="32"/>
        </w:rPr>
      </w:pPr>
      <w:r>
        <w:rPr>
          <w:rFonts w:hint="default" w:ascii="Times New Roman" w:hAnsi="Times New Roman" w:eastAsia="楷体" w:cs="Times New Roman"/>
          <w:b w:val="0"/>
          <w:bCs/>
          <w:sz w:val="32"/>
          <w:szCs w:val="32"/>
        </w:rPr>
        <w:t>（四）营运车辆修理费和安全生产费</w:t>
      </w:r>
    </w:p>
    <w:p w14:paraId="07ABDFEA">
      <w:pPr>
        <w:numPr>
          <w:ilvl w:val="0"/>
          <w:numId w:val="0"/>
        </w:numPr>
        <w:spacing w:line="560" w:lineRule="exact"/>
        <w:ind w:firstLine="640" w:firstLineChars="200"/>
        <w:rPr>
          <w:rFonts w:hint="default" w:ascii="Times New Roman" w:hAnsi="Times New Roman" w:eastAsia="仿宋_GB2312" w:cs="Times New Roman"/>
          <w:b w:val="0"/>
          <w:bCs/>
          <w:kern w:val="0"/>
          <w:sz w:val="32"/>
          <w:szCs w:val="32"/>
          <w:lang w:val="en-US" w:eastAsia="zh-CN"/>
        </w:rPr>
      </w:pPr>
      <w:r>
        <w:rPr>
          <w:rFonts w:hint="default" w:ascii="Times New Roman" w:hAnsi="Times New Roman" w:eastAsia="仿宋_GB2312" w:cs="Times New Roman"/>
          <w:b w:val="0"/>
          <w:bCs/>
          <w:kern w:val="0"/>
          <w:sz w:val="32"/>
          <w:szCs w:val="32"/>
          <w:lang w:val="en-US" w:eastAsia="zh-CN"/>
        </w:rPr>
        <w:t>根据《监审办法》第十三条，直接营运成本中的修理费，指企业对营运车辆进行各级常规养护和大中小修所发生的费用以及修理车间发生的与本科目相关的经费开支（含职工薪酬）。年修理费按不高于核定的固定资产原值的5%据实核定。</w:t>
      </w:r>
    </w:p>
    <w:p w14:paraId="5361CCC1">
      <w:pPr>
        <w:numPr>
          <w:ilvl w:val="0"/>
          <w:numId w:val="0"/>
        </w:numPr>
        <w:spacing w:line="560" w:lineRule="exact"/>
        <w:ind w:firstLine="640" w:firstLineChars="200"/>
        <w:rPr>
          <w:rFonts w:hint="default" w:ascii="Times New Roman" w:hAnsi="Times New Roman" w:eastAsia="仿宋_GB2312" w:cs="Times New Roman"/>
          <w:b w:val="0"/>
          <w:bCs/>
          <w:kern w:val="0"/>
          <w:sz w:val="32"/>
          <w:szCs w:val="32"/>
          <w:lang w:val="en-US" w:eastAsia="zh-CN"/>
        </w:rPr>
      </w:pPr>
      <w:r>
        <w:rPr>
          <w:rFonts w:hint="default" w:ascii="Times New Roman" w:hAnsi="Times New Roman" w:eastAsia="仿宋_GB2312" w:cs="Times New Roman"/>
          <w:b w:val="0"/>
          <w:bCs/>
          <w:kern w:val="0"/>
          <w:sz w:val="32"/>
          <w:szCs w:val="32"/>
          <w:lang w:val="en-US" w:eastAsia="zh-CN"/>
        </w:rPr>
        <w:t>对于计入维修费用中预提的安全生产费用，依据《企业安全生产费用提取和使用管理办法》（财政部、安全监管总局财企〔2012〕16号）在上年营业收入额的1.5%以内据实核定，对于未实际发生的预提费用予以了核减。</w:t>
      </w:r>
    </w:p>
    <w:p w14:paraId="1C11EB7B">
      <w:pPr>
        <w:keepNext w:val="0"/>
        <w:keepLines w:val="0"/>
        <w:pageBreakBefore w:val="0"/>
        <w:kinsoku/>
        <w:wordWrap/>
        <w:overflowPunct/>
        <w:topLinePunct w:val="0"/>
        <w:autoSpaceDE/>
        <w:autoSpaceDN/>
        <w:bidi w:val="0"/>
        <w:adjustRightInd/>
        <w:spacing w:line="560" w:lineRule="exact"/>
        <w:ind w:left="0" w:leftChars="0" w:firstLine="640" w:firstLineChars="200"/>
        <w:outlineLvl w:val="1"/>
        <w:rPr>
          <w:rFonts w:hint="default" w:ascii="Times New Roman" w:hAnsi="Times New Roman" w:eastAsia="楷体" w:cs="Times New Roman"/>
          <w:b w:val="0"/>
          <w:bCs/>
          <w:sz w:val="32"/>
          <w:szCs w:val="32"/>
        </w:rPr>
      </w:pPr>
      <w:r>
        <w:rPr>
          <w:rFonts w:hint="default" w:ascii="Times New Roman" w:hAnsi="Times New Roman" w:eastAsia="楷体" w:cs="Times New Roman"/>
          <w:b w:val="0"/>
          <w:bCs/>
          <w:sz w:val="32"/>
          <w:szCs w:val="32"/>
        </w:rPr>
        <w:t>（五）事故损失费</w:t>
      </w:r>
    </w:p>
    <w:p w14:paraId="2EA8F222">
      <w:pPr>
        <w:numPr>
          <w:ilvl w:val="0"/>
          <w:numId w:val="0"/>
        </w:numPr>
        <w:spacing w:line="560" w:lineRule="exact"/>
        <w:ind w:firstLine="640" w:firstLineChars="200"/>
        <w:rPr>
          <w:rFonts w:hint="default" w:ascii="Times New Roman" w:hAnsi="Times New Roman" w:eastAsia="仿宋_GB2312" w:cs="Times New Roman"/>
          <w:b w:val="0"/>
          <w:bCs/>
          <w:kern w:val="0"/>
          <w:sz w:val="32"/>
          <w:szCs w:val="32"/>
          <w:lang w:val="en-US" w:eastAsia="zh-CN"/>
        </w:rPr>
      </w:pPr>
      <w:r>
        <w:rPr>
          <w:rFonts w:hint="default" w:ascii="Times New Roman" w:hAnsi="Times New Roman" w:eastAsia="仿宋_GB2312" w:cs="Times New Roman"/>
          <w:b w:val="0"/>
          <w:bCs/>
          <w:kern w:val="0"/>
          <w:sz w:val="32"/>
          <w:szCs w:val="32"/>
          <w:lang w:val="en-US" w:eastAsia="zh-CN"/>
        </w:rPr>
        <w:t>根据《监审办法》第十六条，事故损失费原则上据实核定，参加保险的企业，保险公司给予企业的赔偿及无赔偿收入，应冲减成本。对于预提的事故损失费予以了核减。</w:t>
      </w:r>
    </w:p>
    <w:p w14:paraId="756B0543">
      <w:pPr>
        <w:keepNext w:val="0"/>
        <w:keepLines w:val="0"/>
        <w:pageBreakBefore w:val="0"/>
        <w:kinsoku/>
        <w:wordWrap/>
        <w:overflowPunct/>
        <w:topLinePunct w:val="0"/>
        <w:autoSpaceDE/>
        <w:autoSpaceDN/>
        <w:bidi w:val="0"/>
        <w:adjustRightInd/>
        <w:spacing w:line="560" w:lineRule="exact"/>
        <w:ind w:left="0" w:leftChars="0" w:firstLine="640" w:firstLineChars="200"/>
        <w:outlineLvl w:val="1"/>
        <w:rPr>
          <w:rFonts w:hint="default" w:ascii="Times New Roman" w:hAnsi="Times New Roman" w:eastAsia="楷体" w:cs="Times New Roman"/>
          <w:b w:val="0"/>
          <w:bCs/>
          <w:sz w:val="32"/>
          <w:szCs w:val="32"/>
        </w:rPr>
      </w:pPr>
      <w:r>
        <w:rPr>
          <w:rFonts w:hint="default" w:ascii="Times New Roman" w:hAnsi="Times New Roman" w:eastAsia="楷体" w:cs="Times New Roman"/>
          <w:b w:val="0"/>
          <w:bCs/>
          <w:sz w:val="32"/>
          <w:szCs w:val="32"/>
        </w:rPr>
        <w:t>（六）业务招待费</w:t>
      </w:r>
    </w:p>
    <w:p w14:paraId="1FEC922B">
      <w:pPr>
        <w:numPr>
          <w:ilvl w:val="0"/>
          <w:numId w:val="0"/>
        </w:numPr>
        <w:spacing w:line="560" w:lineRule="exact"/>
        <w:ind w:firstLine="640" w:firstLineChars="200"/>
        <w:rPr>
          <w:rFonts w:hint="default" w:ascii="Times New Roman" w:hAnsi="Times New Roman" w:eastAsia="仿宋_GB2312" w:cs="Times New Roman"/>
          <w:b w:val="0"/>
          <w:bCs/>
          <w:kern w:val="0"/>
          <w:sz w:val="32"/>
          <w:szCs w:val="32"/>
          <w:lang w:val="en-US" w:eastAsia="zh-CN"/>
        </w:rPr>
      </w:pPr>
      <w:r>
        <w:rPr>
          <w:rFonts w:hint="default" w:ascii="Times New Roman" w:hAnsi="Times New Roman" w:eastAsia="仿宋_GB2312" w:cs="Times New Roman"/>
          <w:b w:val="0"/>
          <w:bCs/>
          <w:kern w:val="0"/>
          <w:sz w:val="32"/>
          <w:szCs w:val="32"/>
          <w:lang w:val="en-US" w:eastAsia="zh-CN"/>
        </w:rPr>
        <w:t>指公共汽（电）车营运企业为业务经营的合理需要而支付的招待费用。根据《监审办法》第十七条，与生产经营活动有关的业务招待费支出，最高不得超过当年主营业务收入的5‰。</w:t>
      </w:r>
    </w:p>
    <w:p w14:paraId="166FA646">
      <w:pPr>
        <w:keepNext w:val="0"/>
        <w:keepLines w:val="0"/>
        <w:pageBreakBefore w:val="0"/>
        <w:kinsoku/>
        <w:wordWrap/>
        <w:overflowPunct/>
        <w:topLinePunct w:val="0"/>
        <w:autoSpaceDE/>
        <w:autoSpaceDN/>
        <w:bidi w:val="0"/>
        <w:adjustRightInd/>
        <w:spacing w:line="560" w:lineRule="exact"/>
        <w:ind w:left="0" w:leftChars="0" w:firstLine="640" w:firstLineChars="200"/>
        <w:outlineLvl w:val="1"/>
        <w:rPr>
          <w:rFonts w:hint="default" w:ascii="Times New Roman" w:hAnsi="Times New Roman" w:eastAsia="楷体" w:cs="Times New Roman"/>
          <w:b w:val="0"/>
          <w:bCs/>
          <w:sz w:val="32"/>
          <w:szCs w:val="32"/>
        </w:rPr>
      </w:pPr>
      <w:r>
        <w:rPr>
          <w:rFonts w:hint="default" w:ascii="Times New Roman" w:hAnsi="Times New Roman" w:eastAsia="楷体" w:cs="Times New Roman"/>
          <w:b w:val="0"/>
          <w:bCs/>
          <w:sz w:val="32"/>
          <w:szCs w:val="32"/>
        </w:rPr>
        <w:t>（七）固定资产折旧</w:t>
      </w:r>
    </w:p>
    <w:p w14:paraId="373DE68B">
      <w:pPr>
        <w:numPr>
          <w:ilvl w:val="0"/>
          <w:numId w:val="0"/>
        </w:numPr>
        <w:spacing w:line="560" w:lineRule="exact"/>
        <w:ind w:firstLine="640" w:firstLineChars="200"/>
        <w:rPr>
          <w:rFonts w:hint="default" w:ascii="Times New Roman" w:hAnsi="Times New Roman" w:eastAsia="仿宋_GB2312" w:cs="Times New Roman"/>
          <w:b w:val="0"/>
          <w:bCs/>
          <w:kern w:val="0"/>
          <w:sz w:val="32"/>
          <w:szCs w:val="32"/>
          <w:lang w:val="en-US" w:eastAsia="zh-CN"/>
        </w:rPr>
      </w:pPr>
      <w:r>
        <w:rPr>
          <w:rFonts w:hint="default" w:ascii="Times New Roman" w:hAnsi="Times New Roman" w:eastAsia="仿宋_GB2312" w:cs="Times New Roman"/>
          <w:b w:val="0"/>
          <w:bCs/>
          <w:kern w:val="0"/>
          <w:sz w:val="32"/>
          <w:szCs w:val="32"/>
          <w:lang w:val="en-US" w:eastAsia="zh-CN"/>
        </w:rPr>
        <w:t>固定资产折旧采用平均年限法，由于广州市交通运输行业明确规定公交营运车辆满8年必须报废，因此营运车辆按8年折旧，其他固定资产折旧年限取《监审办法》规定年限范围的中值（向上取数），残值率按4%核定。</w:t>
      </w:r>
    </w:p>
    <w:p w14:paraId="3E60EC05">
      <w:pPr>
        <w:keepNext w:val="0"/>
        <w:keepLines w:val="0"/>
        <w:pageBreakBefore w:val="0"/>
        <w:kinsoku/>
        <w:wordWrap/>
        <w:overflowPunct/>
        <w:topLinePunct w:val="0"/>
        <w:autoSpaceDE/>
        <w:autoSpaceDN/>
        <w:bidi w:val="0"/>
        <w:adjustRightInd/>
        <w:spacing w:line="560" w:lineRule="exact"/>
        <w:ind w:left="0" w:leftChars="0" w:firstLine="640" w:firstLineChars="200"/>
        <w:outlineLvl w:val="1"/>
        <w:rPr>
          <w:rFonts w:hint="default" w:ascii="Times New Roman" w:hAnsi="Times New Roman" w:eastAsia="楷体" w:cs="Times New Roman"/>
          <w:b w:val="0"/>
          <w:bCs/>
          <w:sz w:val="32"/>
          <w:szCs w:val="32"/>
        </w:rPr>
      </w:pPr>
      <w:r>
        <w:rPr>
          <w:rFonts w:hint="default" w:ascii="Times New Roman" w:hAnsi="Times New Roman" w:eastAsia="楷体" w:cs="Times New Roman"/>
          <w:b w:val="0"/>
          <w:bCs/>
          <w:sz w:val="32"/>
          <w:szCs w:val="32"/>
        </w:rPr>
        <w:t>（八）财务费用</w:t>
      </w:r>
    </w:p>
    <w:p w14:paraId="157DEFD0">
      <w:pPr>
        <w:numPr>
          <w:ilvl w:val="0"/>
          <w:numId w:val="0"/>
        </w:numPr>
        <w:spacing w:line="560" w:lineRule="exact"/>
        <w:ind w:firstLine="640" w:firstLineChars="200"/>
        <w:rPr>
          <w:rFonts w:hint="default" w:ascii="Times New Roman" w:hAnsi="Times New Roman" w:eastAsia="仿宋_GB2312" w:cs="Times New Roman"/>
          <w:b w:val="0"/>
          <w:bCs/>
          <w:kern w:val="0"/>
          <w:sz w:val="32"/>
          <w:szCs w:val="32"/>
          <w:lang w:val="en-US" w:eastAsia="zh-CN"/>
        </w:rPr>
      </w:pPr>
      <w:r>
        <w:rPr>
          <w:rFonts w:hint="default" w:ascii="Times New Roman" w:hAnsi="Times New Roman" w:eastAsia="仿宋_GB2312" w:cs="Times New Roman"/>
          <w:b w:val="0"/>
          <w:bCs/>
          <w:kern w:val="0"/>
          <w:sz w:val="32"/>
          <w:szCs w:val="32"/>
          <w:lang w:val="en-US" w:eastAsia="zh-CN"/>
        </w:rPr>
        <w:t>根据《监审办法》第二十二条，借款利息总额依据企业提供的借款合同和不高于金融企业同期同类贷款利率核定。</w:t>
      </w:r>
    </w:p>
    <w:p w14:paraId="12682DD3">
      <w:pPr>
        <w:keepNext w:val="0"/>
        <w:keepLines w:val="0"/>
        <w:pageBreakBefore w:val="0"/>
        <w:kinsoku/>
        <w:wordWrap/>
        <w:overflowPunct/>
        <w:topLinePunct w:val="0"/>
        <w:autoSpaceDE/>
        <w:autoSpaceDN/>
        <w:bidi w:val="0"/>
        <w:adjustRightInd/>
        <w:spacing w:line="560" w:lineRule="exact"/>
        <w:ind w:left="0" w:leftChars="0" w:firstLine="640" w:firstLineChars="200"/>
        <w:rPr>
          <w:rFonts w:hint="default" w:ascii="Times New Roman" w:hAnsi="Times New Roman" w:eastAsia="楷体" w:cs="Times New Roman"/>
          <w:b w:val="0"/>
          <w:bCs/>
          <w:sz w:val="32"/>
          <w:szCs w:val="32"/>
        </w:rPr>
      </w:pPr>
      <w:r>
        <w:rPr>
          <w:rFonts w:hint="default" w:ascii="Times New Roman" w:hAnsi="Times New Roman" w:eastAsia="楷体" w:cs="Times New Roman"/>
          <w:b w:val="0"/>
          <w:bCs/>
          <w:sz w:val="32"/>
          <w:szCs w:val="32"/>
        </w:rPr>
        <w:t>（九）客运总量的核定</w:t>
      </w:r>
    </w:p>
    <w:p w14:paraId="3521C0E8">
      <w:pPr>
        <w:numPr>
          <w:ilvl w:val="0"/>
          <w:numId w:val="0"/>
        </w:numPr>
        <w:spacing w:line="560" w:lineRule="exact"/>
        <w:ind w:firstLine="640" w:firstLineChars="200"/>
        <w:rPr>
          <w:rFonts w:hint="default" w:ascii="Times New Roman" w:hAnsi="Times New Roman" w:eastAsia="仿宋_GB2312" w:cs="Times New Roman"/>
          <w:b w:val="0"/>
          <w:bCs/>
          <w:kern w:val="0"/>
          <w:sz w:val="32"/>
          <w:szCs w:val="32"/>
          <w:lang w:val="en-US" w:eastAsia="zh-CN"/>
        </w:rPr>
      </w:pPr>
      <w:r>
        <w:rPr>
          <w:rFonts w:hint="default" w:ascii="Times New Roman" w:hAnsi="Times New Roman" w:eastAsia="仿宋_GB2312" w:cs="Times New Roman"/>
          <w:b w:val="0"/>
          <w:bCs/>
          <w:kern w:val="0"/>
          <w:sz w:val="32"/>
          <w:szCs w:val="32"/>
          <w:lang w:val="en-US" w:eastAsia="zh-CN"/>
        </w:rPr>
        <w:t>本次成本监审营运车辆数、总营运里程、客运总量按照广州市增城区公共交通运输服务有限公司提供的数据进行核定。</w:t>
      </w:r>
    </w:p>
    <w:p w14:paraId="7BE4135A">
      <w:pPr>
        <w:keepNext w:val="0"/>
        <w:keepLines w:val="0"/>
        <w:pageBreakBefore w:val="0"/>
        <w:kinsoku/>
        <w:wordWrap/>
        <w:overflowPunct/>
        <w:topLinePunct w:val="0"/>
        <w:autoSpaceDE/>
        <w:autoSpaceDN/>
        <w:bidi w:val="0"/>
        <w:adjustRightInd/>
        <w:spacing w:line="560" w:lineRule="exact"/>
        <w:ind w:left="0" w:leftChars="0" w:firstLine="640" w:firstLineChars="200"/>
        <w:outlineLvl w:val="1"/>
        <w:rPr>
          <w:rFonts w:hint="default" w:ascii="Times New Roman" w:hAnsi="Times New Roman" w:eastAsia="楷体" w:cs="Times New Roman"/>
          <w:b w:val="0"/>
          <w:bCs/>
          <w:sz w:val="32"/>
          <w:szCs w:val="32"/>
        </w:rPr>
      </w:pPr>
      <w:r>
        <w:rPr>
          <w:rFonts w:hint="default" w:ascii="Times New Roman" w:hAnsi="Times New Roman" w:eastAsia="楷体" w:cs="Times New Roman"/>
          <w:b w:val="0"/>
          <w:bCs/>
          <w:sz w:val="32"/>
          <w:szCs w:val="32"/>
        </w:rPr>
        <w:t>（十）应冲减成本数</w:t>
      </w:r>
    </w:p>
    <w:p w14:paraId="6D432C6A">
      <w:pPr>
        <w:numPr>
          <w:ilvl w:val="0"/>
          <w:numId w:val="0"/>
        </w:numPr>
        <w:spacing w:line="560" w:lineRule="exact"/>
        <w:ind w:firstLine="640" w:firstLineChars="200"/>
        <w:rPr>
          <w:rFonts w:hint="default" w:ascii="Times New Roman" w:hAnsi="Times New Roman" w:eastAsia="仿宋_GB2312" w:cs="Times New Roman"/>
          <w:b w:val="0"/>
          <w:bCs/>
          <w:kern w:val="0"/>
          <w:sz w:val="32"/>
          <w:szCs w:val="32"/>
          <w:lang w:val="en-US" w:eastAsia="zh-CN"/>
        </w:rPr>
      </w:pPr>
      <w:r>
        <w:rPr>
          <w:rFonts w:hint="default" w:ascii="Times New Roman" w:hAnsi="Times New Roman" w:eastAsia="仿宋_GB2312" w:cs="Times New Roman"/>
          <w:b w:val="0"/>
          <w:bCs/>
          <w:kern w:val="0"/>
          <w:sz w:val="32"/>
          <w:szCs w:val="32"/>
          <w:lang w:val="en-US" w:eastAsia="zh-CN"/>
        </w:rPr>
        <w:t>1.财政补贴。根据《监审办法》第二十六条规定，经营者获得的与公共汽车营运活动有关的政府补助，用于购买固定资产的，按办法第十九条规定核算；用于补助专门项目的，直接冲减该项费用；有专项用途但不能直接冲减该项费用的</w:t>
      </w:r>
      <w:r>
        <w:rPr>
          <w:rFonts w:hint="eastAsia" w:eastAsia="仿宋_GB2312" w:cs="Times New Roman"/>
          <w:b w:val="0"/>
          <w:bCs/>
          <w:kern w:val="0"/>
          <w:sz w:val="32"/>
          <w:szCs w:val="32"/>
          <w:lang w:val="en-US" w:eastAsia="zh-CN"/>
        </w:rPr>
        <w:t>，</w:t>
      </w:r>
      <w:r>
        <w:rPr>
          <w:rFonts w:hint="default" w:ascii="Times New Roman" w:hAnsi="Times New Roman" w:eastAsia="仿宋_GB2312" w:cs="Times New Roman"/>
          <w:b w:val="0"/>
          <w:bCs/>
          <w:kern w:val="0"/>
          <w:sz w:val="32"/>
          <w:szCs w:val="32"/>
          <w:lang w:val="en-US" w:eastAsia="zh-CN"/>
        </w:rPr>
        <w:t>或未明确规定专项用途的，冲减总成本。</w:t>
      </w:r>
    </w:p>
    <w:p w14:paraId="5BF02CD9">
      <w:pPr>
        <w:numPr>
          <w:ilvl w:val="0"/>
          <w:numId w:val="0"/>
        </w:numPr>
        <w:spacing w:line="560" w:lineRule="exact"/>
        <w:ind w:firstLine="640" w:firstLineChars="200"/>
        <w:rPr>
          <w:rFonts w:hint="default" w:ascii="Times New Roman" w:hAnsi="Times New Roman" w:eastAsia="仿宋_GB2312" w:cs="Times New Roman"/>
          <w:b w:val="0"/>
          <w:bCs/>
          <w:kern w:val="0"/>
          <w:sz w:val="32"/>
          <w:szCs w:val="32"/>
          <w:lang w:val="en-US" w:eastAsia="zh-CN"/>
        </w:rPr>
      </w:pPr>
      <w:r>
        <w:rPr>
          <w:rFonts w:hint="default" w:ascii="Times New Roman" w:hAnsi="Times New Roman" w:eastAsia="仿宋_GB2312" w:cs="Times New Roman"/>
          <w:b w:val="0"/>
          <w:bCs/>
          <w:kern w:val="0"/>
          <w:sz w:val="32"/>
          <w:szCs w:val="32"/>
          <w:lang w:val="en-US" w:eastAsia="zh-CN"/>
        </w:rPr>
        <w:t>2.非公交客运业务应分摊成本数。公交行业的经营业务范围主要包括公交业务、包车业务和其他业务（其他业务包括车载广告、房屋（站场）租赁、车辆修理、业务培训、汽车零配件销售、劳务输出等）。按照《监审办法》第二十四条规定“非公共汽（电）车客运业务与公共汽（电）车营运业务共同使用资产、人员或统一支付费用和依托主营业务从事生产经营活动，以及因从事公共汽（电）车营运业务而获得政府优惠政策的，未单独核算或者成本分摊不合理的，应当按照一定比例分摊总成本”。由于企业的包车、定制服务未单独核算或核算不清晰，如按收入占比分摊成本，应分摊成本数大于包车、定制服务的收入，所以按照收入数冲减总成本；其他业务收入按直接归因成本进行核定。</w:t>
      </w:r>
    </w:p>
    <w:p w14:paraId="0E02A389">
      <w:pPr>
        <w:keepNext/>
        <w:keepLines/>
        <w:widowControl w:val="0"/>
        <w:numPr>
          <w:ilvl w:val="0"/>
          <w:numId w:val="0"/>
        </w:numPr>
        <w:spacing w:before="0" w:beforeLines="0" w:after="0" w:afterLines="0" w:line="560" w:lineRule="exact"/>
        <w:ind w:firstLine="640" w:firstLineChars="200"/>
        <w:jc w:val="both"/>
        <w:outlineLvl w:val="0"/>
        <w:rPr>
          <w:rFonts w:hint="default" w:ascii="Times New Roman" w:hAnsi="Times New Roman" w:eastAsia="黑体" w:cs="Times New Roman"/>
          <w:b w:val="0"/>
          <w:bCs/>
          <w:color w:val="000000"/>
          <w:kern w:val="44"/>
          <w:sz w:val="32"/>
          <w:szCs w:val="32"/>
          <w:lang w:val="en-US" w:eastAsia="zh-CN"/>
        </w:rPr>
      </w:pPr>
      <w:r>
        <w:rPr>
          <w:rFonts w:hint="eastAsia" w:ascii="Times New Roman" w:hAnsi="Times New Roman" w:eastAsia="黑体" w:cs="Times New Roman"/>
          <w:b w:val="0"/>
          <w:bCs/>
          <w:color w:val="000000"/>
          <w:kern w:val="44"/>
          <w:sz w:val="32"/>
          <w:szCs w:val="32"/>
          <w:lang w:val="en-US" w:eastAsia="zh-CN"/>
        </w:rPr>
        <w:t>六</w:t>
      </w:r>
      <w:r>
        <w:rPr>
          <w:rFonts w:hint="default" w:ascii="Times New Roman" w:hAnsi="Times New Roman" w:eastAsia="黑体" w:cs="Times New Roman"/>
          <w:b w:val="0"/>
          <w:bCs/>
          <w:color w:val="000000"/>
          <w:kern w:val="44"/>
          <w:sz w:val="32"/>
          <w:szCs w:val="32"/>
          <w:lang w:val="en-US" w:eastAsia="zh-CN"/>
        </w:rPr>
        <w:t>、成本监审结论</w:t>
      </w:r>
    </w:p>
    <w:p w14:paraId="3A85C4A2">
      <w:pPr>
        <w:numPr>
          <w:ilvl w:val="0"/>
          <w:numId w:val="0"/>
        </w:numPr>
        <w:spacing w:line="560" w:lineRule="exact"/>
        <w:ind w:left="0" w:leftChars="0" w:firstLine="420" w:firstLineChars="0"/>
        <w:rPr>
          <w:rFonts w:hint="default" w:ascii="Times New Roman" w:hAnsi="Times New Roman" w:eastAsia="仿宋_GB2312" w:cs="Times New Roman"/>
          <w:b w:val="0"/>
          <w:bCs/>
          <w:kern w:val="0"/>
          <w:sz w:val="32"/>
          <w:szCs w:val="32"/>
          <w:lang w:val="en-US" w:eastAsia="zh-CN"/>
        </w:rPr>
      </w:pPr>
      <w:r>
        <w:rPr>
          <w:rFonts w:hint="default" w:ascii="Times New Roman" w:hAnsi="Times New Roman" w:eastAsia="仿宋_GB2312" w:cs="Times New Roman"/>
          <w:b w:val="0"/>
          <w:bCs/>
          <w:kern w:val="0"/>
          <w:sz w:val="32"/>
          <w:szCs w:val="32"/>
          <w:lang w:val="en-US" w:eastAsia="zh-CN"/>
        </w:rPr>
        <w:t>经对增城区3家公交公司的营运成本审核，核定2022年1月-2025年6月增城区公交年均营运总成本为194,522,433.89元，年均单位人次营运成本为</w:t>
      </w:r>
      <w:r>
        <w:rPr>
          <w:rFonts w:hint="eastAsia" w:eastAsia="仿宋_GB2312" w:cs="Times New Roman"/>
          <w:b w:val="0"/>
          <w:bCs/>
          <w:kern w:val="0"/>
          <w:sz w:val="32"/>
          <w:szCs w:val="32"/>
          <w:lang w:val="en-US" w:eastAsia="zh-CN"/>
        </w:rPr>
        <w:t>10.62</w:t>
      </w:r>
      <w:r>
        <w:rPr>
          <w:rFonts w:hint="default" w:ascii="Times New Roman" w:hAnsi="Times New Roman" w:eastAsia="仿宋_GB2312" w:cs="Times New Roman"/>
          <w:b w:val="0"/>
          <w:bCs/>
          <w:kern w:val="0"/>
          <w:sz w:val="32"/>
          <w:szCs w:val="32"/>
          <w:lang w:val="en-US" w:eastAsia="zh-CN"/>
        </w:rPr>
        <w:t>元/人次，年均每公里营运成本为7.58元/公里。</w:t>
      </w:r>
      <w:bookmarkStart w:id="0" w:name="_MON_1472385535"/>
      <w:bookmarkEnd w:id="0"/>
      <w:bookmarkStart w:id="1" w:name="_MON_1470570837"/>
      <w:bookmarkEnd w:id="1"/>
      <w:bookmarkStart w:id="2" w:name="_MON_1472386227"/>
      <w:bookmarkEnd w:id="2"/>
      <w:bookmarkStart w:id="3" w:name="_MON_1473142943"/>
      <w:bookmarkEnd w:id="3"/>
      <w:bookmarkStart w:id="4" w:name="_MON_1470570137"/>
      <w:bookmarkEnd w:id="4"/>
      <w:bookmarkStart w:id="5" w:name="_MON_1470561991"/>
      <w:bookmarkEnd w:id="5"/>
      <w:bookmarkStart w:id="6" w:name="_MON_1470570790"/>
      <w:bookmarkEnd w:id="6"/>
      <w:bookmarkStart w:id="7" w:name="_MON_1472469677"/>
      <w:bookmarkEnd w:id="7"/>
      <w:bookmarkStart w:id="8" w:name="_MON_1473143074"/>
      <w:bookmarkEnd w:id="8"/>
      <w:bookmarkStart w:id="9" w:name="_MON_1472475846"/>
      <w:bookmarkEnd w:id="9"/>
      <w:bookmarkStart w:id="10" w:name="_MON_1470570124"/>
      <w:bookmarkEnd w:id="10"/>
      <w:bookmarkStart w:id="11" w:name="_MON_1470562007"/>
      <w:bookmarkEnd w:id="11"/>
      <w:bookmarkStart w:id="12" w:name="_MON_1470569541"/>
      <w:bookmarkEnd w:id="12"/>
      <w:bookmarkStart w:id="13" w:name="_MON_1470570164"/>
      <w:bookmarkEnd w:id="13"/>
      <w:bookmarkStart w:id="14" w:name="_MON_1472452790"/>
      <w:bookmarkEnd w:id="14"/>
      <w:bookmarkStart w:id="15" w:name="_MON_1472385552"/>
      <w:bookmarkEnd w:id="15"/>
      <w:bookmarkStart w:id="16" w:name="_MON_1472385562"/>
      <w:bookmarkEnd w:id="16"/>
    </w:p>
    <w:p w14:paraId="6614C3A8">
      <w:pPr>
        <w:keepNext/>
        <w:keepLines/>
        <w:widowControl w:val="0"/>
        <w:numPr>
          <w:ilvl w:val="0"/>
          <w:numId w:val="0"/>
        </w:numPr>
        <w:tabs>
          <w:tab w:val="left" w:pos="7560"/>
        </w:tabs>
        <w:spacing w:before="0" w:beforeLines="0" w:after="0" w:afterLines="0" w:line="560" w:lineRule="exact"/>
        <w:ind w:firstLine="640" w:firstLineChars="200"/>
        <w:jc w:val="both"/>
        <w:outlineLvl w:val="0"/>
        <w:rPr>
          <w:rFonts w:hint="default" w:ascii="Times New Roman" w:hAnsi="Times New Roman" w:eastAsia="黑体" w:cs="Times New Roman"/>
          <w:b w:val="0"/>
          <w:bCs/>
          <w:color w:val="000000"/>
          <w:kern w:val="44"/>
          <w:sz w:val="32"/>
          <w:szCs w:val="32"/>
          <w:lang w:val="en-US" w:eastAsia="zh-CN"/>
        </w:rPr>
      </w:pPr>
      <w:r>
        <w:rPr>
          <w:rFonts w:hint="default" w:ascii="Times New Roman" w:hAnsi="Times New Roman" w:eastAsia="黑体" w:cs="Times New Roman"/>
          <w:b w:val="0"/>
          <w:bCs/>
          <w:color w:val="000000"/>
          <w:kern w:val="44"/>
          <w:sz w:val="32"/>
          <w:szCs w:val="32"/>
          <w:lang w:val="en-US" w:eastAsia="zh-CN"/>
        </w:rPr>
        <w:t>八、其他情况说明</w:t>
      </w:r>
    </w:p>
    <w:p w14:paraId="5EDF7B3B">
      <w:pPr>
        <w:numPr>
          <w:ilvl w:val="0"/>
          <w:numId w:val="0"/>
        </w:numPr>
        <w:spacing w:line="560" w:lineRule="exact"/>
        <w:ind w:left="0" w:leftChars="0" w:firstLine="420" w:firstLineChars="0"/>
        <w:rPr>
          <w:rFonts w:hint="default" w:ascii="Times New Roman" w:hAnsi="Times New Roman" w:eastAsia="仿宋_GB2312" w:cs="Times New Roman"/>
          <w:b w:val="0"/>
          <w:bCs/>
          <w:kern w:val="0"/>
          <w:sz w:val="32"/>
          <w:szCs w:val="32"/>
        </w:rPr>
      </w:pPr>
      <w:r>
        <w:rPr>
          <w:rFonts w:hint="default" w:ascii="Times New Roman" w:hAnsi="Times New Roman" w:eastAsia="仿宋_GB2312" w:cs="Times New Roman"/>
          <w:b w:val="0"/>
          <w:bCs/>
          <w:kern w:val="0"/>
          <w:sz w:val="32"/>
          <w:szCs w:val="32"/>
          <w:lang w:val="en-US" w:eastAsia="zh-CN"/>
        </w:rPr>
        <w:t>（一）</w:t>
      </w:r>
      <w:r>
        <w:rPr>
          <w:rFonts w:hint="default" w:ascii="Times New Roman" w:hAnsi="Times New Roman" w:eastAsia="仿宋_GB2312" w:cs="Times New Roman"/>
          <w:b w:val="0"/>
          <w:bCs/>
          <w:kern w:val="0"/>
          <w:sz w:val="32"/>
          <w:szCs w:val="32"/>
        </w:rPr>
        <w:t>本次成本监审对各级各类政府财政补贴进行全额冲减营运总成本，各类补贴收入数据来自于</w:t>
      </w:r>
      <w:r>
        <w:rPr>
          <w:rFonts w:hint="default" w:ascii="Times New Roman" w:hAnsi="Times New Roman" w:eastAsia="仿宋_GB2312" w:cs="Times New Roman"/>
          <w:b w:val="0"/>
          <w:bCs/>
          <w:kern w:val="0"/>
          <w:sz w:val="32"/>
          <w:szCs w:val="32"/>
          <w:lang w:val="en-US" w:eastAsia="zh-CN"/>
        </w:rPr>
        <w:t>3家</w:t>
      </w:r>
      <w:r>
        <w:rPr>
          <w:rFonts w:hint="default" w:ascii="Times New Roman" w:hAnsi="Times New Roman" w:eastAsia="方正仿宋_GB2312" w:cs="Times New Roman"/>
          <w:sz w:val="32"/>
          <w:szCs w:val="32"/>
          <w:highlight w:val="none"/>
          <w:lang w:val="en-US" w:eastAsia="zh-CN"/>
        </w:rPr>
        <w:t>公交</w:t>
      </w:r>
      <w:r>
        <w:rPr>
          <w:rFonts w:hint="default" w:ascii="Times New Roman" w:hAnsi="Times New Roman" w:eastAsia="方正仿宋_GB2312" w:cs="Times New Roman"/>
          <w:sz w:val="32"/>
          <w:szCs w:val="32"/>
          <w:highlight w:val="none"/>
        </w:rPr>
        <w:t>公司</w:t>
      </w:r>
      <w:r>
        <w:rPr>
          <w:rFonts w:hint="default" w:ascii="Times New Roman" w:hAnsi="Times New Roman" w:eastAsia="方正仿宋_GB2312" w:cs="Times New Roman"/>
          <w:sz w:val="32"/>
          <w:szCs w:val="32"/>
          <w:highlight w:val="none"/>
          <w:lang w:val="en-US" w:eastAsia="zh-CN"/>
        </w:rPr>
        <w:t>提供的财务数据及相关部门印发的财政补贴文件</w:t>
      </w:r>
      <w:r>
        <w:rPr>
          <w:rFonts w:hint="default" w:ascii="Times New Roman" w:hAnsi="Times New Roman" w:eastAsia="仿宋_GB2312" w:cs="Times New Roman"/>
          <w:b w:val="0"/>
          <w:bCs/>
          <w:kern w:val="0"/>
          <w:sz w:val="32"/>
          <w:szCs w:val="32"/>
        </w:rPr>
        <w:t>。</w:t>
      </w:r>
    </w:p>
    <w:p w14:paraId="574835AE">
      <w:pPr>
        <w:numPr>
          <w:ilvl w:val="0"/>
          <w:numId w:val="0"/>
        </w:numPr>
        <w:spacing w:line="560" w:lineRule="exact"/>
        <w:ind w:left="0" w:leftChars="0" w:firstLine="420" w:firstLineChars="0"/>
        <w:rPr>
          <w:rFonts w:hint="default" w:ascii="Times New Roman" w:hAnsi="Times New Roman" w:eastAsia="仿宋_GB2312" w:cs="Times New Roman"/>
          <w:b w:val="0"/>
          <w:bCs/>
          <w:kern w:val="0"/>
          <w:sz w:val="32"/>
          <w:szCs w:val="32"/>
        </w:rPr>
      </w:pPr>
      <w:r>
        <w:rPr>
          <w:rFonts w:hint="default" w:ascii="Times New Roman" w:hAnsi="Times New Roman" w:eastAsia="仿宋_GB2312" w:cs="Times New Roman"/>
          <w:b w:val="0"/>
          <w:bCs/>
          <w:kern w:val="0"/>
          <w:sz w:val="32"/>
          <w:szCs w:val="32"/>
          <w:lang w:val="en-US" w:eastAsia="zh-CN"/>
        </w:rPr>
        <w:t>（二）</w:t>
      </w:r>
      <w:r>
        <w:rPr>
          <w:rFonts w:hint="default" w:ascii="Times New Roman" w:hAnsi="Times New Roman" w:eastAsia="仿宋_GB2312" w:cs="Times New Roman"/>
          <w:b w:val="0"/>
          <w:bCs/>
          <w:kern w:val="0"/>
          <w:sz w:val="32"/>
          <w:szCs w:val="32"/>
        </w:rPr>
        <w:t>本次成本监审所核定的公交运营成本中的部分税金及附加是指房产税、土地使用税、车船税、印花税，不包含营业税、增值税和相关附加税。</w:t>
      </w:r>
    </w:p>
    <w:p w14:paraId="487CEF9C">
      <w:pPr>
        <w:numPr>
          <w:ilvl w:val="0"/>
          <w:numId w:val="0"/>
        </w:numPr>
        <w:spacing w:line="560" w:lineRule="exact"/>
        <w:ind w:left="0" w:leftChars="0" w:firstLine="420" w:firstLineChars="0"/>
        <w:rPr>
          <w:rFonts w:hint="default" w:ascii="Times New Roman" w:hAnsi="Times New Roman" w:eastAsia="仿宋_GB2312" w:cs="Times New Roman"/>
          <w:b w:val="0"/>
          <w:bCs/>
          <w:kern w:val="0"/>
          <w:sz w:val="32"/>
          <w:szCs w:val="32"/>
        </w:rPr>
      </w:pPr>
      <w:r>
        <w:rPr>
          <w:rFonts w:hint="default" w:ascii="Times New Roman" w:hAnsi="Times New Roman" w:eastAsia="仿宋_GB2312" w:cs="Times New Roman"/>
          <w:b w:val="0"/>
          <w:bCs/>
          <w:kern w:val="0"/>
          <w:sz w:val="32"/>
          <w:szCs w:val="32"/>
          <w:lang w:val="en-US" w:eastAsia="zh-CN"/>
        </w:rPr>
        <w:t>（三）</w:t>
      </w:r>
      <w:r>
        <w:rPr>
          <w:rFonts w:hint="default" w:ascii="Times New Roman" w:hAnsi="Times New Roman" w:eastAsia="仿宋_GB2312" w:cs="Times New Roman"/>
          <w:b w:val="0"/>
          <w:bCs/>
          <w:kern w:val="0"/>
          <w:sz w:val="32"/>
          <w:szCs w:val="32"/>
        </w:rPr>
        <w:t>本次成本监审人员与公交企业无任何利益关系。</w:t>
      </w:r>
    </w:p>
    <w:p w14:paraId="08667970">
      <w:pPr>
        <w:spacing w:line="560" w:lineRule="exact"/>
        <w:ind w:firstLine="4760" w:firstLineChars="1700"/>
        <w:rPr>
          <w:rFonts w:hint="default" w:ascii="Times New Roman" w:hAnsi="Times New Roman" w:eastAsia="仿宋_GB2312" w:cs="Times New Roman"/>
          <w:b w:val="0"/>
          <w:bCs/>
          <w:sz w:val="28"/>
          <w:szCs w:val="28"/>
        </w:rPr>
      </w:pPr>
    </w:p>
    <w:p w14:paraId="1C609376">
      <w:pPr>
        <w:pStyle w:val="2"/>
        <w:ind w:left="1598" w:leftChars="304" w:hanging="960" w:hangingChars="300"/>
        <w:rPr>
          <w:rFonts w:hint="eastAsia" w:ascii="仿宋_GB2312" w:hAnsi="Times New Roman" w:eastAsia="仿宋_GB2312" w:cs="Times New Roman"/>
          <w:color w:val="000000"/>
          <w:sz w:val="32"/>
          <w:szCs w:val="32"/>
          <w:lang w:val="en-US" w:eastAsia="zh-CN"/>
        </w:rPr>
      </w:pPr>
      <w:r>
        <w:rPr>
          <w:rFonts w:hint="eastAsia" w:ascii="仿宋_GB2312" w:hAnsi="Times New Roman" w:eastAsia="仿宋_GB2312" w:cs="Times New Roman"/>
          <w:color w:val="000000"/>
          <w:sz w:val="32"/>
          <w:szCs w:val="32"/>
          <w:lang w:val="en-US" w:eastAsia="zh-CN"/>
        </w:rPr>
        <w:t>附</w:t>
      </w:r>
      <w:r>
        <w:rPr>
          <w:rFonts w:hint="eastAsia" w:ascii="仿宋_GB2312" w:eastAsia="仿宋_GB2312" w:cs="Times New Roman"/>
          <w:color w:val="000000"/>
          <w:sz w:val="32"/>
          <w:szCs w:val="32"/>
          <w:lang w:val="en-US" w:eastAsia="zh-CN"/>
        </w:rPr>
        <w:t>件</w:t>
      </w:r>
      <w:r>
        <w:rPr>
          <w:rFonts w:hint="eastAsia" w:ascii="仿宋_GB2312" w:hAnsi="Times New Roman" w:eastAsia="仿宋_GB2312" w:cs="Times New Roman"/>
          <w:color w:val="000000"/>
          <w:sz w:val="32"/>
          <w:szCs w:val="32"/>
          <w:lang w:val="en-US" w:eastAsia="zh-CN"/>
        </w:rPr>
        <w:t>：增城区3家城市公共汽（电）车营运企业成本费用汇总审核表</w:t>
      </w:r>
    </w:p>
    <w:p w14:paraId="10A9D51C">
      <w:pPr>
        <w:numPr>
          <w:ilvl w:val="0"/>
          <w:numId w:val="0"/>
        </w:numPr>
        <w:tabs>
          <w:tab w:val="left" w:pos="1260"/>
          <w:tab w:val="left" w:pos="1470"/>
        </w:tabs>
        <w:spacing w:line="560" w:lineRule="exact"/>
        <w:jc w:val="center"/>
        <w:rPr>
          <w:rFonts w:hint="eastAsia" w:ascii="宋体" w:hAnsi="宋体" w:eastAsia="宋体" w:cs="宋体"/>
          <w:b/>
          <w:bCs/>
          <w:i w:val="0"/>
          <w:iCs w:val="0"/>
          <w:color w:val="000000"/>
          <w:kern w:val="0"/>
          <w:sz w:val="40"/>
          <w:szCs w:val="40"/>
          <w:u w:val="none"/>
          <w:lang w:val="en-US" w:eastAsia="zh-CN" w:bidi="ar"/>
        </w:rPr>
      </w:pPr>
    </w:p>
    <w:p w14:paraId="24A6313E">
      <w:pPr>
        <w:pStyle w:val="2"/>
        <w:rPr>
          <w:rFonts w:hint="eastAsia" w:ascii="宋体" w:hAnsi="宋体" w:eastAsia="宋体" w:cs="宋体"/>
          <w:b/>
          <w:bCs/>
          <w:i w:val="0"/>
          <w:iCs w:val="0"/>
          <w:color w:val="000000"/>
          <w:kern w:val="0"/>
          <w:sz w:val="40"/>
          <w:szCs w:val="40"/>
          <w:u w:val="none"/>
          <w:lang w:val="en-US" w:eastAsia="zh-CN" w:bidi="ar"/>
        </w:rPr>
      </w:pPr>
    </w:p>
    <w:p w14:paraId="3D4D552E">
      <w:pPr>
        <w:pStyle w:val="2"/>
        <w:rPr>
          <w:rFonts w:hint="eastAsia" w:ascii="宋体" w:hAnsi="宋体" w:eastAsia="宋体" w:cs="宋体"/>
          <w:b/>
          <w:bCs/>
          <w:i w:val="0"/>
          <w:iCs w:val="0"/>
          <w:color w:val="000000"/>
          <w:kern w:val="0"/>
          <w:sz w:val="40"/>
          <w:szCs w:val="40"/>
          <w:u w:val="none"/>
          <w:lang w:val="en-US" w:eastAsia="zh-CN" w:bidi="ar"/>
        </w:rPr>
      </w:pPr>
    </w:p>
    <w:p w14:paraId="2BE83ACA">
      <w:pPr>
        <w:pStyle w:val="2"/>
        <w:rPr>
          <w:rFonts w:hint="eastAsia" w:ascii="宋体" w:hAnsi="宋体" w:eastAsia="宋体" w:cs="宋体"/>
          <w:b/>
          <w:bCs/>
          <w:i w:val="0"/>
          <w:iCs w:val="0"/>
          <w:color w:val="000000"/>
          <w:kern w:val="0"/>
          <w:sz w:val="40"/>
          <w:szCs w:val="40"/>
          <w:u w:val="none"/>
          <w:lang w:val="en-US" w:eastAsia="zh-CN" w:bidi="ar"/>
        </w:rPr>
      </w:pPr>
    </w:p>
    <w:p w14:paraId="5DC51387">
      <w:pPr>
        <w:pStyle w:val="2"/>
        <w:rPr>
          <w:rFonts w:hint="eastAsia" w:ascii="宋体" w:hAnsi="宋体" w:eastAsia="宋体" w:cs="宋体"/>
          <w:b/>
          <w:bCs/>
          <w:i w:val="0"/>
          <w:iCs w:val="0"/>
          <w:color w:val="000000"/>
          <w:kern w:val="0"/>
          <w:sz w:val="40"/>
          <w:szCs w:val="40"/>
          <w:u w:val="none"/>
          <w:lang w:val="en-US" w:eastAsia="zh-CN" w:bidi="ar"/>
        </w:rPr>
      </w:pPr>
    </w:p>
    <w:p w14:paraId="1BB2F80A">
      <w:pPr>
        <w:pStyle w:val="2"/>
        <w:rPr>
          <w:rFonts w:hint="eastAsia" w:ascii="宋体" w:hAnsi="宋体" w:eastAsia="宋体" w:cs="宋体"/>
          <w:b/>
          <w:bCs/>
          <w:i w:val="0"/>
          <w:iCs w:val="0"/>
          <w:color w:val="000000"/>
          <w:kern w:val="0"/>
          <w:sz w:val="40"/>
          <w:szCs w:val="40"/>
          <w:u w:val="none"/>
          <w:lang w:val="en-US" w:eastAsia="zh-CN" w:bidi="ar"/>
        </w:rPr>
      </w:pPr>
    </w:p>
    <w:p w14:paraId="095B34EE">
      <w:pPr>
        <w:pStyle w:val="2"/>
        <w:ind w:left="0" w:leftChars="0" w:firstLine="0" w:firstLineChars="0"/>
        <w:rPr>
          <w:rFonts w:hint="eastAsia" w:ascii="仿宋_GB2312" w:hAnsi="Times New Roman" w:eastAsia="仿宋_GB2312" w:cs="Times New Roman"/>
          <w:color w:val="000000"/>
          <w:sz w:val="32"/>
          <w:szCs w:val="32"/>
          <w:lang w:val="en-US" w:eastAsia="zh-CN"/>
        </w:rPr>
      </w:pPr>
      <w:r>
        <w:rPr>
          <w:rFonts w:hint="eastAsia" w:ascii="仿宋_GB2312" w:hAnsi="Times New Roman" w:eastAsia="仿宋_GB2312" w:cs="Times New Roman"/>
          <w:color w:val="000000"/>
          <w:sz w:val="32"/>
          <w:szCs w:val="32"/>
          <w:lang w:val="en-US" w:eastAsia="zh-CN"/>
        </w:rPr>
        <w:t>附件：</w:t>
      </w:r>
    </w:p>
    <w:p w14:paraId="3D86EFD3">
      <w:pPr>
        <w:autoSpaceDE w:val="0"/>
        <w:autoSpaceDN w:val="0"/>
        <w:jc w:val="center"/>
        <w:rPr>
          <w:rFonts w:hint="eastAsia" w:ascii="Times New Roman" w:hAnsi="Times New Roman" w:eastAsia="黑体" w:cs="Times New Roman"/>
          <w:color w:val="auto"/>
          <w:sz w:val="32"/>
          <w:szCs w:val="32"/>
          <w:highlight w:val="none"/>
          <w:lang w:val="en-US" w:eastAsia="zh-CN"/>
        </w:rPr>
      </w:pPr>
      <w:bookmarkStart w:id="17" w:name="_GoBack"/>
      <w:bookmarkEnd w:id="17"/>
    </w:p>
    <w:p w14:paraId="01033A1A">
      <w:pPr>
        <w:autoSpaceDE w:val="0"/>
        <w:autoSpaceDN w:val="0"/>
        <w:jc w:val="center"/>
        <w:rPr>
          <w:rFonts w:hint="default" w:ascii="Times New Roman" w:hAnsi="Times New Roman" w:eastAsia="黑体" w:cs="Times New Roman"/>
          <w:color w:val="auto"/>
          <w:sz w:val="32"/>
          <w:szCs w:val="32"/>
          <w:highlight w:val="none"/>
          <w:lang w:eastAsia="zh-CN"/>
        </w:rPr>
      </w:pPr>
      <w:r>
        <w:rPr>
          <w:rFonts w:hint="eastAsia" w:ascii="Times New Roman" w:hAnsi="Times New Roman" w:eastAsia="黑体" w:cs="Times New Roman"/>
          <w:color w:val="auto"/>
          <w:sz w:val="32"/>
          <w:szCs w:val="32"/>
          <w:highlight w:val="none"/>
          <w:lang w:val="en-US" w:eastAsia="zh-CN"/>
        </w:rPr>
        <w:t>增城区3家城市公共汽（电）车营运企业成本费用汇总审核表</w:t>
      </w:r>
    </w:p>
    <w:tbl>
      <w:tblPr>
        <w:tblStyle w:val="10"/>
        <w:tblW w:w="4811" w:type="pct"/>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2403"/>
        <w:gridCol w:w="2150"/>
        <w:gridCol w:w="2046"/>
        <w:gridCol w:w="2120"/>
      </w:tblGrid>
      <w:tr w14:paraId="7AB26B1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19" w:hRule="atLeast"/>
        </w:trPr>
        <w:tc>
          <w:tcPr>
            <w:tcW w:w="1378" w:type="pct"/>
            <w:tcBorders>
              <w:top w:val="single" w:color="000000" w:sz="4" w:space="0"/>
              <w:left w:val="single" w:color="000000" w:sz="4" w:space="0"/>
              <w:bottom w:val="single" w:color="000000" w:sz="4" w:space="0"/>
              <w:right w:val="single" w:color="000000" w:sz="4" w:space="0"/>
            </w:tcBorders>
            <w:noWrap w:val="0"/>
            <w:vAlign w:val="center"/>
          </w:tcPr>
          <w:p w14:paraId="77E0422C">
            <w:pPr>
              <w:keepNext w:val="0"/>
              <w:keepLines w:val="0"/>
              <w:widowControl/>
              <w:suppressLineNumbers w:val="0"/>
              <w:spacing w:line="360" w:lineRule="auto"/>
              <w:jc w:val="center"/>
              <w:textAlignment w:val="center"/>
              <w:rPr>
                <w:rFonts w:hint="eastAsia" w:ascii="Times New Roman" w:hAnsi="Times New Roman" w:eastAsia="宋体" w:cs="Times New Roman"/>
                <w:b/>
                <w:bCs/>
                <w:i w:val="0"/>
                <w:iCs w:val="0"/>
                <w:color w:val="000000"/>
                <w:kern w:val="0"/>
                <w:sz w:val="18"/>
                <w:szCs w:val="18"/>
                <w:highlight w:val="none"/>
                <w:u w:val="none"/>
                <w:lang w:val="en-US" w:eastAsia="zh-CN" w:bidi="ar"/>
              </w:rPr>
            </w:pPr>
            <w:r>
              <w:rPr>
                <w:rFonts w:hint="eastAsia" w:ascii="Times New Roman" w:hAnsi="Times New Roman" w:eastAsia="宋体" w:cs="Times New Roman"/>
                <w:b/>
                <w:bCs/>
                <w:i w:val="0"/>
                <w:iCs w:val="0"/>
                <w:color w:val="000000"/>
                <w:kern w:val="0"/>
                <w:sz w:val="18"/>
                <w:szCs w:val="18"/>
                <w:highlight w:val="none"/>
                <w:u w:val="none"/>
                <w:lang w:val="en-US" w:eastAsia="zh-CN" w:bidi="ar"/>
              </w:rPr>
              <w:t>项目名称</w:t>
            </w:r>
          </w:p>
        </w:tc>
        <w:tc>
          <w:tcPr>
            <w:tcW w:w="1232" w:type="pct"/>
            <w:tcBorders>
              <w:top w:val="single" w:color="000000" w:sz="4" w:space="0"/>
              <w:left w:val="single" w:color="000000" w:sz="4" w:space="0"/>
              <w:bottom w:val="single" w:color="000000" w:sz="4" w:space="0"/>
              <w:right w:val="nil"/>
            </w:tcBorders>
            <w:noWrap/>
            <w:vAlign w:val="center"/>
          </w:tcPr>
          <w:p w14:paraId="2E9670C4">
            <w:pPr>
              <w:keepNext w:val="0"/>
              <w:keepLines w:val="0"/>
              <w:widowControl/>
              <w:suppressLineNumbers w:val="0"/>
              <w:spacing w:line="360" w:lineRule="auto"/>
              <w:jc w:val="center"/>
              <w:textAlignment w:val="center"/>
              <w:rPr>
                <w:rFonts w:hint="eastAsia" w:ascii="Times New Roman" w:hAnsi="Times New Roman" w:eastAsia="宋体" w:cs="Times New Roman"/>
                <w:b/>
                <w:bCs/>
                <w:i w:val="0"/>
                <w:iCs w:val="0"/>
                <w:color w:val="000000"/>
                <w:kern w:val="0"/>
                <w:sz w:val="18"/>
                <w:szCs w:val="18"/>
                <w:highlight w:val="none"/>
                <w:u w:val="none"/>
                <w:lang w:val="en-US" w:eastAsia="zh-CN" w:bidi="ar"/>
              </w:rPr>
            </w:pPr>
            <w:r>
              <w:rPr>
                <w:rFonts w:hint="eastAsia" w:ascii="Times New Roman" w:hAnsi="Times New Roman" w:eastAsia="宋体" w:cs="Times New Roman"/>
                <w:b/>
                <w:bCs/>
                <w:i w:val="0"/>
                <w:iCs w:val="0"/>
                <w:color w:val="000000"/>
                <w:kern w:val="0"/>
                <w:sz w:val="18"/>
                <w:szCs w:val="18"/>
                <w:highlight w:val="none"/>
                <w:u w:val="none"/>
                <w:lang w:val="en-US" w:eastAsia="zh-CN" w:bidi="ar"/>
              </w:rPr>
              <w:t xml:space="preserve"> 企业填报数 </w:t>
            </w:r>
          </w:p>
        </w:tc>
        <w:tc>
          <w:tcPr>
            <w:tcW w:w="1173" w:type="pct"/>
            <w:tcBorders>
              <w:top w:val="single" w:color="000000" w:sz="4" w:space="0"/>
              <w:left w:val="single" w:color="000000" w:sz="4" w:space="0"/>
              <w:bottom w:val="single" w:color="000000" w:sz="4" w:space="0"/>
              <w:right w:val="nil"/>
            </w:tcBorders>
            <w:noWrap/>
            <w:vAlign w:val="center"/>
          </w:tcPr>
          <w:p w14:paraId="3F13C6EB">
            <w:pPr>
              <w:keepNext w:val="0"/>
              <w:keepLines w:val="0"/>
              <w:widowControl/>
              <w:suppressLineNumbers w:val="0"/>
              <w:spacing w:line="360" w:lineRule="auto"/>
              <w:jc w:val="center"/>
              <w:textAlignment w:val="center"/>
              <w:rPr>
                <w:rFonts w:hint="eastAsia" w:ascii="Times New Roman" w:hAnsi="Times New Roman" w:eastAsia="宋体" w:cs="Times New Roman"/>
                <w:b/>
                <w:bCs/>
                <w:i w:val="0"/>
                <w:iCs w:val="0"/>
                <w:color w:val="000000"/>
                <w:kern w:val="0"/>
                <w:sz w:val="18"/>
                <w:szCs w:val="18"/>
                <w:highlight w:val="none"/>
                <w:u w:val="none"/>
                <w:lang w:val="en-US" w:eastAsia="zh-CN" w:bidi="ar"/>
              </w:rPr>
            </w:pPr>
            <w:r>
              <w:rPr>
                <w:rFonts w:hint="eastAsia" w:ascii="Times New Roman" w:hAnsi="Times New Roman" w:eastAsia="宋体" w:cs="Times New Roman"/>
                <w:b/>
                <w:bCs/>
                <w:i w:val="0"/>
                <w:iCs w:val="0"/>
                <w:color w:val="000000"/>
                <w:kern w:val="0"/>
                <w:sz w:val="18"/>
                <w:szCs w:val="18"/>
                <w:highlight w:val="none"/>
                <w:u w:val="none"/>
                <w:lang w:val="en-US" w:eastAsia="zh-CN" w:bidi="ar"/>
              </w:rPr>
              <w:t xml:space="preserve"> 核增/核减数 </w:t>
            </w:r>
          </w:p>
        </w:tc>
        <w:tc>
          <w:tcPr>
            <w:tcW w:w="1215" w:type="pct"/>
            <w:tcBorders>
              <w:top w:val="single" w:color="000000" w:sz="4" w:space="0"/>
              <w:left w:val="single" w:color="000000" w:sz="4" w:space="0"/>
              <w:bottom w:val="single" w:color="000000" w:sz="4" w:space="0"/>
              <w:right w:val="single" w:color="000000" w:sz="4" w:space="0"/>
            </w:tcBorders>
            <w:noWrap w:val="0"/>
            <w:vAlign w:val="center"/>
          </w:tcPr>
          <w:p w14:paraId="49005B40">
            <w:pPr>
              <w:keepNext w:val="0"/>
              <w:keepLines w:val="0"/>
              <w:widowControl/>
              <w:suppressLineNumbers w:val="0"/>
              <w:spacing w:line="360" w:lineRule="auto"/>
              <w:jc w:val="center"/>
              <w:textAlignment w:val="center"/>
              <w:rPr>
                <w:rFonts w:hint="eastAsia" w:ascii="Times New Roman" w:hAnsi="Times New Roman" w:eastAsia="宋体" w:cs="Times New Roman"/>
                <w:b/>
                <w:bCs/>
                <w:i w:val="0"/>
                <w:iCs w:val="0"/>
                <w:color w:val="000000"/>
                <w:kern w:val="0"/>
                <w:sz w:val="18"/>
                <w:szCs w:val="18"/>
                <w:highlight w:val="none"/>
                <w:u w:val="none"/>
                <w:lang w:val="en-US" w:eastAsia="zh-CN" w:bidi="ar"/>
              </w:rPr>
            </w:pPr>
            <w:r>
              <w:rPr>
                <w:rFonts w:hint="eastAsia" w:ascii="Times New Roman" w:hAnsi="Times New Roman" w:eastAsia="宋体" w:cs="Times New Roman"/>
                <w:b/>
                <w:bCs/>
                <w:i w:val="0"/>
                <w:iCs w:val="0"/>
                <w:color w:val="000000"/>
                <w:kern w:val="0"/>
                <w:sz w:val="18"/>
                <w:szCs w:val="18"/>
                <w:highlight w:val="none"/>
                <w:u w:val="none"/>
                <w:lang w:val="en-US" w:eastAsia="zh-CN" w:bidi="ar"/>
              </w:rPr>
              <w:t xml:space="preserve"> 核定数 </w:t>
            </w:r>
          </w:p>
        </w:tc>
      </w:tr>
      <w:tr w14:paraId="0E70B2C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72" w:hRule="atLeast"/>
        </w:trPr>
        <w:tc>
          <w:tcPr>
            <w:tcW w:w="1378" w:type="pct"/>
            <w:tcBorders>
              <w:top w:val="single" w:color="000000" w:sz="4" w:space="0"/>
              <w:left w:val="single" w:color="000000" w:sz="4" w:space="0"/>
              <w:bottom w:val="single" w:color="000000" w:sz="4" w:space="0"/>
              <w:right w:val="single" w:color="000000" w:sz="4" w:space="0"/>
            </w:tcBorders>
            <w:noWrap/>
            <w:vAlign w:val="center"/>
          </w:tcPr>
          <w:p w14:paraId="44318E2A">
            <w:pPr>
              <w:keepNext w:val="0"/>
              <w:keepLines w:val="0"/>
              <w:widowControl/>
              <w:suppressLineNumbers w:val="0"/>
              <w:spacing w:line="360" w:lineRule="auto"/>
              <w:jc w:val="left"/>
              <w:textAlignment w:val="center"/>
              <w:rPr>
                <w:rFonts w:hint="eastAsia" w:ascii="Times New Roman" w:hAnsi="Times New Roman" w:eastAsia="宋体" w:cs="Times New Roman"/>
                <w:b/>
                <w:bCs/>
                <w:i w:val="0"/>
                <w:iCs w:val="0"/>
                <w:color w:val="000000"/>
                <w:kern w:val="0"/>
                <w:sz w:val="18"/>
                <w:szCs w:val="18"/>
                <w:highlight w:val="none"/>
                <w:u w:val="none"/>
                <w:lang w:val="en-US" w:eastAsia="zh-CN" w:bidi="ar"/>
              </w:rPr>
            </w:pPr>
            <w:r>
              <w:rPr>
                <w:rFonts w:hint="eastAsia" w:ascii="Times New Roman" w:hAnsi="Times New Roman" w:eastAsia="宋体" w:cs="Times New Roman"/>
                <w:b/>
                <w:bCs/>
                <w:i w:val="0"/>
                <w:iCs w:val="0"/>
                <w:color w:val="000000"/>
                <w:kern w:val="0"/>
                <w:sz w:val="18"/>
                <w:szCs w:val="18"/>
                <w:highlight w:val="none"/>
                <w:u w:val="none"/>
                <w:lang w:val="en-US" w:eastAsia="zh-CN" w:bidi="ar"/>
              </w:rPr>
              <w:t>总营运车数量（辆）</w:t>
            </w:r>
          </w:p>
        </w:tc>
        <w:tc>
          <w:tcPr>
            <w:tcW w:w="1232" w:type="pct"/>
            <w:tcBorders>
              <w:top w:val="single" w:color="000000" w:sz="4" w:space="0"/>
              <w:left w:val="single" w:color="000000" w:sz="4" w:space="0"/>
              <w:bottom w:val="single" w:color="000000" w:sz="4" w:space="0"/>
              <w:right w:val="single" w:color="000000" w:sz="4" w:space="0"/>
            </w:tcBorders>
            <w:noWrap/>
            <w:vAlign w:val="center"/>
          </w:tcPr>
          <w:p w14:paraId="351DFD14">
            <w:pPr>
              <w:keepNext w:val="0"/>
              <w:keepLines w:val="0"/>
              <w:widowControl/>
              <w:suppressLineNumbers w:val="0"/>
              <w:jc w:val="righ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 xml:space="preserve"> 691 </w:t>
            </w:r>
          </w:p>
        </w:tc>
        <w:tc>
          <w:tcPr>
            <w:tcW w:w="1173" w:type="pct"/>
            <w:tcBorders>
              <w:top w:val="single" w:color="000000" w:sz="4" w:space="0"/>
              <w:left w:val="single" w:color="000000" w:sz="4" w:space="0"/>
              <w:bottom w:val="single" w:color="000000" w:sz="4" w:space="0"/>
              <w:right w:val="single" w:color="000000" w:sz="4" w:space="0"/>
            </w:tcBorders>
            <w:noWrap/>
            <w:vAlign w:val="center"/>
          </w:tcPr>
          <w:p w14:paraId="5344AFC7">
            <w:pPr>
              <w:keepNext w:val="0"/>
              <w:keepLines w:val="0"/>
              <w:widowControl/>
              <w:suppressLineNumbers w:val="0"/>
              <w:jc w:val="righ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 xml:space="preserve"> -6 </w:t>
            </w:r>
          </w:p>
        </w:tc>
        <w:tc>
          <w:tcPr>
            <w:tcW w:w="1215" w:type="pct"/>
            <w:tcBorders>
              <w:top w:val="single" w:color="000000" w:sz="4" w:space="0"/>
              <w:left w:val="single" w:color="000000" w:sz="4" w:space="0"/>
              <w:bottom w:val="single" w:color="000000" w:sz="4" w:space="0"/>
              <w:right w:val="single" w:color="000000" w:sz="4" w:space="0"/>
            </w:tcBorders>
            <w:noWrap/>
            <w:vAlign w:val="center"/>
          </w:tcPr>
          <w:p w14:paraId="5EB5E8AB">
            <w:pPr>
              <w:keepNext w:val="0"/>
              <w:keepLines w:val="0"/>
              <w:widowControl/>
              <w:suppressLineNumbers w:val="0"/>
              <w:jc w:val="righ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 xml:space="preserve"> 685 </w:t>
            </w:r>
          </w:p>
        </w:tc>
      </w:tr>
      <w:tr w14:paraId="317141F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72" w:hRule="atLeast"/>
        </w:trPr>
        <w:tc>
          <w:tcPr>
            <w:tcW w:w="1378" w:type="pct"/>
            <w:tcBorders>
              <w:top w:val="single" w:color="000000" w:sz="4" w:space="0"/>
              <w:left w:val="single" w:color="000000" w:sz="4" w:space="0"/>
              <w:bottom w:val="single" w:color="000000" w:sz="4" w:space="0"/>
              <w:right w:val="single" w:color="000000" w:sz="4" w:space="0"/>
            </w:tcBorders>
            <w:noWrap/>
            <w:vAlign w:val="center"/>
          </w:tcPr>
          <w:p w14:paraId="71A30BC1">
            <w:pPr>
              <w:keepNext w:val="0"/>
              <w:keepLines w:val="0"/>
              <w:widowControl/>
              <w:suppressLineNumbers w:val="0"/>
              <w:spacing w:line="360" w:lineRule="auto"/>
              <w:jc w:val="left"/>
              <w:textAlignment w:val="center"/>
              <w:rPr>
                <w:rFonts w:hint="eastAsia" w:ascii="Times New Roman" w:hAnsi="Times New Roman" w:eastAsia="宋体" w:cs="Times New Roman"/>
                <w:b/>
                <w:bCs/>
                <w:i w:val="0"/>
                <w:iCs w:val="0"/>
                <w:color w:val="000000"/>
                <w:kern w:val="0"/>
                <w:sz w:val="18"/>
                <w:szCs w:val="18"/>
                <w:highlight w:val="none"/>
                <w:u w:val="none"/>
                <w:lang w:val="en-US" w:eastAsia="zh-CN" w:bidi="ar"/>
              </w:rPr>
            </w:pPr>
            <w:r>
              <w:rPr>
                <w:rFonts w:hint="eastAsia" w:ascii="Times New Roman" w:hAnsi="Times New Roman" w:eastAsia="宋体" w:cs="Times New Roman"/>
                <w:b/>
                <w:bCs/>
                <w:i w:val="0"/>
                <w:iCs w:val="0"/>
                <w:color w:val="000000"/>
                <w:kern w:val="0"/>
                <w:sz w:val="18"/>
                <w:szCs w:val="18"/>
                <w:highlight w:val="none"/>
                <w:u w:val="none"/>
                <w:lang w:val="en-US" w:eastAsia="zh-CN" w:bidi="ar"/>
              </w:rPr>
              <w:t>总营运里程（公里）</w:t>
            </w:r>
          </w:p>
        </w:tc>
        <w:tc>
          <w:tcPr>
            <w:tcW w:w="1232" w:type="pct"/>
            <w:tcBorders>
              <w:top w:val="single" w:color="000000" w:sz="4" w:space="0"/>
              <w:left w:val="single" w:color="000000" w:sz="4" w:space="0"/>
              <w:bottom w:val="single" w:color="000000" w:sz="4" w:space="0"/>
              <w:right w:val="single" w:color="000000" w:sz="4" w:space="0"/>
            </w:tcBorders>
            <w:noWrap/>
            <w:vAlign w:val="center"/>
          </w:tcPr>
          <w:p w14:paraId="40E82D0B">
            <w:pPr>
              <w:keepNext w:val="0"/>
              <w:keepLines w:val="0"/>
              <w:widowControl/>
              <w:suppressLineNumbers w:val="0"/>
              <w:jc w:val="righ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 xml:space="preserve"> 26,015,374.29 </w:t>
            </w:r>
          </w:p>
        </w:tc>
        <w:tc>
          <w:tcPr>
            <w:tcW w:w="1173" w:type="pct"/>
            <w:tcBorders>
              <w:top w:val="single" w:color="000000" w:sz="4" w:space="0"/>
              <w:left w:val="single" w:color="000000" w:sz="4" w:space="0"/>
              <w:bottom w:val="single" w:color="000000" w:sz="4" w:space="0"/>
              <w:right w:val="single" w:color="000000" w:sz="4" w:space="0"/>
            </w:tcBorders>
            <w:noWrap/>
            <w:vAlign w:val="center"/>
          </w:tcPr>
          <w:p w14:paraId="2FEC7E1B">
            <w:pPr>
              <w:keepNext w:val="0"/>
              <w:keepLines w:val="0"/>
              <w:widowControl/>
              <w:suppressLineNumbers w:val="0"/>
              <w:jc w:val="righ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 xml:space="preserve"> -352,084.64 </w:t>
            </w:r>
          </w:p>
        </w:tc>
        <w:tc>
          <w:tcPr>
            <w:tcW w:w="1215" w:type="pct"/>
            <w:tcBorders>
              <w:top w:val="single" w:color="000000" w:sz="4" w:space="0"/>
              <w:left w:val="single" w:color="000000" w:sz="4" w:space="0"/>
              <w:bottom w:val="single" w:color="000000" w:sz="4" w:space="0"/>
              <w:right w:val="single" w:color="000000" w:sz="4" w:space="0"/>
            </w:tcBorders>
            <w:noWrap/>
            <w:vAlign w:val="center"/>
          </w:tcPr>
          <w:p w14:paraId="7A0B51BF">
            <w:pPr>
              <w:keepNext w:val="0"/>
              <w:keepLines w:val="0"/>
              <w:widowControl/>
              <w:suppressLineNumbers w:val="0"/>
              <w:jc w:val="righ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 xml:space="preserve"> 25,663,289.65 </w:t>
            </w:r>
          </w:p>
        </w:tc>
      </w:tr>
      <w:tr w14:paraId="1A1B0FE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72" w:hRule="atLeast"/>
        </w:trPr>
        <w:tc>
          <w:tcPr>
            <w:tcW w:w="1378" w:type="pct"/>
            <w:tcBorders>
              <w:top w:val="single" w:color="000000" w:sz="4" w:space="0"/>
              <w:left w:val="single" w:color="000000" w:sz="4" w:space="0"/>
              <w:bottom w:val="single" w:color="000000" w:sz="4" w:space="0"/>
              <w:right w:val="single" w:color="000000" w:sz="4" w:space="0"/>
            </w:tcBorders>
            <w:noWrap/>
            <w:vAlign w:val="center"/>
          </w:tcPr>
          <w:p w14:paraId="6A8919CF">
            <w:pPr>
              <w:keepNext w:val="0"/>
              <w:keepLines w:val="0"/>
              <w:widowControl/>
              <w:suppressLineNumbers w:val="0"/>
              <w:spacing w:line="360" w:lineRule="auto"/>
              <w:jc w:val="left"/>
              <w:textAlignment w:val="center"/>
              <w:rPr>
                <w:rFonts w:hint="eastAsia" w:ascii="Times New Roman" w:hAnsi="Times New Roman" w:eastAsia="宋体" w:cs="Times New Roman"/>
                <w:b/>
                <w:bCs/>
                <w:i w:val="0"/>
                <w:iCs w:val="0"/>
                <w:color w:val="000000"/>
                <w:kern w:val="0"/>
                <w:sz w:val="18"/>
                <w:szCs w:val="18"/>
                <w:highlight w:val="none"/>
                <w:u w:val="none"/>
                <w:lang w:val="en-US" w:eastAsia="zh-CN" w:bidi="ar"/>
              </w:rPr>
            </w:pPr>
            <w:r>
              <w:rPr>
                <w:rFonts w:hint="eastAsia" w:ascii="Times New Roman" w:hAnsi="Times New Roman" w:eastAsia="宋体" w:cs="Times New Roman"/>
                <w:b/>
                <w:bCs/>
                <w:i w:val="0"/>
                <w:iCs w:val="0"/>
                <w:color w:val="000000"/>
                <w:kern w:val="0"/>
                <w:sz w:val="18"/>
                <w:szCs w:val="18"/>
                <w:highlight w:val="none"/>
                <w:u w:val="none"/>
                <w:lang w:val="en-US" w:eastAsia="zh-CN" w:bidi="ar"/>
              </w:rPr>
              <w:t>客运总量（人次）</w:t>
            </w:r>
          </w:p>
        </w:tc>
        <w:tc>
          <w:tcPr>
            <w:tcW w:w="1232" w:type="pct"/>
            <w:tcBorders>
              <w:top w:val="single" w:color="000000" w:sz="4" w:space="0"/>
              <w:left w:val="single" w:color="000000" w:sz="4" w:space="0"/>
              <w:bottom w:val="single" w:color="000000" w:sz="4" w:space="0"/>
              <w:right w:val="single" w:color="000000" w:sz="4" w:space="0"/>
            </w:tcBorders>
            <w:noWrap/>
            <w:vAlign w:val="center"/>
          </w:tcPr>
          <w:p w14:paraId="5CA8FD0D">
            <w:pPr>
              <w:keepNext w:val="0"/>
              <w:keepLines w:val="0"/>
              <w:widowControl/>
              <w:suppressLineNumbers w:val="0"/>
              <w:jc w:val="righ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 xml:space="preserve"> 17,626,896.86 </w:t>
            </w:r>
          </w:p>
        </w:tc>
        <w:tc>
          <w:tcPr>
            <w:tcW w:w="1173" w:type="pct"/>
            <w:tcBorders>
              <w:top w:val="single" w:color="000000" w:sz="4" w:space="0"/>
              <w:left w:val="single" w:color="000000" w:sz="4" w:space="0"/>
              <w:bottom w:val="single" w:color="000000" w:sz="4" w:space="0"/>
              <w:right w:val="single" w:color="000000" w:sz="4" w:space="0"/>
            </w:tcBorders>
            <w:noWrap/>
            <w:vAlign w:val="center"/>
          </w:tcPr>
          <w:p w14:paraId="2518B24C">
            <w:pPr>
              <w:keepNext w:val="0"/>
              <w:keepLines w:val="0"/>
              <w:widowControl/>
              <w:suppressLineNumbers w:val="0"/>
              <w:jc w:val="righ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 xml:space="preserve"> 687,517.14  </w:t>
            </w:r>
          </w:p>
        </w:tc>
        <w:tc>
          <w:tcPr>
            <w:tcW w:w="1215" w:type="pct"/>
            <w:tcBorders>
              <w:top w:val="single" w:color="000000" w:sz="4" w:space="0"/>
              <w:left w:val="single" w:color="000000" w:sz="4" w:space="0"/>
              <w:bottom w:val="single" w:color="000000" w:sz="4" w:space="0"/>
              <w:right w:val="single" w:color="000000" w:sz="4" w:space="0"/>
            </w:tcBorders>
            <w:noWrap/>
            <w:vAlign w:val="center"/>
          </w:tcPr>
          <w:p w14:paraId="42F7E245">
            <w:pPr>
              <w:keepNext w:val="0"/>
              <w:keepLines w:val="0"/>
              <w:widowControl/>
              <w:suppressLineNumbers w:val="0"/>
              <w:jc w:val="righ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 xml:space="preserve"> 18,314,414.00  </w:t>
            </w:r>
          </w:p>
        </w:tc>
      </w:tr>
      <w:tr w14:paraId="2526E42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56" w:hRule="atLeast"/>
        </w:trPr>
        <w:tc>
          <w:tcPr>
            <w:tcW w:w="1378" w:type="pct"/>
            <w:tcBorders>
              <w:top w:val="single" w:color="000000" w:sz="4" w:space="0"/>
              <w:left w:val="single" w:color="000000" w:sz="4" w:space="0"/>
              <w:bottom w:val="single" w:color="000000" w:sz="4" w:space="0"/>
              <w:right w:val="single" w:color="000000" w:sz="4" w:space="0"/>
            </w:tcBorders>
            <w:noWrap/>
            <w:vAlign w:val="center"/>
          </w:tcPr>
          <w:p w14:paraId="628351E6">
            <w:pPr>
              <w:keepNext w:val="0"/>
              <w:keepLines w:val="0"/>
              <w:widowControl/>
              <w:suppressLineNumbers w:val="0"/>
              <w:spacing w:line="360" w:lineRule="auto"/>
              <w:jc w:val="left"/>
              <w:textAlignment w:val="center"/>
              <w:rPr>
                <w:rFonts w:hint="eastAsia" w:ascii="Times New Roman" w:hAnsi="Times New Roman" w:eastAsia="宋体" w:cs="Times New Roman"/>
                <w:b/>
                <w:bCs/>
                <w:i w:val="0"/>
                <w:iCs w:val="0"/>
                <w:color w:val="000000"/>
                <w:kern w:val="0"/>
                <w:sz w:val="18"/>
                <w:szCs w:val="18"/>
                <w:highlight w:val="none"/>
                <w:u w:val="none"/>
                <w:lang w:val="en-US" w:eastAsia="zh-CN" w:bidi="ar"/>
              </w:rPr>
            </w:pPr>
            <w:r>
              <w:rPr>
                <w:rFonts w:hint="eastAsia" w:ascii="Times New Roman" w:hAnsi="Times New Roman" w:eastAsia="宋体" w:cs="Times New Roman"/>
                <w:b/>
                <w:bCs/>
                <w:i w:val="0"/>
                <w:iCs w:val="0"/>
                <w:color w:val="000000"/>
                <w:kern w:val="0"/>
                <w:sz w:val="18"/>
                <w:szCs w:val="18"/>
                <w:highlight w:val="none"/>
                <w:u w:val="none"/>
                <w:lang w:val="en-US" w:eastAsia="zh-CN" w:bidi="ar"/>
              </w:rPr>
              <w:t>一、直接营运成本</w:t>
            </w:r>
          </w:p>
        </w:tc>
        <w:tc>
          <w:tcPr>
            <w:tcW w:w="1232" w:type="pct"/>
            <w:tcBorders>
              <w:top w:val="single" w:color="000000" w:sz="4" w:space="0"/>
              <w:left w:val="single" w:color="000000" w:sz="4" w:space="0"/>
              <w:bottom w:val="single" w:color="000000" w:sz="4" w:space="0"/>
              <w:right w:val="single" w:color="000000" w:sz="4" w:space="0"/>
            </w:tcBorders>
            <w:noWrap/>
            <w:vAlign w:val="center"/>
          </w:tcPr>
          <w:p w14:paraId="060890B8">
            <w:pPr>
              <w:keepNext w:val="0"/>
              <w:keepLines w:val="0"/>
              <w:widowControl/>
              <w:suppressLineNumbers w:val="0"/>
              <w:jc w:val="righ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 xml:space="preserve">213,312,844.22 </w:t>
            </w:r>
          </w:p>
        </w:tc>
        <w:tc>
          <w:tcPr>
            <w:tcW w:w="1173" w:type="pct"/>
            <w:tcBorders>
              <w:top w:val="single" w:color="000000" w:sz="4" w:space="0"/>
              <w:left w:val="single" w:color="000000" w:sz="4" w:space="0"/>
              <w:bottom w:val="single" w:color="000000" w:sz="4" w:space="0"/>
              <w:right w:val="single" w:color="000000" w:sz="4" w:space="0"/>
            </w:tcBorders>
            <w:noWrap/>
            <w:vAlign w:val="center"/>
          </w:tcPr>
          <w:p w14:paraId="2FB1A103">
            <w:pPr>
              <w:keepNext w:val="0"/>
              <w:keepLines w:val="0"/>
              <w:widowControl/>
              <w:suppressLineNumbers w:val="0"/>
              <w:jc w:val="righ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 xml:space="preserve"> -58,100,898.04 </w:t>
            </w:r>
          </w:p>
        </w:tc>
        <w:tc>
          <w:tcPr>
            <w:tcW w:w="1215" w:type="pct"/>
            <w:tcBorders>
              <w:top w:val="single" w:color="000000" w:sz="4" w:space="0"/>
              <w:left w:val="single" w:color="000000" w:sz="4" w:space="0"/>
              <w:bottom w:val="single" w:color="000000" w:sz="4" w:space="0"/>
              <w:right w:val="single" w:color="000000" w:sz="4" w:space="0"/>
            </w:tcBorders>
            <w:noWrap/>
            <w:vAlign w:val="center"/>
          </w:tcPr>
          <w:p w14:paraId="745A08B8">
            <w:pPr>
              <w:keepNext w:val="0"/>
              <w:keepLines w:val="0"/>
              <w:widowControl/>
              <w:suppressLineNumbers w:val="0"/>
              <w:jc w:val="righ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 xml:space="preserve"> 155,211,946.18 </w:t>
            </w:r>
          </w:p>
        </w:tc>
      </w:tr>
      <w:tr w14:paraId="3D530A8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56" w:hRule="atLeast"/>
        </w:trPr>
        <w:tc>
          <w:tcPr>
            <w:tcW w:w="1378" w:type="pct"/>
            <w:tcBorders>
              <w:top w:val="single" w:color="000000" w:sz="4" w:space="0"/>
              <w:left w:val="single" w:color="000000" w:sz="4" w:space="0"/>
              <w:bottom w:val="single" w:color="000000" w:sz="4" w:space="0"/>
              <w:right w:val="single" w:color="000000" w:sz="4" w:space="0"/>
            </w:tcBorders>
            <w:noWrap/>
            <w:vAlign w:val="center"/>
          </w:tcPr>
          <w:p w14:paraId="72BF4006">
            <w:pPr>
              <w:keepNext w:val="0"/>
              <w:keepLines w:val="0"/>
              <w:widowControl/>
              <w:suppressLineNumbers w:val="0"/>
              <w:spacing w:line="360" w:lineRule="auto"/>
              <w:jc w:val="left"/>
              <w:textAlignment w:val="center"/>
              <w:rPr>
                <w:rFonts w:hint="eastAsia" w:ascii="Times New Roman" w:hAnsi="Times New Roman" w:eastAsia="宋体" w:cs="Times New Roman"/>
                <w:b/>
                <w:bCs/>
                <w:i w:val="0"/>
                <w:iCs w:val="0"/>
                <w:color w:val="000000"/>
                <w:kern w:val="0"/>
                <w:sz w:val="18"/>
                <w:szCs w:val="18"/>
                <w:highlight w:val="none"/>
                <w:u w:val="none"/>
                <w:lang w:val="en-US" w:eastAsia="zh-CN" w:bidi="ar"/>
              </w:rPr>
            </w:pPr>
            <w:r>
              <w:rPr>
                <w:rFonts w:hint="eastAsia" w:ascii="Times New Roman" w:hAnsi="Times New Roman" w:eastAsia="宋体" w:cs="Times New Roman"/>
                <w:b/>
                <w:bCs/>
                <w:i w:val="0"/>
                <w:iCs w:val="0"/>
                <w:color w:val="000000"/>
                <w:kern w:val="0"/>
                <w:sz w:val="18"/>
                <w:szCs w:val="18"/>
                <w:highlight w:val="none"/>
                <w:u w:val="none"/>
                <w:lang w:val="en-US" w:eastAsia="zh-CN" w:bidi="ar"/>
              </w:rPr>
              <w:t>二、 期间费用</w:t>
            </w:r>
          </w:p>
        </w:tc>
        <w:tc>
          <w:tcPr>
            <w:tcW w:w="1232" w:type="pct"/>
            <w:tcBorders>
              <w:top w:val="single" w:color="000000" w:sz="4" w:space="0"/>
              <w:left w:val="single" w:color="000000" w:sz="4" w:space="0"/>
              <w:bottom w:val="single" w:color="000000" w:sz="4" w:space="0"/>
              <w:right w:val="single" w:color="000000" w:sz="4" w:space="0"/>
            </w:tcBorders>
            <w:noWrap/>
            <w:vAlign w:val="center"/>
          </w:tcPr>
          <w:p w14:paraId="68A5CBE8">
            <w:pPr>
              <w:keepNext w:val="0"/>
              <w:keepLines w:val="0"/>
              <w:widowControl/>
              <w:suppressLineNumbers w:val="0"/>
              <w:jc w:val="righ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 xml:space="preserve"> 51,230,345.43 </w:t>
            </w:r>
          </w:p>
        </w:tc>
        <w:tc>
          <w:tcPr>
            <w:tcW w:w="1173" w:type="pct"/>
            <w:tcBorders>
              <w:top w:val="single" w:color="000000" w:sz="4" w:space="0"/>
              <w:left w:val="single" w:color="000000" w:sz="4" w:space="0"/>
              <w:bottom w:val="single" w:color="000000" w:sz="4" w:space="0"/>
              <w:right w:val="single" w:color="000000" w:sz="4" w:space="0"/>
            </w:tcBorders>
            <w:noWrap/>
            <w:vAlign w:val="center"/>
          </w:tcPr>
          <w:p w14:paraId="719AD037">
            <w:pPr>
              <w:keepNext w:val="0"/>
              <w:keepLines w:val="0"/>
              <w:widowControl/>
              <w:suppressLineNumbers w:val="0"/>
              <w:jc w:val="righ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 xml:space="preserve"> -11,919,857.72 </w:t>
            </w:r>
          </w:p>
        </w:tc>
        <w:tc>
          <w:tcPr>
            <w:tcW w:w="1215" w:type="pct"/>
            <w:tcBorders>
              <w:top w:val="single" w:color="000000" w:sz="4" w:space="0"/>
              <w:left w:val="single" w:color="000000" w:sz="4" w:space="0"/>
              <w:bottom w:val="single" w:color="000000" w:sz="4" w:space="0"/>
              <w:right w:val="single" w:color="000000" w:sz="4" w:space="0"/>
            </w:tcBorders>
            <w:noWrap/>
            <w:vAlign w:val="center"/>
          </w:tcPr>
          <w:p w14:paraId="50156C5C">
            <w:pPr>
              <w:keepNext w:val="0"/>
              <w:keepLines w:val="0"/>
              <w:widowControl/>
              <w:suppressLineNumbers w:val="0"/>
              <w:jc w:val="righ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 xml:space="preserve"> 39,310,487.71 </w:t>
            </w:r>
          </w:p>
        </w:tc>
      </w:tr>
      <w:tr w14:paraId="2AF0026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72" w:hRule="atLeast"/>
        </w:trPr>
        <w:tc>
          <w:tcPr>
            <w:tcW w:w="1378" w:type="pct"/>
            <w:tcBorders>
              <w:top w:val="single" w:color="000000" w:sz="4" w:space="0"/>
              <w:left w:val="single" w:color="000000" w:sz="4" w:space="0"/>
              <w:bottom w:val="single" w:color="000000" w:sz="4" w:space="0"/>
              <w:right w:val="single" w:color="000000" w:sz="4" w:space="0"/>
            </w:tcBorders>
            <w:noWrap/>
            <w:vAlign w:val="center"/>
          </w:tcPr>
          <w:p w14:paraId="33962906">
            <w:pPr>
              <w:keepNext w:val="0"/>
              <w:keepLines w:val="0"/>
              <w:widowControl/>
              <w:suppressLineNumbers w:val="0"/>
              <w:spacing w:line="360" w:lineRule="auto"/>
              <w:jc w:val="left"/>
              <w:textAlignment w:val="center"/>
              <w:rPr>
                <w:rFonts w:hint="eastAsia" w:ascii="Times New Roman" w:hAnsi="Times New Roman" w:eastAsia="宋体" w:cs="Times New Roman"/>
                <w:b w:val="0"/>
                <w:bCs w:val="0"/>
                <w:i w:val="0"/>
                <w:iCs w:val="0"/>
                <w:color w:val="000000"/>
                <w:kern w:val="0"/>
                <w:sz w:val="18"/>
                <w:szCs w:val="18"/>
                <w:highlight w:val="none"/>
                <w:u w:val="none"/>
                <w:lang w:val="en-US" w:eastAsia="zh-CN" w:bidi="ar"/>
              </w:rPr>
            </w:pPr>
            <w:r>
              <w:rPr>
                <w:rFonts w:hint="eastAsia" w:ascii="Times New Roman" w:hAnsi="Times New Roman" w:eastAsia="宋体" w:cs="Times New Roman"/>
                <w:b w:val="0"/>
                <w:bCs w:val="0"/>
                <w:i w:val="0"/>
                <w:iCs w:val="0"/>
                <w:color w:val="000000"/>
                <w:kern w:val="0"/>
                <w:sz w:val="18"/>
                <w:szCs w:val="18"/>
                <w:highlight w:val="none"/>
                <w:u w:val="none"/>
                <w:lang w:val="en-US" w:eastAsia="zh-CN" w:bidi="ar"/>
              </w:rPr>
              <w:t>（一）管理费用</w:t>
            </w:r>
          </w:p>
        </w:tc>
        <w:tc>
          <w:tcPr>
            <w:tcW w:w="1232" w:type="pct"/>
            <w:tcBorders>
              <w:top w:val="single" w:color="000000" w:sz="4" w:space="0"/>
              <w:left w:val="single" w:color="000000" w:sz="4" w:space="0"/>
              <w:bottom w:val="single" w:color="000000" w:sz="4" w:space="0"/>
              <w:right w:val="single" w:color="000000" w:sz="4" w:space="0"/>
            </w:tcBorders>
            <w:noWrap/>
            <w:vAlign w:val="center"/>
          </w:tcPr>
          <w:p w14:paraId="6E0BB0D9">
            <w:pPr>
              <w:keepNext w:val="0"/>
              <w:keepLines w:val="0"/>
              <w:widowControl/>
              <w:suppressLineNumbers w:val="0"/>
              <w:jc w:val="right"/>
              <w:textAlignment w:val="center"/>
              <w:rPr>
                <w:rFonts w:hint="eastAsia" w:ascii="宋体" w:hAnsi="宋体" w:eastAsia="宋体" w:cs="宋体"/>
                <w:b w:val="0"/>
                <w:bCs w:val="0"/>
                <w:i w:val="0"/>
                <w:iCs w:val="0"/>
                <w:color w:val="000000"/>
                <w:sz w:val="22"/>
                <w:szCs w:val="22"/>
                <w:u w:val="none"/>
              </w:rPr>
            </w:pPr>
            <w:r>
              <w:rPr>
                <w:rFonts w:hint="eastAsia" w:ascii="宋体" w:hAnsi="宋体" w:eastAsia="宋体" w:cs="宋体"/>
                <w:b w:val="0"/>
                <w:bCs w:val="0"/>
                <w:i w:val="0"/>
                <w:iCs w:val="0"/>
                <w:color w:val="000000"/>
                <w:kern w:val="0"/>
                <w:sz w:val="22"/>
                <w:szCs w:val="22"/>
                <w:u w:val="none"/>
                <w:lang w:val="en-US" w:eastAsia="zh-CN" w:bidi="ar"/>
              </w:rPr>
              <w:t xml:space="preserve"> 34,961,341.65 </w:t>
            </w:r>
          </w:p>
        </w:tc>
        <w:tc>
          <w:tcPr>
            <w:tcW w:w="1173" w:type="pct"/>
            <w:tcBorders>
              <w:top w:val="single" w:color="000000" w:sz="4" w:space="0"/>
              <w:left w:val="single" w:color="000000" w:sz="4" w:space="0"/>
              <w:bottom w:val="single" w:color="000000" w:sz="4" w:space="0"/>
              <w:right w:val="single" w:color="000000" w:sz="4" w:space="0"/>
            </w:tcBorders>
            <w:noWrap/>
            <w:vAlign w:val="center"/>
          </w:tcPr>
          <w:p w14:paraId="4C5E3156">
            <w:pPr>
              <w:keepNext w:val="0"/>
              <w:keepLines w:val="0"/>
              <w:widowControl/>
              <w:suppressLineNumbers w:val="0"/>
              <w:jc w:val="right"/>
              <w:textAlignment w:val="center"/>
              <w:rPr>
                <w:rFonts w:hint="eastAsia" w:ascii="宋体" w:hAnsi="宋体" w:eastAsia="宋体" w:cs="宋体"/>
                <w:b w:val="0"/>
                <w:bCs w:val="0"/>
                <w:i w:val="0"/>
                <w:iCs w:val="0"/>
                <w:color w:val="000000"/>
                <w:sz w:val="22"/>
                <w:szCs w:val="22"/>
                <w:u w:val="none"/>
              </w:rPr>
            </w:pPr>
            <w:r>
              <w:rPr>
                <w:rFonts w:hint="eastAsia" w:ascii="宋体" w:hAnsi="宋体" w:eastAsia="宋体" w:cs="宋体"/>
                <w:b w:val="0"/>
                <w:bCs w:val="0"/>
                <w:i w:val="0"/>
                <w:iCs w:val="0"/>
                <w:color w:val="000000"/>
                <w:kern w:val="0"/>
                <w:sz w:val="22"/>
                <w:szCs w:val="22"/>
                <w:u w:val="none"/>
                <w:lang w:val="en-US" w:eastAsia="zh-CN" w:bidi="ar"/>
              </w:rPr>
              <w:t xml:space="preserve"> -4,669,028.23 </w:t>
            </w:r>
          </w:p>
        </w:tc>
        <w:tc>
          <w:tcPr>
            <w:tcW w:w="1215" w:type="pct"/>
            <w:tcBorders>
              <w:top w:val="single" w:color="000000" w:sz="4" w:space="0"/>
              <w:left w:val="single" w:color="000000" w:sz="4" w:space="0"/>
              <w:bottom w:val="single" w:color="000000" w:sz="4" w:space="0"/>
              <w:right w:val="single" w:color="000000" w:sz="4" w:space="0"/>
            </w:tcBorders>
            <w:noWrap/>
            <w:vAlign w:val="center"/>
          </w:tcPr>
          <w:p w14:paraId="08D7C7CB">
            <w:pPr>
              <w:keepNext w:val="0"/>
              <w:keepLines w:val="0"/>
              <w:widowControl/>
              <w:suppressLineNumbers w:val="0"/>
              <w:jc w:val="right"/>
              <w:textAlignment w:val="center"/>
              <w:rPr>
                <w:rFonts w:hint="eastAsia" w:ascii="宋体" w:hAnsi="宋体" w:eastAsia="宋体" w:cs="宋体"/>
                <w:b w:val="0"/>
                <w:bCs w:val="0"/>
                <w:i w:val="0"/>
                <w:iCs w:val="0"/>
                <w:color w:val="000000"/>
                <w:sz w:val="22"/>
                <w:szCs w:val="22"/>
                <w:u w:val="none"/>
              </w:rPr>
            </w:pPr>
            <w:r>
              <w:rPr>
                <w:rFonts w:hint="eastAsia" w:ascii="宋体" w:hAnsi="宋体" w:eastAsia="宋体" w:cs="宋体"/>
                <w:b w:val="0"/>
                <w:bCs w:val="0"/>
                <w:i w:val="0"/>
                <w:iCs w:val="0"/>
                <w:color w:val="000000"/>
                <w:kern w:val="0"/>
                <w:sz w:val="22"/>
                <w:szCs w:val="22"/>
                <w:u w:val="none"/>
                <w:lang w:val="en-US" w:eastAsia="zh-CN" w:bidi="ar"/>
              </w:rPr>
              <w:t xml:space="preserve"> 30,292,313.42 </w:t>
            </w:r>
          </w:p>
        </w:tc>
      </w:tr>
      <w:tr w14:paraId="694FFB0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72" w:hRule="atLeast"/>
        </w:trPr>
        <w:tc>
          <w:tcPr>
            <w:tcW w:w="1378" w:type="pct"/>
            <w:tcBorders>
              <w:top w:val="single" w:color="000000" w:sz="4" w:space="0"/>
              <w:left w:val="single" w:color="000000" w:sz="4" w:space="0"/>
              <w:bottom w:val="single" w:color="000000" w:sz="4" w:space="0"/>
              <w:right w:val="single" w:color="000000" w:sz="4" w:space="0"/>
            </w:tcBorders>
            <w:noWrap/>
            <w:vAlign w:val="center"/>
          </w:tcPr>
          <w:p w14:paraId="56D0668A">
            <w:pPr>
              <w:keepNext w:val="0"/>
              <w:keepLines w:val="0"/>
              <w:widowControl/>
              <w:suppressLineNumbers w:val="0"/>
              <w:spacing w:line="360" w:lineRule="auto"/>
              <w:jc w:val="left"/>
              <w:textAlignment w:val="center"/>
              <w:rPr>
                <w:rFonts w:hint="eastAsia" w:ascii="Times New Roman" w:hAnsi="Times New Roman" w:eastAsia="宋体" w:cs="Times New Roman"/>
                <w:b w:val="0"/>
                <w:bCs w:val="0"/>
                <w:i w:val="0"/>
                <w:iCs w:val="0"/>
                <w:color w:val="000000"/>
                <w:kern w:val="0"/>
                <w:sz w:val="18"/>
                <w:szCs w:val="18"/>
                <w:highlight w:val="none"/>
                <w:u w:val="none"/>
                <w:lang w:val="en-US" w:eastAsia="zh-CN" w:bidi="ar"/>
              </w:rPr>
            </w:pPr>
            <w:r>
              <w:rPr>
                <w:rFonts w:hint="eastAsia" w:ascii="Times New Roman" w:hAnsi="Times New Roman" w:eastAsia="宋体" w:cs="Times New Roman"/>
                <w:b w:val="0"/>
                <w:bCs w:val="0"/>
                <w:i w:val="0"/>
                <w:iCs w:val="0"/>
                <w:color w:val="000000"/>
                <w:kern w:val="0"/>
                <w:sz w:val="18"/>
                <w:szCs w:val="18"/>
                <w:highlight w:val="none"/>
                <w:u w:val="none"/>
                <w:lang w:val="en-US" w:eastAsia="zh-CN" w:bidi="ar"/>
              </w:rPr>
              <w:t>（二）财务费用</w:t>
            </w:r>
          </w:p>
        </w:tc>
        <w:tc>
          <w:tcPr>
            <w:tcW w:w="1232" w:type="pct"/>
            <w:tcBorders>
              <w:top w:val="single" w:color="000000" w:sz="4" w:space="0"/>
              <w:left w:val="single" w:color="000000" w:sz="4" w:space="0"/>
              <w:bottom w:val="single" w:color="000000" w:sz="4" w:space="0"/>
              <w:right w:val="single" w:color="000000" w:sz="4" w:space="0"/>
            </w:tcBorders>
            <w:noWrap/>
            <w:vAlign w:val="center"/>
          </w:tcPr>
          <w:p w14:paraId="1BFC6B8F">
            <w:pPr>
              <w:keepNext w:val="0"/>
              <w:keepLines w:val="0"/>
              <w:widowControl/>
              <w:suppressLineNumbers w:val="0"/>
              <w:jc w:val="right"/>
              <w:textAlignment w:val="center"/>
              <w:rPr>
                <w:rFonts w:hint="eastAsia" w:ascii="宋体" w:hAnsi="宋体" w:eastAsia="宋体" w:cs="宋体"/>
                <w:b w:val="0"/>
                <w:bCs w:val="0"/>
                <w:i w:val="0"/>
                <w:iCs w:val="0"/>
                <w:color w:val="000000"/>
                <w:sz w:val="22"/>
                <w:szCs w:val="22"/>
                <w:u w:val="none"/>
              </w:rPr>
            </w:pPr>
            <w:r>
              <w:rPr>
                <w:rFonts w:hint="eastAsia" w:ascii="宋体" w:hAnsi="宋体" w:eastAsia="宋体" w:cs="宋体"/>
                <w:b w:val="0"/>
                <w:bCs w:val="0"/>
                <w:i w:val="0"/>
                <w:iCs w:val="0"/>
                <w:color w:val="000000"/>
                <w:kern w:val="0"/>
                <w:sz w:val="22"/>
                <w:szCs w:val="22"/>
                <w:u w:val="none"/>
                <w:lang w:val="en-US" w:eastAsia="zh-CN" w:bidi="ar"/>
              </w:rPr>
              <w:t xml:space="preserve"> 16,269,003.78 </w:t>
            </w:r>
          </w:p>
        </w:tc>
        <w:tc>
          <w:tcPr>
            <w:tcW w:w="1173" w:type="pct"/>
            <w:tcBorders>
              <w:top w:val="single" w:color="000000" w:sz="4" w:space="0"/>
              <w:left w:val="single" w:color="000000" w:sz="4" w:space="0"/>
              <w:bottom w:val="single" w:color="000000" w:sz="4" w:space="0"/>
              <w:right w:val="single" w:color="000000" w:sz="4" w:space="0"/>
            </w:tcBorders>
            <w:noWrap/>
            <w:vAlign w:val="center"/>
          </w:tcPr>
          <w:p w14:paraId="4DFDF291">
            <w:pPr>
              <w:keepNext w:val="0"/>
              <w:keepLines w:val="0"/>
              <w:widowControl/>
              <w:suppressLineNumbers w:val="0"/>
              <w:jc w:val="right"/>
              <w:textAlignment w:val="center"/>
              <w:rPr>
                <w:rFonts w:hint="eastAsia" w:ascii="宋体" w:hAnsi="宋体" w:eastAsia="宋体" w:cs="宋体"/>
                <w:b w:val="0"/>
                <w:bCs w:val="0"/>
                <w:i w:val="0"/>
                <w:iCs w:val="0"/>
                <w:color w:val="000000"/>
                <w:sz w:val="22"/>
                <w:szCs w:val="22"/>
                <w:u w:val="none"/>
              </w:rPr>
            </w:pPr>
            <w:r>
              <w:rPr>
                <w:rFonts w:hint="eastAsia" w:ascii="宋体" w:hAnsi="宋体" w:eastAsia="宋体" w:cs="宋体"/>
                <w:b w:val="0"/>
                <w:bCs w:val="0"/>
                <w:i w:val="0"/>
                <w:iCs w:val="0"/>
                <w:color w:val="000000"/>
                <w:kern w:val="0"/>
                <w:sz w:val="22"/>
                <w:szCs w:val="22"/>
                <w:u w:val="none"/>
                <w:lang w:val="en-US" w:eastAsia="zh-CN" w:bidi="ar"/>
              </w:rPr>
              <w:t xml:space="preserve"> -8,171,446.24 </w:t>
            </w:r>
          </w:p>
        </w:tc>
        <w:tc>
          <w:tcPr>
            <w:tcW w:w="1215" w:type="pct"/>
            <w:tcBorders>
              <w:top w:val="single" w:color="000000" w:sz="4" w:space="0"/>
              <w:left w:val="single" w:color="000000" w:sz="4" w:space="0"/>
              <w:bottom w:val="single" w:color="000000" w:sz="4" w:space="0"/>
              <w:right w:val="single" w:color="000000" w:sz="4" w:space="0"/>
            </w:tcBorders>
            <w:noWrap/>
            <w:vAlign w:val="center"/>
          </w:tcPr>
          <w:p w14:paraId="262E2F24">
            <w:pPr>
              <w:keepNext w:val="0"/>
              <w:keepLines w:val="0"/>
              <w:widowControl/>
              <w:suppressLineNumbers w:val="0"/>
              <w:jc w:val="right"/>
              <w:textAlignment w:val="center"/>
              <w:rPr>
                <w:rFonts w:hint="eastAsia" w:ascii="宋体" w:hAnsi="宋体" w:eastAsia="宋体" w:cs="宋体"/>
                <w:b w:val="0"/>
                <w:bCs w:val="0"/>
                <w:i w:val="0"/>
                <w:iCs w:val="0"/>
                <w:color w:val="000000"/>
                <w:sz w:val="22"/>
                <w:szCs w:val="22"/>
                <w:u w:val="none"/>
              </w:rPr>
            </w:pPr>
            <w:r>
              <w:rPr>
                <w:rFonts w:hint="eastAsia" w:ascii="宋体" w:hAnsi="宋体" w:eastAsia="宋体" w:cs="宋体"/>
                <w:b w:val="0"/>
                <w:bCs w:val="0"/>
                <w:i w:val="0"/>
                <w:iCs w:val="0"/>
                <w:color w:val="000000"/>
                <w:kern w:val="0"/>
                <w:sz w:val="22"/>
                <w:szCs w:val="22"/>
                <w:u w:val="none"/>
                <w:lang w:val="en-US" w:eastAsia="zh-CN" w:bidi="ar"/>
              </w:rPr>
              <w:t xml:space="preserve"> 8,097,557.54 </w:t>
            </w:r>
          </w:p>
        </w:tc>
      </w:tr>
      <w:tr w14:paraId="7FF9BC8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72" w:hRule="atLeast"/>
        </w:trPr>
        <w:tc>
          <w:tcPr>
            <w:tcW w:w="1378" w:type="pct"/>
            <w:tcBorders>
              <w:top w:val="single" w:color="000000" w:sz="4" w:space="0"/>
              <w:left w:val="single" w:color="000000" w:sz="4" w:space="0"/>
              <w:bottom w:val="single" w:color="000000" w:sz="4" w:space="0"/>
              <w:right w:val="single" w:color="000000" w:sz="4" w:space="0"/>
            </w:tcBorders>
            <w:noWrap/>
            <w:vAlign w:val="center"/>
          </w:tcPr>
          <w:p w14:paraId="0A565894">
            <w:pPr>
              <w:keepNext w:val="0"/>
              <w:keepLines w:val="0"/>
              <w:widowControl/>
              <w:suppressLineNumbers w:val="0"/>
              <w:spacing w:line="360" w:lineRule="auto"/>
              <w:jc w:val="left"/>
              <w:textAlignment w:val="center"/>
              <w:rPr>
                <w:rFonts w:hint="eastAsia" w:ascii="Times New Roman" w:hAnsi="Times New Roman" w:eastAsia="宋体" w:cs="Times New Roman"/>
                <w:b w:val="0"/>
                <w:bCs w:val="0"/>
                <w:i w:val="0"/>
                <w:iCs w:val="0"/>
                <w:color w:val="000000"/>
                <w:kern w:val="0"/>
                <w:sz w:val="18"/>
                <w:szCs w:val="18"/>
                <w:highlight w:val="none"/>
                <w:u w:val="none"/>
                <w:lang w:val="en-US" w:eastAsia="zh-CN" w:bidi="ar"/>
              </w:rPr>
            </w:pPr>
            <w:r>
              <w:rPr>
                <w:rFonts w:hint="eastAsia" w:ascii="Times New Roman" w:hAnsi="Times New Roman" w:eastAsia="宋体" w:cs="Times New Roman"/>
                <w:b w:val="0"/>
                <w:bCs w:val="0"/>
                <w:i w:val="0"/>
                <w:iCs w:val="0"/>
                <w:color w:val="000000"/>
                <w:kern w:val="0"/>
                <w:sz w:val="18"/>
                <w:szCs w:val="18"/>
                <w:highlight w:val="none"/>
                <w:u w:val="none"/>
                <w:lang w:val="en-US" w:eastAsia="zh-CN" w:bidi="ar"/>
              </w:rPr>
              <w:t>1、利息支出</w:t>
            </w:r>
          </w:p>
        </w:tc>
        <w:tc>
          <w:tcPr>
            <w:tcW w:w="1232" w:type="pct"/>
            <w:tcBorders>
              <w:top w:val="single" w:color="000000" w:sz="4" w:space="0"/>
              <w:left w:val="single" w:color="000000" w:sz="4" w:space="0"/>
              <w:bottom w:val="single" w:color="000000" w:sz="4" w:space="0"/>
              <w:right w:val="single" w:color="000000" w:sz="4" w:space="0"/>
            </w:tcBorders>
            <w:noWrap/>
            <w:vAlign w:val="center"/>
          </w:tcPr>
          <w:p w14:paraId="360ED0C5">
            <w:pPr>
              <w:keepNext w:val="0"/>
              <w:keepLines w:val="0"/>
              <w:widowControl/>
              <w:suppressLineNumbers w:val="0"/>
              <w:jc w:val="right"/>
              <w:textAlignment w:val="center"/>
              <w:rPr>
                <w:rFonts w:hint="eastAsia" w:ascii="宋体" w:hAnsi="宋体" w:eastAsia="宋体" w:cs="宋体"/>
                <w:b w:val="0"/>
                <w:bCs w:val="0"/>
                <w:i w:val="0"/>
                <w:iCs w:val="0"/>
                <w:color w:val="000000"/>
                <w:sz w:val="22"/>
                <w:szCs w:val="22"/>
                <w:u w:val="none"/>
              </w:rPr>
            </w:pPr>
            <w:r>
              <w:rPr>
                <w:rFonts w:hint="eastAsia" w:ascii="宋体" w:hAnsi="宋体" w:eastAsia="宋体" w:cs="宋体"/>
                <w:b w:val="0"/>
                <w:bCs w:val="0"/>
                <w:i w:val="0"/>
                <w:iCs w:val="0"/>
                <w:color w:val="000000"/>
                <w:kern w:val="0"/>
                <w:sz w:val="22"/>
                <w:szCs w:val="22"/>
                <w:u w:val="none"/>
                <w:lang w:val="en-US" w:eastAsia="zh-CN" w:bidi="ar"/>
              </w:rPr>
              <w:t xml:space="preserve"> 16,250,475.11 </w:t>
            </w:r>
          </w:p>
        </w:tc>
        <w:tc>
          <w:tcPr>
            <w:tcW w:w="1173" w:type="pct"/>
            <w:tcBorders>
              <w:top w:val="single" w:color="000000" w:sz="4" w:space="0"/>
              <w:left w:val="single" w:color="000000" w:sz="4" w:space="0"/>
              <w:bottom w:val="single" w:color="000000" w:sz="4" w:space="0"/>
              <w:right w:val="single" w:color="000000" w:sz="4" w:space="0"/>
            </w:tcBorders>
            <w:noWrap/>
            <w:vAlign w:val="center"/>
          </w:tcPr>
          <w:p w14:paraId="3F73F2DA">
            <w:pPr>
              <w:keepNext w:val="0"/>
              <w:keepLines w:val="0"/>
              <w:widowControl/>
              <w:suppressLineNumbers w:val="0"/>
              <w:jc w:val="right"/>
              <w:textAlignment w:val="center"/>
              <w:rPr>
                <w:rFonts w:hint="eastAsia" w:ascii="宋体" w:hAnsi="宋体" w:eastAsia="宋体" w:cs="宋体"/>
                <w:b w:val="0"/>
                <w:bCs w:val="0"/>
                <w:i w:val="0"/>
                <w:iCs w:val="0"/>
                <w:color w:val="000000"/>
                <w:sz w:val="22"/>
                <w:szCs w:val="22"/>
                <w:u w:val="none"/>
              </w:rPr>
            </w:pPr>
            <w:r>
              <w:rPr>
                <w:rFonts w:hint="eastAsia" w:ascii="宋体" w:hAnsi="宋体" w:eastAsia="宋体" w:cs="宋体"/>
                <w:b w:val="0"/>
                <w:bCs w:val="0"/>
                <w:i w:val="0"/>
                <w:iCs w:val="0"/>
                <w:color w:val="000000"/>
                <w:kern w:val="0"/>
                <w:sz w:val="22"/>
                <w:szCs w:val="22"/>
                <w:u w:val="none"/>
                <w:lang w:val="en-US" w:eastAsia="zh-CN" w:bidi="ar"/>
              </w:rPr>
              <w:t xml:space="preserve"> -8,171,446.24 </w:t>
            </w:r>
          </w:p>
        </w:tc>
        <w:tc>
          <w:tcPr>
            <w:tcW w:w="1215" w:type="pct"/>
            <w:tcBorders>
              <w:top w:val="single" w:color="000000" w:sz="4" w:space="0"/>
              <w:left w:val="single" w:color="000000" w:sz="4" w:space="0"/>
              <w:bottom w:val="single" w:color="000000" w:sz="4" w:space="0"/>
              <w:right w:val="single" w:color="000000" w:sz="4" w:space="0"/>
            </w:tcBorders>
            <w:noWrap/>
            <w:vAlign w:val="center"/>
          </w:tcPr>
          <w:p w14:paraId="0F77081D">
            <w:pPr>
              <w:keepNext w:val="0"/>
              <w:keepLines w:val="0"/>
              <w:widowControl/>
              <w:suppressLineNumbers w:val="0"/>
              <w:jc w:val="right"/>
              <w:textAlignment w:val="center"/>
              <w:rPr>
                <w:rFonts w:hint="eastAsia" w:ascii="宋体" w:hAnsi="宋体" w:eastAsia="宋体" w:cs="宋体"/>
                <w:b w:val="0"/>
                <w:bCs w:val="0"/>
                <w:i w:val="0"/>
                <w:iCs w:val="0"/>
                <w:color w:val="000000"/>
                <w:sz w:val="22"/>
                <w:szCs w:val="22"/>
                <w:u w:val="none"/>
              </w:rPr>
            </w:pPr>
            <w:r>
              <w:rPr>
                <w:rFonts w:hint="eastAsia" w:ascii="宋体" w:hAnsi="宋体" w:eastAsia="宋体" w:cs="宋体"/>
                <w:b w:val="0"/>
                <w:bCs w:val="0"/>
                <w:i w:val="0"/>
                <w:iCs w:val="0"/>
                <w:color w:val="000000"/>
                <w:kern w:val="0"/>
                <w:sz w:val="22"/>
                <w:szCs w:val="22"/>
                <w:u w:val="none"/>
                <w:lang w:val="en-US" w:eastAsia="zh-CN" w:bidi="ar"/>
              </w:rPr>
              <w:t xml:space="preserve"> 8,079,028.88 </w:t>
            </w:r>
          </w:p>
        </w:tc>
      </w:tr>
      <w:tr w14:paraId="24E01AF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72" w:hRule="atLeast"/>
        </w:trPr>
        <w:tc>
          <w:tcPr>
            <w:tcW w:w="1378" w:type="pct"/>
            <w:tcBorders>
              <w:top w:val="single" w:color="000000" w:sz="4" w:space="0"/>
              <w:left w:val="single" w:color="000000" w:sz="4" w:space="0"/>
              <w:bottom w:val="single" w:color="000000" w:sz="4" w:space="0"/>
              <w:right w:val="single" w:color="000000" w:sz="4" w:space="0"/>
            </w:tcBorders>
            <w:noWrap/>
            <w:vAlign w:val="center"/>
          </w:tcPr>
          <w:p w14:paraId="3D1634B6">
            <w:pPr>
              <w:keepNext w:val="0"/>
              <w:keepLines w:val="0"/>
              <w:widowControl/>
              <w:suppressLineNumbers w:val="0"/>
              <w:spacing w:line="360" w:lineRule="auto"/>
              <w:jc w:val="left"/>
              <w:textAlignment w:val="center"/>
              <w:rPr>
                <w:rFonts w:hint="eastAsia" w:ascii="Times New Roman" w:hAnsi="Times New Roman" w:eastAsia="宋体" w:cs="Times New Roman"/>
                <w:b w:val="0"/>
                <w:bCs w:val="0"/>
                <w:i w:val="0"/>
                <w:iCs w:val="0"/>
                <w:color w:val="000000"/>
                <w:kern w:val="0"/>
                <w:sz w:val="18"/>
                <w:szCs w:val="18"/>
                <w:highlight w:val="none"/>
                <w:u w:val="none"/>
                <w:lang w:val="en-US" w:eastAsia="zh-CN" w:bidi="ar"/>
              </w:rPr>
            </w:pPr>
            <w:r>
              <w:rPr>
                <w:rFonts w:hint="eastAsia" w:ascii="Times New Roman" w:hAnsi="Times New Roman" w:eastAsia="宋体" w:cs="Times New Roman"/>
                <w:b w:val="0"/>
                <w:bCs w:val="0"/>
                <w:i w:val="0"/>
                <w:iCs w:val="0"/>
                <w:color w:val="000000"/>
                <w:kern w:val="0"/>
                <w:sz w:val="18"/>
                <w:szCs w:val="18"/>
                <w:highlight w:val="none"/>
                <w:u w:val="none"/>
                <w:lang w:val="en-US" w:eastAsia="zh-CN" w:bidi="ar"/>
              </w:rPr>
              <w:t>2、金融机构手续费</w:t>
            </w:r>
          </w:p>
        </w:tc>
        <w:tc>
          <w:tcPr>
            <w:tcW w:w="1232" w:type="pct"/>
            <w:tcBorders>
              <w:top w:val="single" w:color="000000" w:sz="4" w:space="0"/>
              <w:left w:val="single" w:color="000000" w:sz="4" w:space="0"/>
              <w:bottom w:val="single" w:color="000000" w:sz="4" w:space="0"/>
              <w:right w:val="single" w:color="000000" w:sz="4" w:space="0"/>
            </w:tcBorders>
            <w:noWrap/>
            <w:vAlign w:val="center"/>
          </w:tcPr>
          <w:p w14:paraId="78397B8C">
            <w:pPr>
              <w:keepNext w:val="0"/>
              <w:keepLines w:val="0"/>
              <w:widowControl/>
              <w:suppressLineNumbers w:val="0"/>
              <w:jc w:val="right"/>
              <w:textAlignment w:val="center"/>
              <w:rPr>
                <w:rFonts w:hint="eastAsia" w:ascii="宋体" w:hAnsi="宋体" w:eastAsia="宋体" w:cs="宋体"/>
                <w:b w:val="0"/>
                <w:bCs w:val="0"/>
                <w:i w:val="0"/>
                <w:iCs w:val="0"/>
                <w:color w:val="000000"/>
                <w:sz w:val="22"/>
                <w:szCs w:val="22"/>
                <w:u w:val="none"/>
              </w:rPr>
            </w:pPr>
            <w:r>
              <w:rPr>
                <w:rFonts w:hint="eastAsia" w:ascii="宋体" w:hAnsi="宋体" w:eastAsia="宋体" w:cs="宋体"/>
                <w:b w:val="0"/>
                <w:bCs w:val="0"/>
                <w:i w:val="0"/>
                <w:iCs w:val="0"/>
                <w:color w:val="000000"/>
                <w:kern w:val="0"/>
                <w:sz w:val="22"/>
                <w:szCs w:val="22"/>
                <w:u w:val="none"/>
                <w:lang w:val="en-US" w:eastAsia="zh-CN" w:bidi="ar"/>
              </w:rPr>
              <w:t xml:space="preserve"> 18,528.67 </w:t>
            </w:r>
          </w:p>
        </w:tc>
        <w:tc>
          <w:tcPr>
            <w:tcW w:w="1173" w:type="pct"/>
            <w:tcBorders>
              <w:top w:val="single" w:color="000000" w:sz="4" w:space="0"/>
              <w:left w:val="single" w:color="000000" w:sz="4" w:space="0"/>
              <w:bottom w:val="single" w:color="000000" w:sz="4" w:space="0"/>
              <w:right w:val="single" w:color="000000" w:sz="4" w:space="0"/>
            </w:tcBorders>
            <w:noWrap/>
            <w:vAlign w:val="center"/>
          </w:tcPr>
          <w:p w14:paraId="3A1B8F58">
            <w:pPr>
              <w:keepNext w:val="0"/>
              <w:keepLines w:val="0"/>
              <w:widowControl/>
              <w:suppressLineNumbers w:val="0"/>
              <w:jc w:val="right"/>
              <w:textAlignment w:val="center"/>
              <w:rPr>
                <w:rFonts w:hint="eastAsia" w:ascii="宋体" w:hAnsi="宋体" w:eastAsia="宋体" w:cs="宋体"/>
                <w:b w:val="0"/>
                <w:bCs w:val="0"/>
                <w:i w:val="0"/>
                <w:iCs w:val="0"/>
                <w:color w:val="000000"/>
                <w:sz w:val="22"/>
                <w:szCs w:val="22"/>
                <w:u w:val="none"/>
              </w:rPr>
            </w:pPr>
            <w:r>
              <w:rPr>
                <w:rFonts w:hint="eastAsia" w:ascii="宋体" w:hAnsi="宋体" w:eastAsia="宋体" w:cs="宋体"/>
                <w:b w:val="0"/>
                <w:bCs w:val="0"/>
                <w:i w:val="0"/>
                <w:iCs w:val="0"/>
                <w:color w:val="000000"/>
                <w:kern w:val="0"/>
                <w:sz w:val="22"/>
                <w:szCs w:val="22"/>
                <w:u w:val="none"/>
                <w:lang w:val="en-US" w:eastAsia="zh-CN" w:bidi="ar"/>
              </w:rPr>
              <w:t xml:space="preserve"> -   </w:t>
            </w:r>
          </w:p>
        </w:tc>
        <w:tc>
          <w:tcPr>
            <w:tcW w:w="1215" w:type="pct"/>
            <w:tcBorders>
              <w:top w:val="single" w:color="000000" w:sz="4" w:space="0"/>
              <w:left w:val="single" w:color="000000" w:sz="4" w:space="0"/>
              <w:bottom w:val="single" w:color="000000" w:sz="4" w:space="0"/>
              <w:right w:val="single" w:color="000000" w:sz="4" w:space="0"/>
            </w:tcBorders>
            <w:noWrap/>
            <w:vAlign w:val="center"/>
          </w:tcPr>
          <w:p w14:paraId="5FCA038F">
            <w:pPr>
              <w:keepNext w:val="0"/>
              <w:keepLines w:val="0"/>
              <w:widowControl/>
              <w:suppressLineNumbers w:val="0"/>
              <w:jc w:val="right"/>
              <w:textAlignment w:val="center"/>
              <w:rPr>
                <w:rFonts w:hint="eastAsia" w:ascii="宋体" w:hAnsi="宋体" w:eastAsia="宋体" w:cs="宋体"/>
                <w:b w:val="0"/>
                <w:bCs w:val="0"/>
                <w:i w:val="0"/>
                <w:iCs w:val="0"/>
                <w:color w:val="000000"/>
                <w:sz w:val="22"/>
                <w:szCs w:val="22"/>
                <w:u w:val="none"/>
              </w:rPr>
            </w:pPr>
            <w:r>
              <w:rPr>
                <w:rFonts w:hint="eastAsia" w:ascii="宋体" w:hAnsi="宋体" w:eastAsia="宋体" w:cs="宋体"/>
                <w:b w:val="0"/>
                <w:bCs w:val="0"/>
                <w:i w:val="0"/>
                <w:iCs w:val="0"/>
                <w:color w:val="000000"/>
                <w:kern w:val="0"/>
                <w:sz w:val="22"/>
                <w:szCs w:val="22"/>
                <w:u w:val="none"/>
                <w:lang w:val="en-US" w:eastAsia="zh-CN" w:bidi="ar"/>
              </w:rPr>
              <w:t xml:space="preserve"> 18,528.67 </w:t>
            </w:r>
          </w:p>
        </w:tc>
      </w:tr>
      <w:tr w14:paraId="2F4CDF3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56" w:hRule="atLeast"/>
        </w:trPr>
        <w:tc>
          <w:tcPr>
            <w:tcW w:w="1378" w:type="pct"/>
            <w:tcBorders>
              <w:top w:val="single" w:color="000000" w:sz="4" w:space="0"/>
              <w:left w:val="single" w:color="000000" w:sz="4" w:space="0"/>
              <w:bottom w:val="single" w:color="000000" w:sz="4" w:space="0"/>
              <w:right w:val="single" w:color="000000" w:sz="4" w:space="0"/>
            </w:tcBorders>
            <w:noWrap/>
            <w:vAlign w:val="center"/>
          </w:tcPr>
          <w:p w14:paraId="63501E49">
            <w:pPr>
              <w:keepNext w:val="0"/>
              <w:keepLines w:val="0"/>
              <w:widowControl/>
              <w:suppressLineNumbers w:val="0"/>
              <w:spacing w:line="360" w:lineRule="auto"/>
              <w:jc w:val="left"/>
              <w:textAlignment w:val="center"/>
              <w:rPr>
                <w:rFonts w:hint="eastAsia" w:ascii="Times New Roman" w:hAnsi="Times New Roman" w:eastAsia="宋体" w:cs="Times New Roman"/>
                <w:b/>
                <w:bCs/>
                <w:i w:val="0"/>
                <w:iCs w:val="0"/>
                <w:color w:val="000000"/>
                <w:kern w:val="0"/>
                <w:sz w:val="18"/>
                <w:szCs w:val="18"/>
                <w:highlight w:val="none"/>
                <w:u w:val="none"/>
                <w:lang w:val="en-US" w:eastAsia="zh-CN" w:bidi="ar"/>
              </w:rPr>
            </w:pPr>
            <w:r>
              <w:rPr>
                <w:rFonts w:hint="eastAsia" w:ascii="Times New Roman" w:hAnsi="Times New Roman" w:eastAsia="宋体" w:cs="Times New Roman"/>
                <w:b/>
                <w:bCs/>
                <w:i w:val="0"/>
                <w:iCs w:val="0"/>
                <w:color w:val="000000"/>
                <w:kern w:val="0"/>
                <w:sz w:val="18"/>
                <w:szCs w:val="18"/>
                <w:highlight w:val="none"/>
                <w:u w:val="none"/>
                <w:lang w:val="en-US" w:eastAsia="zh-CN" w:bidi="ar"/>
              </w:rPr>
              <w:t>三、总成本</w:t>
            </w:r>
          </w:p>
        </w:tc>
        <w:tc>
          <w:tcPr>
            <w:tcW w:w="1232" w:type="pct"/>
            <w:tcBorders>
              <w:top w:val="single" w:color="000000" w:sz="4" w:space="0"/>
              <w:left w:val="single" w:color="000000" w:sz="4" w:space="0"/>
              <w:bottom w:val="single" w:color="000000" w:sz="4" w:space="0"/>
              <w:right w:val="single" w:color="000000" w:sz="4" w:space="0"/>
            </w:tcBorders>
            <w:noWrap/>
            <w:vAlign w:val="center"/>
          </w:tcPr>
          <w:p w14:paraId="03141204">
            <w:pPr>
              <w:keepNext w:val="0"/>
              <w:keepLines w:val="0"/>
              <w:widowControl/>
              <w:suppressLineNumbers w:val="0"/>
              <w:jc w:val="righ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 xml:space="preserve"> 264,543,189.65 </w:t>
            </w:r>
          </w:p>
        </w:tc>
        <w:tc>
          <w:tcPr>
            <w:tcW w:w="1173" w:type="pct"/>
            <w:tcBorders>
              <w:top w:val="single" w:color="000000" w:sz="4" w:space="0"/>
              <w:left w:val="single" w:color="000000" w:sz="4" w:space="0"/>
              <w:bottom w:val="single" w:color="000000" w:sz="4" w:space="0"/>
              <w:right w:val="single" w:color="000000" w:sz="4" w:space="0"/>
            </w:tcBorders>
            <w:noWrap/>
            <w:vAlign w:val="center"/>
          </w:tcPr>
          <w:p w14:paraId="0BAE7196">
            <w:pPr>
              <w:keepNext w:val="0"/>
              <w:keepLines w:val="0"/>
              <w:widowControl/>
              <w:suppressLineNumbers w:val="0"/>
              <w:jc w:val="righ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 xml:space="preserve"> -70,020,755.76 </w:t>
            </w:r>
          </w:p>
        </w:tc>
        <w:tc>
          <w:tcPr>
            <w:tcW w:w="1215" w:type="pct"/>
            <w:tcBorders>
              <w:top w:val="single" w:color="000000" w:sz="4" w:space="0"/>
              <w:left w:val="single" w:color="000000" w:sz="4" w:space="0"/>
              <w:bottom w:val="single" w:color="000000" w:sz="4" w:space="0"/>
              <w:right w:val="single" w:color="000000" w:sz="4" w:space="0"/>
            </w:tcBorders>
            <w:noWrap/>
            <w:vAlign w:val="center"/>
          </w:tcPr>
          <w:p w14:paraId="3C048952">
            <w:pPr>
              <w:keepNext w:val="0"/>
              <w:keepLines w:val="0"/>
              <w:widowControl/>
              <w:suppressLineNumbers w:val="0"/>
              <w:jc w:val="righ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 xml:space="preserve"> 194,522,433.89 </w:t>
            </w:r>
          </w:p>
        </w:tc>
      </w:tr>
      <w:tr w14:paraId="028ECE0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72" w:hRule="atLeast"/>
        </w:trPr>
        <w:tc>
          <w:tcPr>
            <w:tcW w:w="1378" w:type="pct"/>
            <w:tcBorders>
              <w:top w:val="single" w:color="000000" w:sz="4" w:space="0"/>
              <w:left w:val="single" w:color="000000" w:sz="4" w:space="0"/>
              <w:bottom w:val="single" w:color="000000" w:sz="4" w:space="0"/>
              <w:right w:val="single" w:color="000000" w:sz="4" w:space="0"/>
            </w:tcBorders>
            <w:noWrap/>
            <w:vAlign w:val="center"/>
          </w:tcPr>
          <w:p w14:paraId="16769341">
            <w:pPr>
              <w:keepNext w:val="0"/>
              <w:keepLines w:val="0"/>
              <w:widowControl/>
              <w:suppressLineNumbers w:val="0"/>
              <w:spacing w:line="360" w:lineRule="auto"/>
              <w:jc w:val="left"/>
              <w:textAlignment w:val="center"/>
              <w:rPr>
                <w:rFonts w:hint="eastAsia" w:ascii="Times New Roman" w:hAnsi="Times New Roman" w:eastAsia="宋体" w:cs="Times New Roman"/>
                <w:b/>
                <w:bCs/>
                <w:i w:val="0"/>
                <w:iCs w:val="0"/>
                <w:color w:val="000000"/>
                <w:kern w:val="0"/>
                <w:sz w:val="18"/>
                <w:szCs w:val="18"/>
                <w:highlight w:val="none"/>
                <w:u w:val="none"/>
                <w:lang w:val="en-US" w:eastAsia="zh-CN" w:bidi="ar"/>
              </w:rPr>
            </w:pPr>
            <w:r>
              <w:rPr>
                <w:rFonts w:hint="eastAsia" w:ascii="Times New Roman" w:hAnsi="Times New Roman" w:eastAsia="宋体" w:cs="Times New Roman"/>
                <w:b/>
                <w:bCs/>
                <w:i w:val="0"/>
                <w:iCs w:val="0"/>
                <w:color w:val="000000"/>
                <w:kern w:val="0"/>
                <w:sz w:val="18"/>
                <w:szCs w:val="18"/>
                <w:highlight w:val="none"/>
                <w:u w:val="none"/>
                <w:lang w:val="en-US" w:eastAsia="zh-CN" w:bidi="ar"/>
              </w:rPr>
              <w:t>四、单位成本</w:t>
            </w:r>
          </w:p>
        </w:tc>
        <w:tc>
          <w:tcPr>
            <w:tcW w:w="1232" w:type="pct"/>
            <w:tcBorders>
              <w:top w:val="single" w:color="000000" w:sz="4" w:space="0"/>
              <w:left w:val="single" w:color="000000" w:sz="4" w:space="0"/>
              <w:bottom w:val="single" w:color="000000" w:sz="4" w:space="0"/>
              <w:right w:val="single" w:color="000000" w:sz="4" w:space="0"/>
            </w:tcBorders>
            <w:noWrap/>
            <w:vAlign w:val="center"/>
          </w:tcPr>
          <w:p w14:paraId="26927F7F">
            <w:pPr>
              <w:jc w:val="right"/>
              <w:rPr>
                <w:rFonts w:hint="eastAsia" w:ascii="宋体" w:hAnsi="宋体" w:eastAsia="宋体" w:cs="宋体"/>
                <w:b/>
                <w:bCs/>
                <w:i w:val="0"/>
                <w:iCs w:val="0"/>
                <w:color w:val="000000"/>
                <w:sz w:val="22"/>
                <w:szCs w:val="22"/>
                <w:u w:val="none"/>
              </w:rPr>
            </w:pPr>
          </w:p>
        </w:tc>
        <w:tc>
          <w:tcPr>
            <w:tcW w:w="1173" w:type="pct"/>
            <w:tcBorders>
              <w:top w:val="single" w:color="000000" w:sz="4" w:space="0"/>
              <w:left w:val="single" w:color="000000" w:sz="4" w:space="0"/>
              <w:bottom w:val="single" w:color="000000" w:sz="4" w:space="0"/>
              <w:right w:val="single" w:color="000000" w:sz="4" w:space="0"/>
            </w:tcBorders>
            <w:noWrap/>
            <w:vAlign w:val="center"/>
          </w:tcPr>
          <w:p w14:paraId="58F95DFB">
            <w:pPr>
              <w:jc w:val="right"/>
              <w:rPr>
                <w:rFonts w:hint="eastAsia" w:ascii="宋体" w:hAnsi="宋体" w:eastAsia="宋体" w:cs="宋体"/>
                <w:b/>
                <w:bCs/>
                <w:i w:val="0"/>
                <w:iCs w:val="0"/>
                <w:color w:val="000000"/>
                <w:sz w:val="22"/>
                <w:szCs w:val="22"/>
                <w:u w:val="none"/>
              </w:rPr>
            </w:pPr>
          </w:p>
        </w:tc>
        <w:tc>
          <w:tcPr>
            <w:tcW w:w="1215" w:type="pct"/>
            <w:tcBorders>
              <w:top w:val="single" w:color="000000" w:sz="4" w:space="0"/>
              <w:left w:val="single" w:color="000000" w:sz="4" w:space="0"/>
              <w:bottom w:val="single" w:color="000000" w:sz="4" w:space="0"/>
              <w:right w:val="single" w:color="000000" w:sz="4" w:space="0"/>
            </w:tcBorders>
            <w:noWrap/>
            <w:vAlign w:val="center"/>
          </w:tcPr>
          <w:p w14:paraId="47E8917C">
            <w:pPr>
              <w:jc w:val="right"/>
              <w:rPr>
                <w:rFonts w:hint="eastAsia" w:ascii="宋体" w:hAnsi="宋体" w:eastAsia="宋体" w:cs="宋体"/>
                <w:b/>
                <w:bCs/>
                <w:i w:val="0"/>
                <w:iCs w:val="0"/>
                <w:color w:val="000000"/>
                <w:sz w:val="22"/>
                <w:szCs w:val="22"/>
                <w:u w:val="none"/>
              </w:rPr>
            </w:pPr>
          </w:p>
        </w:tc>
      </w:tr>
      <w:tr w14:paraId="25C60FA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72" w:hRule="atLeast"/>
        </w:trPr>
        <w:tc>
          <w:tcPr>
            <w:tcW w:w="1378" w:type="pct"/>
            <w:tcBorders>
              <w:top w:val="single" w:color="000000" w:sz="4" w:space="0"/>
              <w:left w:val="single" w:color="000000" w:sz="4" w:space="0"/>
              <w:bottom w:val="single" w:color="000000" w:sz="4" w:space="0"/>
              <w:right w:val="single" w:color="000000" w:sz="4" w:space="0"/>
            </w:tcBorders>
            <w:noWrap/>
            <w:vAlign w:val="center"/>
          </w:tcPr>
          <w:p w14:paraId="7717D98A">
            <w:pPr>
              <w:keepNext w:val="0"/>
              <w:keepLines w:val="0"/>
              <w:widowControl/>
              <w:suppressLineNumbers w:val="0"/>
              <w:spacing w:line="360" w:lineRule="auto"/>
              <w:jc w:val="left"/>
              <w:textAlignment w:val="center"/>
              <w:rPr>
                <w:rFonts w:hint="eastAsia" w:ascii="Times New Roman" w:hAnsi="Times New Roman" w:eastAsia="宋体" w:cs="Times New Roman"/>
                <w:b/>
                <w:bCs/>
                <w:i w:val="0"/>
                <w:iCs w:val="0"/>
                <w:color w:val="000000"/>
                <w:kern w:val="0"/>
                <w:sz w:val="18"/>
                <w:szCs w:val="18"/>
                <w:highlight w:val="none"/>
                <w:u w:val="none"/>
                <w:lang w:val="en-US" w:eastAsia="zh-CN" w:bidi="ar"/>
              </w:rPr>
            </w:pPr>
            <w:r>
              <w:rPr>
                <w:rFonts w:hint="eastAsia" w:ascii="Times New Roman" w:hAnsi="Times New Roman" w:eastAsia="宋体" w:cs="Times New Roman"/>
                <w:b/>
                <w:bCs/>
                <w:i w:val="0"/>
                <w:iCs w:val="0"/>
                <w:color w:val="000000"/>
                <w:kern w:val="0"/>
                <w:sz w:val="18"/>
                <w:szCs w:val="18"/>
                <w:highlight w:val="none"/>
                <w:u w:val="none"/>
                <w:lang w:val="en-US" w:eastAsia="zh-CN" w:bidi="ar"/>
              </w:rPr>
              <w:t>1、单位车辆营运成本</w:t>
            </w:r>
          </w:p>
        </w:tc>
        <w:tc>
          <w:tcPr>
            <w:tcW w:w="1232" w:type="pct"/>
            <w:tcBorders>
              <w:top w:val="single" w:color="000000" w:sz="4" w:space="0"/>
              <w:left w:val="single" w:color="000000" w:sz="4" w:space="0"/>
              <w:bottom w:val="single" w:color="000000" w:sz="4" w:space="0"/>
              <w:right w:val="single" w:color="000000" w:sz="4" w:space="0"/>
            </w:tcBorders>
            <w:noWrap/>
            <w:vAlign w:val="center"/>
          </w:tcPr>
          <w:p w14:paraId="652183F6">
            <w:pPr>
              <w:keepNext w:val="0"/>
              <w:keepLines w:val="0"/>
              <w:widowControl/>
              <w:suppressLineNumbers w:val="0"/>
              <w:jc w:val="righ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 xml:space="preserve"> 382,771.81 </w:t>
            </w:r>
          </w:p>
        </w:tc>
        <w:tc>
          <w:tcPr>
            <w:tcW w:w="1173" w:type="pct"/>
            <w:tcBorders>
              <w:top w:val="single" w:color="000000" w:sz="4" w:space="0"/>
              <w:left w:val="single" w:color="000000" w:sz="4" w:space="0"/>
              <w:bottom w:val="single" w:color="000000" w:sz="4" w:space="0"/>
              <w:right w:val="single" w:color="000000" w:sz="4" w:space="0"/>
            </w:tcBorders>
            <w:noWrap/>
            <w:vAlign w:val="center"/>
          </w:tcPr>
          <w:p w14:paraId="4586EE1D">
            <w:pPr>
              <w:keepNext w:val="0"/>
              <w:keepLines w:val="0"/>
              <w:widowControl/>
              <w:suppressLineNumbers w:val="0"/>
              <w:jc w:val="righ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 xml:space="preserve"> -98,797.46 </w:t>
            </w:r>
          </w:p>
        </w:tc>
        <w:tc>
          <w:tcPr>
            <w:tcW w:w="1215" w:type="pct"/>
            <w:tcBorders>
              <w:top w:val="single" w:color="000000" w:sz="4" w:space="0"/>
              <w:left w:val="single" w:color="000000" w:sz="4" w:space="0"/>
              <w:bottom w:val="single" w:color="000000" w:sz="4" w:space="0"/>
              <w:right w:val="single" w:color="000000" w:sz="4" w:space="0"/>
            </w:tcBorders>
            <w:noWrap/>
            <w:vAlign w:val="center"/>
          </w:tcPr>
          <w:p w14:paraId="493A095B">
            <w:pPr>
              <w:keepNext w:val="0"/>
              <w:keepLines w:val="0"/>
              <w:widowControl/>
              <w:suppressLineNumbers w:val="0"/>
              <w:jc w:val="righ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 xml:space="preserve"> 283,974.36 </w:t>
            </w:r>
          </w:p>
        </w:tc>
      </w:tr>
      <w:tr w14:paraId="30DD9CA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72" w:hRule="atLeast"/>
        </w:trPr>
        <w:tc>
          <w:tcPr>
            <w:tcW w:w="1378" w:type="pct"/>
            <w:tcBorders>
              <w:top w:val="single" w:color="000000" w:sz="4" w:space="0"/>
              <w:left w:val="single" w:color="000000" w:sz="4" w:space="0"/>
              <w:bottom w:val="single" w:color="000000" w:sz="4" w:space="0"/>
              <w:right w:val="single" w:color="000000" w:sz="4" w:space="0"/>
            </w:tcBorders>
            <w:noWrap/>
            <w:vAlign w:val="center"/>
          </w:tcPr>
          <w:p w14:paraId="0DB22F2C">
            <w:pPr>
              <w:keepNext w:val="0"/>
              <w:keepLines w:val="0"/>
              <w:widowControl/>
              <w:suppressLineNumbers w:val="0"/>
              <w:spacing w:line="360" w:lineRule="auto"/>
              <w:jc w:val="left"/>
              <w:textAlignment w:val="center"/>
              <w:rPr>
                <w:rFonts w:hint="eastAsia" w:ascii="Times New Roman" w:hAnsi="Times New Roman" w:eastAsia="宋体" w:cs="Times New Roman"/>
                <w:b/>
                <w:bCs/>
                <w:i w:val="0"/>
                <w:iCs w:val="0"/>
                <w:color w:val="000000"/>
                <w:kern w:val="0"/>
                <w:sz w:val="18"/>
                <w:szCs w:val="18"/>
                <w:highlight w:val="none"/>
                <w:u w:val="none"/>
                <w:lang w:val="en-US" w:eastAsia="zh-CN" w:bidi="ar"/>
              </w:rPr>
            </w:pPr>
            <w:r>
              <w:rPr>
                <w:rFonts w:hint="eastAsia" w:ascii="Times New Roman" w:hAnsi="Times New Roman" w:eastAsia="宋体" w:cs="Times New Roman"/>
                <w:b/>
                <w:bCs/>
                <w:i w:val="0"/>
                <w:iCs w:val="0"/>
                <w:color w:val="000000"/>
                <w:kern w:val="0"/>
                <w:sz w:val="18"/>
                <w:szCs w:val="18"/>
                <w:highlight w:val="none"/>
                <w:u w:val="none"/>
                <w:lang w:val="en-US" w:eastAsia="zh-CN" w:bidi="ar"/>
              </w:rPr>
              <w:t>2、每公里营运成本</w:t>
            </w:r>
          </w:p>
        </w:tc>
        <w:tc>
          <w:tcPr>
            <w:tcW w:w="1232" w:type="pct"/>
            <w:tcBorders>
              <w:top w:val="single" w:color="000000" w:sz="4" w:space="0"/>
              <w:left w:val="single" w:color="000000" w:sz="4" w:space="0"/>
              <w:bottom w:val="single" w:color="000000" w:sz="4" w:space="0"/>
              <w:right w:val="single" w:color="000000" w:sz="4" w:space="0"/>
            </w:tcBorders>
            <w:noWrap/>
            <w:vAlign w:val="center"/>
          </w:tcPr>
          <w:p w14:paraId="1CEC7E8F">
            <w:pPr>
              <w:keepNext w:val="0"/>
              <w:keepLines w:val="0"/>
              <w:widowControl/>
              <w:suppressLineNumbers w:val="0"/>
              <w:jc w:val="righ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 xml:space="preserve"> 10.17 </w:t>
            </w:r>
          </w:p>
        </w:tc>
        <w:tc>
          <w:tcPr>
            <w:tcW w:w="1173" w:type="pct"/>
            <w:tcBorders>
              <w:top w:val="single" w:color="000000" w:sz="4" w:space="0"/>
              <w:left w:val="single" w:color="000000" w:sz="4" w:space="0"/>
              <w:bottom w:val="single" w:color="000000" w:sz="4" w:space="0"/>
              <w:right w:val="single" w:color="000000" w:sz="4" w:space="0"/>
            </w:tcBorders>
            <w:noWrap/>
            <w:vAlign w:val="center"/>
          </w:tcPr>
          <w:p w14:paraId="5B0EA796">
            <w:pPr>
              <w:keepNext w:val="0"/>
              <w:keepLines w:val="0"/>
              <w:widowControl/>
              <w:suppressLineNumbers w:val="0"/>
              <w:jc w:val="righ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 xml:space="preserve"> -2.59 </w:t>
            </w:r>
          </w:p>
        </w:tc>
        <w:tc>
          <w:tcPr>
            <w:tcW w:w="1215" w:type="pct"/>
            <w:tcBorders>
              <w:top w:val="single" w:color="000000" w:sz="4" w:space="0"/>
              <w:left w:val="single" w:color="000000" w:sz="4" w:space="0"/>
              <w:bottom w:val="single" w:color="000000" w:sz="4" w:space="0"/>
              <w:right w:val="single" w:color="000000" w:sz="4" w:space="0"/>
            </w:tcBorders>
            <w:noWrap/>
            <w:vAlign w:val="center"/>
          </w:tcPr>
          <w:p w14:paraId="300E2C64">
            <w:pPr>
              <w:keepNext w:val="0"/>
              <w:keepLines w:val="0"/>
              <w:widowControl/>
              <w:suppressLineNumbers w:val="0"/>
              <w:jc w:val="righ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 xml:space="preserve"> 7.58 </w:t>
            </w:r>
          </w:p>
        </w:tc>
      </w:tr>
      <w:tr w14:paraId="4B5E8A6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95" w:hRule="atLeast"/>
        </w:trPr>
        <w:tc>
          <w:tcPr>
            <w:tcW w:w="1378" w:type="pct"/>
            <w:tcBorders>
              <w:top w:val="single" w:color="000000" w:sz="4" w:space="0"/>
              <w:left w:val="single" w:color="000000" w:sz="4" w:space="0"/>
              <w:bottom w:val="single" w:color="000000" w:sz="4" w:space="0"/>
              <w:right w:val="single" w:color="000000" w:sz="4" w:space="0"/>
            </w:tcBorders>
            <w:noWrap/>
            <w:vAlign w:val="center"/>
          </w:tcPr>
          <w:p w14:paraId="0AC4D4CE">
            <w:pPr>
              <w:keepNext w:val="0"/>
              <w:keepLines w:val="0"/>
              <w:widowControl/>
              <w:suppressLineNumbers w:val="0"/>
              <w:spacing w:line="360" w:lineRule="auto"/>
              <w:jc w:val="left"/>
              <w:textAlignment w:val="center"/>
              <w:rPr>
                <w:rFonts w:hint="eastAsia" w:ascii="Times New Roman" w:hAnsi="Times New Roman" w:eastAsia="宋体" w:cs="Times New Roman"/>
                <w:b/>
                <w:bCs/>
                <w:i w:val="0"/>
                <w:iCs w:val="0"/>
                <w:color w:val="000000"/>
                <w:kern w:val="0"/>
                <w:sz w:val="18"/>
                <w:szCs w:val="18"/>
                <w:highlight w:val="none"/>
                <w:u w:val="none"/>
                <w:lang w:val="en-US" w:eastAsia="zh-CN" w:bidi="ar"/>
              </w:rPr>
            </w:pPr>
            <w:r>
              <w:rPr>
                <w:rFonts w:hint="eastAsia" w:ascii="Times New Roman" w:hAnsi="Times New Roman" w:eastAsia="宋体" w:cs="Times New Roman"/>
                <w:b/>
                <w:bCs/>
                <w:i w:val="0"/>
                <w:iCs w:val="0"/>
                <w:color w:val="000000"/>
                <w:kern w:val="0"/>
                <w:sz w:val="18"/>
                <w:szCs w:val="18"/>
                <w:highlight w:val="none"/>
                <w:u w:val="none"/>
                <w:lang w:val="en-US" w:eastAsia="zh-CN" w:bidi="ar"/>
              </w:rPr>
              <w:t>3、单位人次营运成本</w:t>
            </w:r>
          </w:p>
        </w:tc>
        <w:tc>
          <w:tcPr>
            <w:tcW w:w="1232" w:type="pct"/>
            <w:tcBorders>
              <w:top w:val="single" w:color="000000" w:sz="4" w:space="0"/>
              <w:left w:val="single" w:color="000000" w:sz="4" w:space="0"/>
              <w:bottom w:val="single" w:color="000000" w:sz="4" w:space="0"/>
              <w:right w:val="single" w:color="000000" w:sz="4" w:space="0"/>
            </w:tcBorders>
            <w:noWrap/>
            <w:vAlign w:val="center"/>
          </w:tcPr>
          <w:p w14:paraId="5C3D965C">
            <w:pPr>
              <w:keepNext w:val="0"/>
              <w:keepLines w:val="0"/>
              <w:widowControl/>
              <w:suppressLineNumbers w:val="0"/>
              <w:jc w:val="righ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 xml:space="preserve"> 15.01 </w:t>
            </w:r>
          </w:p>
        </w:tc>
        <w:tc>
          <w:tcPr>
            <w:tcW w:w="1173" w:type="pct"/>
            <w:tcBorders>
              <w:top w:val="single" w:color="000000" w:sz="4" w:space="0"/>
              <w:left w:val="single" w:color="000000" w:sz="4" w:space="0"/>
              <w:bottom w:val="single" w:color="000000" w:sz="4" w:space="0"/>
              <w:right w:val="single" w:color="000000" w:sz="4" w:space="0"/>
            </w:tcBorders>
            <w:noWrap/>
            <w:vAlign w:val="center"/>
          </w:tcPr>
          <w:p w14:paraId="29346937">
            <w:pPr>
              <w:keepNext w:val="0"/>
              <w:keepLines w:val="0"/>
              <w:widowControl/>
              <w:suppressLineNumbers w:val="0"/>
              <w:jc w:val="righ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 xml:space="preserve"> -4.</w:t>
            </w:r>
            <w:r>
              <w:rPr>
                <w:rFonts w:hint="eastAsia" w:ascii="宋体" w:hAnsi="宋体" w:cs="宋体"/>
                <w:b/>
                <w:bCs/>
                <w:i w:val="0"/>
                <w:iCs w:val="0"/>
                <w:color w:val="000000"/>
                <w:kern w:val="0"/>
                <w:sz w:val="22"/>
                <w:szCs w:val="22"/>
                <w:u w:val="none"/>
                <w:lang w:val="en-US" w:eastAsia="zh-CN" w:bidi="ar"/>
              </w:rPr>
              <w:t>39</w:t>
            </w:r>
            <w:r>
              <w:rPr>
                <w:rFonts w:hint="eastAsia" w:ascii="宋体" w:hAnsi="宋体" w:eastAsia="宋体" w:cs="宋体"/>
                <w:b/>
                <w:bCs/>
                <w:i w:val="0"/>
                <w:iCs w:val="0"/>
                <w:color w:val="000000"/>
                <w:kern w:val="0"/>
                <w:sz w:val="22"/>
                <w:szCs w:val="22"/>
                <w:u w:val="none"/>
                <w:lang w:val="en-US" w:eastAsia="zh-CN" w:bidi="ar"/>
              </w:rPr>
              <w:t xml:space="preserve"> </w:t>
            </w:r>
          </w:p>
        </w:tc>
        <w:tc>
          <w:tcPr>
            <w:tcW w:w="1215" w:type="pct"/>
            <w:tcBorders>
              <w:top w:val="single" w:color="000000" w:sz="4" w:space="0"/>
              <w:left w:val="single" w:color="000000" w:sz="4" w:space="0"/>
              <w:bottom w:val="single" w:color="000000" w:sz="4" w:space="0"/>
              <w:right w:val="single" w:color="000000" w:sz="4" w:space="0"/>
            </w:tcBorders>
            <w:noWrap/>
            <w:vAlign w:val="center"/>
          </w:tcPr>
          <w:p w14:paraId="313330B8">
            <w:pPr>
              <w:keepNext w:val="0"/>
              <w:keepLines w:val="0"/>
              <w:widowControl/>
              <w:suppressLineNumbers w:val="0"/>
              <w:jc w:val="righ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 xml:space="preserve"> </w:t>
            </w:r>
            <w:r>
              <w:rPr>
                <w:rFonts w:hint="eastAsia" w:ascii="宋体" w:hAnsi="宋体" w:cs="宋体"/>
                <w:b/>
                <w:bCs/>
                <w:i w:val="0"/>
                <w:iCs w:val="0"/>
                <w:color w:val="000000"/>
                <w:kern w:val="0"/>
                <w:sz w:val="22"/>
                <w:szCs w:val="22"/>
                <w:u w:val="none"/>
                <w:lang w:val="en-US" w:eastAsia="zh-CN" w:bidi="ar"/>
              </w:rPr>
              <w:t>10.62</w:t>
            </w:r>
            <w:r>
              <w:rPr>
                <w:rFonts w:hint="eastAsia" w:ascii="宋体" w:hAnsi="宋体" w:eastAsia="宋体" w:cs="宋体"/>
                <w:b/>
                <w:bCs/>
                <w:i w:val="0"/>
                <w:iCs w:val="0"/>
                <w:color w:val="000000"/>
                <w:kern w:val="0"/>
                <w:sz w:val="22"/>
                <w:szCs w:val="22"/>
                <w:u w:val="none"/>
                <w:lang w:val="en-US" w:eastAsia="zh-CN" w:bidi="ar"/>
              </w:rPr>
              <w:t xml:space="preserve"> </w:t>
            </w:r>
          </w:p>
        </w:tc>
      </w:tr>
    </w:tbl>
    <w:p w14:paraId="640FA0DB">
      <w:pPr>
        <w:jc w:val="both"/>
        <w:rPr>
          <w:rFonts w:hint="default" w:ascii="仿宋_GB2312" w:hAnsi="仿宋_GB2312" w:eastAsia="仿宋_GB2312" w:cs="仿宋_GB2312"/>
          <w:sz w:val="32"/>
          <w:szCs w:val="32"/>
        </w:rPr>
      </w:pPr>
    </w:p>
    <w:sectPr>
      <w:headerReference r:id="rId5" w:type="first"/>
      <w:footerReference r:id="rId8" w:type="first"/>
      <w:headerReference r:id="rId3" w:type="default"/>
      <w:footerReference r:id="rId6" w:type="default"/>
      <w:headerReference r:id="rId4" w:type="even"/>
      <w:footerReference r:id="rId7" w:type="even"/>
      <w:pgSz w:w="11906" w:h="16838"/>
      <w:pgMar w:top="2098" w:right="1474" w:bottom="1984" w:left="1587" w:header="1417" w:footer="1417" w:gutter="0"/>
      <w:pgNumType w:fmt="decimal"/>
      <w:cols w:space="720" w:num="1"/>
      <w:rtlGutter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C16C451E-9489-47AE-939E-733112D81A0D}"/>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华文中宋">
    <w:altName w:val="宋体"/>
    <w:panose1 w:val="02010600040101010101"/>
    <w:charset w:val="86"/>
    <w:family w:val="auto"/>
    <w:pitch w:val="default"/>
    <w:sig w:usb0="00000000" w:usb1="00000000" w:usb2="00000000" w:usb3="00000000" w:csb0="0004009F" w:csb1="DFD70000"/>
  </w:font>
  <w:font w:name="仿宋_GB2312">
    <w:panose1 w:val="02010609030101010101"/>
    <w:charset w:val="86"/>
    <w:family w:val="auto"/>
    <w:pitch w:val="default"/>
    <w:sig w:usb0="00000001" w:usb1="080E0000" w:usb2="00000000" w:usb3="00000000" w:csb0="00040000" w:csb1="00000000"/>
    <w:embedRegular r:id="rId2" w:fontKey="{ADA8C0D1-FD5A-4499-BD3F-E2C7E523CCE7}"/>
  </w:font>
  <w:font w:name="方正小标宋简体">
    <w:panose1 w:val="03000509000000000000"/>
    <w:charset w:val="86"/>
    <w:family w:val="auto"/>
    <w:pitch w:val="default"/>
    <w:sig w:usb0="00000001" w:usb1="080E0000" w:usb2="00000000" w:usb3="00000000" w:csb0="00040000" w:csb1="00000000"/>
    <w:embedRegular r:id="rId3" w:fontKey="{3620FEE9-FB41-43B2-8CC2-8F669C566E54}"/>
  </w:font>
  <w:font w:name="方正小标宋_GBK">
    <w:altName w:val="微软雅黑"/>
    <w:panose1 w:val="02000000000000000000"/>
    <w:charset w:val="86"/>
    <w:family w:val="auto"/>
    <w:pitch w:val="default"/>
    <w:sig w:usb0="00000000" w:usb1="00000000" w:usb2="00000000" w:usb3="00000000" w:csb0="00040000" w:csb1="00000000"/>
    <w:embedRegular r:id="rId4" w:fontKey="{2B57A79B-58FE-4C7F-BB63-B8B33E18F970}"/>
  </w:font>
  <w:font w:name="微软雅黑">
    <w:panose1 w:val="020B0503020204020204"/>
    <w:charset w:val="86"/>
    <w:family w:val="auto"/>
    <w:pitch w:val="default"/>
    <w:sig w:usb0="80000287" w:usb1="280F3C52" w:usb2="00000016" w:usb3="00000000" w:csb0="0004001F" w:csb1="00000000"/>
  </w:font>
  <w:font w:name="楷体">
    <w:panose1 w:val="02010609060101010101"/>
    <w:charset w:val="86"/>
    <w:family w:val="modern"/>
    <w:pitch w:val="default"/>
    <w:sig w:usb0="800002BF" w:usb1="38CF7CFA" w:usb2="00000016" w:usb3="00000000" w:csb0="00040001" w:csb1="00000000"/>
    <w:embedRegular r:id="rId5" w:fontKey="{96288D17-B0B7-4E4F-A56B-C9B4411BD92C}"/>
  </w:font>
  <w:font w:name="方正仿宋_GB2312">
    <w:panose1 w:val="02000000000000000000"/>
    <w:charset w:val="86"/>
    <w:family w:val="auto"/>
    <w:pitch w:val="default"/>
    <w:sig w:usb0="A00002BF" w:usb1="184F6CFA" w:usb2="00000012" w:usb3="00000000" w:csb0="00040001" w:csb1="00000000"/>
    <w:embedRegular r:id="rId6" w:fontKey="{43E93CFB-F0AA-4601-B0A5-4BEEB2A3094B}"/>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BF3AC0C">
    <w:pPr>
      <w:pStyle w:val="7"/>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955B142">
    <w:pPr>
      <w:pStyle w:val="7"/>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7CF5012">
    <w:pPr>
      <w:pStyle w:val="7"/>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8907F74">
    <w:pPr>
      <w:pStyle w:val="8"/>
      <w:pBdr>
        <w:bottom w:val="none" w:color="auto" w:sz="0" w:space="0"/>
      </w:pBdr>
      <w:rPr>
        <w:rFonts w:hint="eastAsia"/>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9773E1F">
    <w:pPr>
      <w:pStyle w:val="8"/>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9B68163">
    <w:pPr>
      <w:pStyle w:val="8"/>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2D507907"/>
    <w:multiLevelType w:val="singleLevel"/>
    <w:tmpl w:val="2D507907"/>
    <w:lvl w:ilvl="0" w:tentative="0">
      <w:start w:val="1"/>
      <w:numFmt w:val="chineseCounting"/>
      <w:suff w:val="nothing"/>
      <w:lvlText w:val="（%1）"/>
      <w:lvlJc w:val="left"/>
      <w:pPr>
        <w:ind w:left="0" w:firstLine="420"/>
      </w:pPr>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TrueTypeFonts/>
  <w:saveSubsetFonts/>
  <w:bordersDoNotSurroundHeader w:val="1"/>
  <w:bordersDoNotSurroundFooter w:val="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420"/>
  <w:hyphenationZone w:val="360"/>
  <w:drawingGridHorizontalSpacing w:val="105"/>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03B8F"/>
    <w:rsid w:val="00002F5E"/>
    <w:rsid w:val="00023A21"/>
    <w:rsid w:val="0003672B"/>
    <w:rsid w:val="00044B08"/>
    <w:rsid w:val="0004565E"/>
    <w:rsid w:val="0005251C"/>
    <w:rsid w:val="0008058B"/>
    <w:rsid w:val="000E4F28"/>
    <w:rsid w:val="00111BE0"/>
    <w:rsid w:val="001169CF"/>
    <w:rsid w:val="00130F29"/>
    <w:rsid w:val="00151FED"/>
    <w:rsid w:val="0019448F"/>
    <w:rsid w:val="001F492B"/>
    <w:rsid w:val="00235200"/>
    <w:rsid w:val="00272951"/>
    <w:rsid w:val="00273CE8"/>
    <w:rsid w:val="0028137B"/>
    <w:rsid w:val="0028583D"/>
    <w:rsid w:val="002B139A"/>
    <w:rsid w:val="002C012A"/>
    <w:rsid w:val="002D42CA"/>
    <w:rsid w:val="002F1A87"/>
    <w:rsid w:val="003066F2"/>
    <w:rsid w:val="00332208"/>
    <w:rsid w:val="0033753B"/>
    <w:rsid w:val="0034465E"/>
    <w:rsid w:val="00356941"/>
    <w:rsid w:val="0036690A"/>
    <w:rsid w:val="00385677"/>
    <w:rsid w:val="003A0F8A"/>
    <w:rsid w:val="003B2E1C"/>
    <w:rsid w:val="003B53A4"/>
    <w:rsid w:val="003B7237"/>
    <w:rsid w:val="003C00B4"/>
    <w:rsid w:val="003D07E2"/>
    <w:rsid w:val="003F46CA"/>
    <w:rsid w:val="00406DC4"/>
    <w:rsid w:val="0042232F"/>
    <w:rsid w:val="00450274"/>
    <w:rsid w:val="00451571"/>
    <w:rsid w:val="00454F69"/>
    <w:rsid w:val="004565C3"/>
    <w:rsid w:val="0047315F"/>
    <w:rsid w:val="00482F48"/>
    <w:rsid w:val="00483D94"/>
    <w:rsid w:val="004A6DA6"/>
    <w:rsid w:val="004B09ED"/>
    <w:rsid w:val="004D26C2"/>
    <w:rsid w:val="004D4BF1"/>
    <w:rsid w:val="004F1F6C"/>
    <w:rsid w:val="005025F6"/>
    <w:rsid w:val="00536116"/>
    <w:rsid w:val="00544E5B"/>
    <w:rsid w:val="00556462"/>
    <w:rsid w:val="00577543"/>
    <w:rsid w:val="00580CAD"/>
    <w:rsid w:val="005D5CA4"/>
    <w:rsid w:val="005D7D36"/>
    <w:rsid w:val="005E276B"/>
    <w:rsid w:val="005F2203"/>
    <w:rsid w:val="005F3636"/>
    <w:rsid w:val="00604CC2"/>
    <w:rsid w:val="0064592A"/>
    <w:rsid w:val="00667767"/>
    <w:rsid w:val="00686434"/>
    <w:rsid w:val="00690824"/>
    <w:rsid w:val="006943CA"/>
    <w:rsid w:val="006977B3"/>
    <w:rsid w:val="006B54B9"/>
    <w:rsid w:val="006C187A"/>
    <w:rsid w:val="006C4D1A"/>
    <w:rsid w:val="006D4601"/>
    <w:rsid w:val="0070725C"/>
    <w:rsid w:val="00707EBC"/>
    <w:rsid w:val="0071434F"/>
    <w:rsid w:val="00716978"/>
    <w:rsid w:val="00720569"/>
    <w:rsid w:val="00732D50"/>
    <w:rsid w:val="00743EB0"/>
    <w:rsid w:val="00782176"/>
    <w:rsid w:val="007B7D11"/>
    <w:rsid w:val="007E05C6"/>
    <w:rsid w:val="007E5491"/>
    <w:rsid w:val="007F43FE"/>
    <w:rsid w:val="007F688C"/>
    <w:rsid w:val="00834D46"/>
    <w:rsid w:val="00850402"/>
    <w:rsid w:val="00873280"/>
    <w:rsid w:val="008750B3"/>
    <w:rsid w:val="00876D9A"/>
    <w:rsid w:val="008A66E1"/>
    <w:rsid w:val="008E6653"/>
    <w:rsid w:val="008F130E"/>
    <w:rsid w:val="008F14BB"/>
    <w:rsid w:val="008F694F"/>
    <w:rsid w:val="009324A3"/>
    <w:rsid w:val="009B2A2B"/>
    <w:rsid w:val="009F6F41"/>
    <w:rsid w:val="00A03B8F"/>
    <w:rsid w:val="00A10220"/>
    <w:rsid w:val="00A106BD"/>
    <w:rsid w:val="00A1127B"/>
    <w:rsid w:val="00A14ECA"/>
    <w:rsid w:val="00A17E8A"/>
    <w:rsid w:val="00A513A2"/>
    <w:rsid w:val="00A83556"/>
    <w:rsid w:val="00A97E18"/>
    <w:rsid w:val="00B13974"/>
    <w:rsid w:val="00B70C02"/>
    <w:rsid w:val="00B77431"/>
    <w:rsid w:val="00B83873"/>
    <w:rsid w:val="00BA5087"/>
    <w:rsid w:val="00BA5376"/>
    <w:rsid w:val="00BB637C"/>
    <w:rsid w:val="00BF20FF"/>
    <w:rsid w:val="00C34639"/>
    <w:rsid w:val="00C41DAD"/>
    <w:rsid w:val="00C474EA"/>
    <w:rsid w:val="00C616D2"/>
    <w:rsid w:val="00C700ED"/>
    <w:rsid w:val="00C71365"/>
    <w:rsid w:val="00C71B9F"/>
    <w:rsid w:val="00C76BF9"/>
    <w:rsid w:val="00C8043C"/>
    <w:rsid w:val="00CA216A"/>
    <w:rsid w:val="00CC39EC"/>
    <w:rsid w:val="00CE0755"/>
    <w:rsid w:val="00CE370A"/>
    <w:rsid w:val="00CF5C7E"/>
    <w:rsid w:val="00CF75C7"/>
    <w:rsid w:val="00D0362E"/>
    <w:rsid w:val="00D1669F"/>
    <w:rsid w:val="00D419B7"/>
    <w:rsid w:val="00D555B1"/>
    <w:rsid w:val="00D66D35"/>
    <w:rsid w:val="00D9405F"/>
    <w:rsid w:val="00DC485F"/>
    <w:rsid w:val="00DC6A8B"/>
    <w:rsid w:val="00DC765E"/>
    <w:rsid w:val="00DD7615"/>
    <w:rsid w:val="00DE3EE5"/>
    <w:rsid w:val="00DF0B27"/>
    <w:rsid w:val="00E06EFE"/>
    <w:rsid w:val="00E11567"/>
    <w:rsid w:val="00E12357"/>
    <w:rsid w:val="00E22639"/>
    <w:rsid w:val="00E32E7A"/>
    <w:rsid w:val="00E57321"/>
    <w:rsid w:val="00E660FD"/>
    <w:rsid w:val="00E72211"/>
    <w:rsid w:val="00E8769C"/>
    <w:rsid w:val="00E92C0D"/>
    <w:rsid w:val="00EA7D05"/>
    <w:rsid w:val="00EC3C41"/>
    <w:rsid w:val="00ED2DA0"/>
    <w:rsid w:val="00F153A8"/>
    <w:rsid w:val="00F3166B"/>
    <w:rsid w:val="00FC7E57"/>
    <w:rsid w:val="00FE42C6"/>
    <w:rsid w:val="00FF2F0F"/>
    <w:rsid w:val="023A59E3"/>
    <w:rsid w:val="04B70785"/>
    <w:rsid w:val="05EE6571"/>
    <w:rsid w:val="06700D4C"/>
    <w:rsid w:val="0CA03737"/>
    <w:rsid w:val="0D45410D"/>
    <w:rsid w:val="121F7A4F"/>
    <w:rsid w:val="12E338FB"/>
    <w:rsid w:val="17EC7D4E"/>
    <w:rsid w:val="183879D7"/>
    <w:rsid w:val="191D3511"/>
    <w:rsid w:val="19AD43F8"/>
    <w:rsid w:val="19D83220"/>
    <w:rsid w:val="1ADA4D76"/>
    <w:rsid w:val="1C057B65"/>
    <w:rsid w:val="1E36398C"/>
    <w:rsid w:val="24E011DB"/>
    <w:rsid w:val="27361586"/>
    <w:rsid w:val="275654B6"/>
    <w:rsid w:val="27703A50"/>
    <w:rsid w:val="28EC4967"/>
    <w:rsid w:val="2D031F0A"/>
    <w:rsid w:val="2EE70EA9"/>
    <w:rsid w:val="2F2443BA"/>
    <w:rsid w:val="331A61FF"/>
    <w:rsid w:val="33DE2E4D"/>
    <w:rsid w:val="393E28D8"/>
    <w:rsid w:val="3A157721"/>
    <w:rsid w:val="3A43428E"/>
    <w:rsid w:val="3BBF1F72"/>
    <w:rsid w:val="3F2141DC"/>
    <w:rsid w:val="3F3E3739"/>
    <w:rsid w:val="46777E22"/>
    <w:rsid w:val="47B658A1"/>
    <w:rsid w:val="49ED1B20"/>
    <w:rsid w:val="4C07607D"/>
    <w:rsid w:val="4DA96E61"/>
    <w:rsid w:val="4DAD07B7"/>
    <w:rsid w:val="4DF25957"/>
    <w:rsid w:val="50887115"/>
    <w:rsid w:val="53346A12"/>
    <w:rsid w:val="59FD738E"/>
    <w:rsid w:val="5A365896"/>
    <w:rsid w:val="5A8C4692"/>
    <w:rsid w:val="604D0625"/>
    <w:rsid w:val="612C0BA2"/>
    <w:rsid w:val="62423C76"/>
    <w:rsid w:val="63761A35"/>
    <w:rsid w:val="63BA7129"/>
    <w:rsid w:val="665F0CEC"/>
    <w:rsid w:val="699D0A15"/>
    <w:rsid w:val="6CC54C64"/>
    <w:rsid w:val="71FE401B"/>
    <w:rsid w:val="732D105C"/>
    <w:rsid w:val="733C7696"/>
    <w:rsid w:val="76943DB8"/>
    <w:rsid w:val="F7FE19E7"/>
    <w:rsid w:val="FF3F1326"/>
  </w:rsids>
  <m:mathPr>
    <m:brkBin m:val="before"/>
    <m:brkBinSub m:val="--"/>
    <m:smallFrac m:val="0"/>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weight="1.5pt" color="#FF0000"/>
    </o:shapedefaults>
    <o:shapelayout v:ext="edit">
      <o:idmap v:ext="edit" data="2"/>
    </o:shapelayout>
  </w:shapeDefaul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qFormat="1"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4">
    <w:name w:val="heading 1"/>
    <w:basedOn w:val="1"/>
    <w:next w:val="1"/>
    <w:qFormat/>
    <w:uiPriority w:val="0"/>
    <w:pPr>
      <w:keepNext/>
      <w:keepLines/>
      <w:spacing w:before="340" w:beforeLines="0" w:after="330" w:afterLines="0" w:line="576" w:lineRule="auto"/>
      <w:outlineLvl w:val="0"/>
    </w:pPr>
    <w:rPr>
      <w:rFonts w:ascii="Times New Roman" w:hAnsi="Times New Roman" w:eastAsia="宋体" w:cs="Times New Roman"/>
      <w:b/>
      <w:bCs/>
      <w:kern w:val="44"/>
      <w:sz w:val="44"/>
      <w:szCs w:val="44"/>
    </w:rPr>
  </w:style>
  <w:style w:type="character" w:default="1" w:styleId="11">
    <w:name w:val="Default Paragraph Font"/>
    <w:semiHidden/>
    <w:qFormat/>
    <w:uiPriority w:val="0"/>
  </w:style>
  <w:style w:type="table" w:default="1" w:styleId="10">
    <w:name w:val="Normal Table"/>
    <w:semiHidden/>
    <w:qFormat/>
    <w:uiPriority w:val="0"/>
    <w:tblPr>
      <w:tblCellMar>
        <w:top w:w="0" w:type="dxa"/>
        <w:left w:w="108" w:type="dxa"/>
        <w:bottom w:w="0" w:type="dxa"/>
        <w:right w:w="108" w:type="dxa"/>
      </w:tblCellMar>
    </w:tblPr>
  </w:style>
  <w:style w:type="paragraph" w:customStyle="1" w:styleId="2">
    <w:name w:val="Body Text First Indent 21"/>
    <w:basedOn w:val="3"/>
    <w:qFormat/>
    <w:uiPriority w:val="0"/>
    <w:pPr>
      <w:spacing w:line="360" w:lineRule="auto"/>
    </w:pPr>
    <w:rPr>
      <w:rFonts w:eastAsia="宋体"/>
      <w:sz w:val="24"/>
    </w:rPr>
  </w:style>
  <w:style w:type="paragraph" w:customStyle="1" w:styleId="3">
    <w:name w:val="正文文本缩进1"/>
    <w:basedOn w:val="1"/>
    <w:qFormat/>
    <w:uiPriority w:val="0"/>
    <w:pPr>
      <w:spacing w:line="150" w:lineRule="atLeast"/>
      <w:ind w:firstLine="420" w:firstLineChars="200"/>
      <w:textAlignment w:val="baseline"/>
    </w:pPr>
    <w:rPr>
      <w:rFonts w:ascii="Times New Roman" w:hAnsi="Times New Roman" w:cs="Times New Roman"/>
    </w:rPr>
  </w:style>
  <w:style w:type="paragraph" w:styleId="5">
    <w:name w:val="Body Text"/>
    <w:basedOn w:val="1"/>
    <w:next w:val="6"/>
    <w:qFormat/>
    <w:uiPriority w:val="0"/>
    <w:pPr>
      <w:widowControl w:val="0"/>
      <w:spacing w:line="320" w:lineRule="exact"/>
      <w:jc w:val="center"/>
    </w:pPr>
    <w:rPr>
      <w:rFonts w:hint="eastAsia" w:ascii="Times New Roman" w:hAnsi="Times New Roman" w:eastAsia="宋体" w:cs="Times New Roman"/>
      <w:kern w:val="2"/>
      <w:sz w:val="21"/>
      <w:szCs w:val="24"/>
      <w:lang w:val="en-US" w:eastAsia="zh-CN" w:bidi="ar-SA"/>
    </w:rPr>
  </w:style>
  <w:style w:type="paragraph" w:customStyle="1" w:styleId="6">
    <w:name w:val="Default"/>
    <w:qFormat/>
    <w:uiPriority w:val="0"/>
    <w:pPr>
      <w:widowControl w:val="0"/>
      <w:autoSpaceDE w:val="0"/>
      <w:autoSpaceDN w:val="0"/>
      <w:adjustRightInd w:val="0"/>
    </w:pPr>
    <w:rPr>
      <w:rFonts w:ascii="华文中宋" w:hAnsi="Calibri" w:eastAsia="华文中宋" w:cs="Times New Roman"/>
      <w:color w:val="000000"/>
      <w:sz w:val="24"/>
      <w:lang w:val="en-US" w:eastAsia="zh-CN" w:bidi="ar-SA"/>
    </w:rPr>
  </w:style>
  <w:style w:type="paragraph" w:styleId="7">
    <w:name w:val="footer"/>
    <w:basedOn w:val="1"/>
    <w:qFormat/>
    <w:uiPriority w:val="0"/>
    <w:pPr>
      <w:tabs>
        <w:tab w:val="center" w:pos="4153"/>
        <w:tab w:val="right" w:pos="8306"/>
      </w:tabs>
      <w:snapToGrid w:val="0"/>
      <w:jc w:val="left"/>
    </w:pPr>
    <w:rPr>
      <w:sz w:val="18"/>
      <w:szCs w:val="18"/>
    </w:rPr>
  </w:style>
  <w:style w:type="paragraph" w:styleId="8">
    <w:name w:val="header"/>
    <w:basedOn w:val="1"/>
    <w:qFormat/>
    <w:uiPriority w:val="0"/>
    <w:pPr>
      <w:pBdr>
        <w:bottom w:val="single" w:color="auto" w:sz="6" w:space="1"/>
      </w:pBdr>
      <w:tabs>
        <w:tab w:val="center" w:pos="4153"/>
        <w:tab w:val="right" w:pos="8306"/>
      </w:tabs>
      <w:snapToGrid w:val="0"/>
      <w:jc w:val="center"/>
    </w:pPr>
    <w:rPr>
      <w:sz w:val="18"/>
      <w:szCs w:val="18"/>
    </w:rPr>
  </w:style>
  <w:style w:type="paragraph" w:styleId="9">
    <w:name w:val="toc 2"/>
    <w:basedOn w:val="1"/>
    <w:next w:val="1"/>
    <w:qFormat/>
    <w:uiPriority w:val="0"/>
    <w:pPr>
      <w:ind w:left="420" w:leftChars="200"/>
    </w:pPr>
    <w:rPr>
      <w:spacing w:val="16"/>
      <w:sz w:val="32"/>
      <w:szCs w:val="24"/>
    </w:rPr>
  </w:style>
  <w:style w:type="paragraph" w:customStyle="1" w:styleId="12">
    <w:name w:val="样式 宋体 行距: 1.5 倍行距"/>
    <w:basedOn w:val="1"/>
    <w:qFormat/>
    <w:uiPriority w:val="0"/>
    <w:rPr>
      <w:bCs/>
    </w:rPr>
  </w:style>
  <w:style w:type="character" w:customStyle="1" w:styleId="13">
    <w:name w:val="font11"/>
    <w:basedOn w:val="11"/>
    <w:qFormat/>
    <w:uiPriority w:val="0"/>
    <w:rPr>
      <w:rFonts w:hint="eastAsia" w:ascii="仿宋_GB2312" w:eastAsia="仿宋_GB2312" w:cs="仿宋_GB2312"/>
      <w:b/>
      <w:bCs/>
      <w:color w:val="000000"/>
      <w:sz w:val="28"/>
      <w:szCs w:val="28"/>
      <w:u w:val="none"/>
    </w:rPr>
  </w:style>
  <w:style w:type="character" w:customStyle="1" w:styleId="14">
    <w:name w:val="font41"/>
    <w:basedOn w:val="11"/>
    <w:qFormat/>
    <w:uiPriority w:val="0"/>
    <w:rPr>
      <w:rFonts w:hint="eastAsia" w:ascii="仿宋_GB2312" w:eastAsia="仿宋_GB2312" w:cs="仿宋_GB2312"/>
      <w:color w:val="000000"/>
      <w:sz w:val="28"/>
      <w:szCs w:val="28"/>
      <w:u w:val="none"/>
    </w:rPr>
  </w:style>
  <w:style w:type="character" w:customStyle="1" w:styleId="15">
    <w:name w:val="font51"/>
    <w:basedOn w:val="11"/>
    <w:qFormat/>
    <w:uiPriority w:val="0"/>
    <w:rPr>
      <w:rFonts w:hint="eastAsia" w:ascii="仿宋_GB2312" w:eastAsia="仿宋_GB2312" w:cs="仿宋_GB2312"/>
      <w:b/>
      <w:bCs/>
      <w:color w:val="000000"/>
      <w:sz w:val="28"/>
      <w:szCs w:val="28"/>
      <w:u w:val="none"/>
    </w:rPr>
  </w:style>
</w:styles>
</file>

<file path=word/_rels/document.xml.rels><?xml version="1.0" encoding="UTF-8" standalone="yes"?>
<Relationships xmlns="http://schemas.openxmlformats.org/package/2006/relationships"><Relationship Id="rId9" Type="http://schemas.openxmlformats.org/officeDocument/2006/relationships/theme" Target="theme/theme1.xml"/><Relationship Id="rId8" Type="http://schemas.openxmlformats.org/officeDocument/2006/relationships/footer" Target="footer3.xml"/><Relationship Id="rId7" Type="http://schemas.openxmlformats.org/officeDocument/2006/relationships/footer" Target="footer2.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Info spid="_x0000_s2054"/>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China</Company>
  <Pages>9</Pages>
  <Words>3811</Words>
  <Characters>4288</Characters>
  <Lines>1</Lines>
  <Paragraphs>1</Paragraphs>
  <TotalTime>3</TotalTime>
  <ScaleCrop>false</ScaleCrop>
  <LinksUpToDate>false</LinksUpToDate>
  <CharactersWithSpaces>4376</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2016-06-21T19:48:00Z</dcterms:created>
  <dc:creator>Administrator</dc:creator>
  <cp:lastModifiedBy>西西</cp:lastModifiedBy>
  <cp:lastPrinted>2025-11-28T02:03:00Z</cp:lastPrinted>
  <dcterms:modified xsi:type="dcterms:W3CDTF">2026-06-17T07:04:31Z</dcterms:modified>
  <cp:revision>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294C1B7203F64E2B8CC45917D9962003_13</vt:lpwstr>
  </property>
  <property fmtid="{D5CDD505-2E9C-101B-9397-08002B2CF9AE}" pid="4" name="KSOTemplateDocerSaveRecord">
    <vt:lpwstr>eyJoZGlkIjoiN2EzMjZiNThlMjZkOWJkYzRlY2ZlZjgwN2IxODljZjciLCJ1c2VySWQiOiI2NDI3NzIxMzkifQ==</vt:lpwstr>
  </property>
</Properties>
</file>