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center"/>
        <w:rPr>
          <w:rFonts w:eastAsia="方正小标宋简体" w:cs="Times New Roman"/>
          <w:sz w:val="44"/>
          <w:lang w:eastAsia="zh-CN"/>
        </w:rPr>
      </w:pPr>
      <w:bookmarkStart w:id="3" w:name="_GoBack"/>
      <w:bookmarkEnd w:id="3"/>
      <w:r>
        <w:rPr>
          <w:rFonts w:hint="eastAsia" w:eastAsia="方正小标宋简体" w:cs="Times New Roman"/>
          <w:sz w:val="44"/>
          <w:lang w:eastAsia="zh-CN"/>
        </w:rPr>
        <w:t>增城区校园餐智慧监管平台建设合作银行公开比选工作方案</w:t>
      </w:r>
    </w:p>
    <w:p>
      <w:pPr>
        <w:spacing w:line="540" w:lineRule="exact"/>
        <w:jc w:val="both"/>
        <w:rPr>
          <w:lang w:eastAsia="zh-CN"/>
        </w:rPr>
      </w:pPr>
    </w:p>
    <w:p>
      <w:pPr>
        <w:spacing w:line="540" w:lineRule="exact"/>
        <w:ind w:firstLine="640" w:firstLineChars="200"/>
        <w:jc w:val="both"/>
        <w:rPr>
          <w:lang w:eastAsia="zh-CN"/>
        </w:rPr>
      </w:pPr>
      <w:r>
        <w:rPr>
          <w:rFonts w:hint="eastAsia" w:cs="Times New Roman"/>
          <w:lang w:eastAsia="zh-CN"/>
        </w:rPr>
        <w:t>根据《增城区校园餐智慧监管平台建设工作方案》，为公开、公平、公正地选定合作银行，现制定本方案。</w:t>
      </w:r>
    </w:p>
    <w:p>
      <w:pPr>
        <w:spacing w:line="540" w:lineRule="exact"/>
        <w:ind w:firstLine="640" w:firstLineChars="200"/>
        <w:jc w:val="both"/>
        <w:outlineLvl w:val="0"/>
        <w:rPr>
          <w:lang w:eastAsia="zh-CN"/>
        </w:rPr>
      </w:pPr>
      <w:r>
        <w:rPr>
          <w:rFonts w:hint="eastAsia" w:eastAsia="黑体" w:cs="Times New Roman"/>
          <w:lang w:eastAsia="zh-CN"/>
        </w:rPr>
        <w:t>一、竞争性选择依据与性质</w:t>
      </w:r>
    </w:p>
    <w:p>
      <w:pPr>
        <w:spacing w:line="540" w:lineRule="exact"/>
        <w:ind w:firstLine="640" w:firstLineChars="200"/>
        <w:jc w:val="both"/>
        <w:rPr>
          <w:lang w:eastAsia="zh-CN"/>
        </w:rPr>
      </w:pPr>
      <w:r>
        <w:rPr>
          <w:rFonts w:hint="eastAsia" w:ascii="楷体_GB2312" w:hAnsi="楷体_GB2312" w:eastAsia="楷体_GB2312" w:cs="Times New Roman"/>
          <w:lang w:eastAsia="zh-CN"/>
        </w:rPr>
        <w:t>（一）竞争性选择性质。</w:t>
      </w:r>
      <w:r>
        <w:rPr>
          <w:rFonts w:hint="eastAsia" w:ascii="仿宋_GB2312" w:hAnsi="仿宋_GB2312" w:cs="Times New Roman"/>
          <w:lang w:eastAsia="zh-CN"/>
        </w:rPr>
        <w:t>本项目由合作银行全额出资建设，不使用财政性资金。本项目选择合作银行涉及全区公民办学校（幼儿园）校园餐资金账户开立和资金存放，按照《财政部关于进一步加强财政部门和预算单位资金存放管理的指导意见》（财库〔2017〕76号）、《广州市财政局转发关于进一步加强财政部门和预算单位资金存放管理的实施意见的通知》（穗财库〔2018〕18号）、《广州市增城区财政局关于进一步加强预算单位资金存放管理的通知》（增财〔2024〕140号）和《广州市增城区财政局关于印发广州市增城区预算单位银行账户管理办法的通知》（增财〔2024〕137号）有关规定，采取竞争性方式，由区教育局受全区公民办学校（幼儿园）委托统一组织实施公开比选。</w:t>
      </w:r>
    </w:p>
    <w:p>
      <w:pPr>
        <w:spacing w:line="540" w:lineRule="exact"/>
        <w:ind w:firstLine="640" w:firstLineChars="200"/>
        <w:jc w:val="both"/>
        <w:rPr>
          <w:lang w:eastAsia="zh-CN"/>
        </w:rPr>
      </w:pPr>
      <w:r>
        <w:rPr>
          <w:rFonts w:hint="eastAsia" w:ascii="楷体_GB2312" w:hAnsi="楷体_GB2312" w:eastAsia="楷体_GB2312" w:cs="Times New Roman"/>
          <w:lang w:eastAsia="zh-CN"/>
        </w:rPr>
        <w:t>（二）工作原则。</w:t>
      </w:r>
      <w:r>
        <w:rPr>
          <w:rFonts w:hint="eastAsia" w:ascii="仿宋_GB2312" w:hAnsi="仿宋_GB2312" w:cs="Times New Roman"/>
          <w:lang w:eastAsia="zh-CN"/>
        </w:rPr>
        <w:t>本次公开比选坚持公开、公平、公正原则，依照有关法律法规规定组织实施，严格程序、规范操作，确保选取结果公正、经得起检验。</w:t>
      </w:r>
    </w:p>
    <w:p>
      <w:pPr>
        <w:spacing w:line="540" w:lineRule="exact"/>
        <w:ind w:firstLine="640" w:firstLineChars="200"/>
        <w:jc w:val="both"/>
        <w:rPr>
          <w:lang w:eastAsia="zh-CN"/>
        </w:rPr>
      </w:pPr>
      <w:r>
        <w:rPr>
          <w:rFonts w:hint="eastAsia" w:ascii="楷体_GB2312" w:hAnsi="楷体_GB2312" w:eastAsia="楷体_GB2312" w:cs="Times New Roman"/>
          <w:lang w:eastAsia="zh-CN"/>
        </w:rPr>
        <w:t>（三）政策依据。</w:t>
      </w:r>
      <w:r>
        <w:rPr>
          <w:rFonts w:hint="eastAsia" w:ascii="仿宋_GB2312" w:hAnsi="仿宋_GB2312" w:cs="Times New Roman"/>
          <w:lang w:eastAsia="zh-CN"/>
        </w:rPr>
        <w:t>《中共中央办公厅 国务院办公厅关于进一步强化食品安全全链条监管的意见》《教育部办公厅 市场监管总局办公厅关于印发〈学校食堂大宗食材采购验收管理工作指引〉的通知》（教体艺厅函〔2025〕30号）《广东省学校食堂智慧监管系统建设参考指南》（粤教后勤函〔2026〕4号）、《广州市教育局关于进一步推进学校食材采购监管平台建设工作的通知》等文件要求。</w:t>
      </w:r>
    </w:p>
    <w:p>
      <w:pPr>
        <w:spacing w:line="540" w:lineRule="exact"/>
        <w:ind w:firstLine="640" w:firstLineChars="200"/>
        <w:jc w:val="both"/>
        <w:rPr>
          <w:color w:val="FF0000"/>
          <w:lang w:eastAsia="zh-CN"/>
        </w:rPr>
      </w:pPr>
      <w:r>
        <w:rPr>
          <w:rFonts w:hint="eastAsia" w:ascii="楷体_GB2312" w:hAnsi="楷体_GB2312" w:eastAsia="楷体_GB2312" w:cs="Times New Roman"/>
          <w:color w:val="000000"/>
          <w:lang w:eastAsia="zh-CN"/>
        </w:rPr>
        <w:t>（四）本次公开比选由区教育局组织实施，全过程接受社会监督。</w:t>
      </w:r>
    </w:p>
    <w:p>
      <w:pPr>
        <w:spacing w:line="540" w:lineRule="exact"/>
        <w:ind w:firstLine="640" w:firstLineChars="200"/>
        <w:jc w:val="both"/>
        <w:outlineLvl w:val="0"/>
        <w:rPr>
          <w:rFonts w:eastAsia="黑体" w:cs="Times New Roman"/>
          <w:lang w:eastAsia="zh-CN"/>
        </w:rPr>
      </w:pPr>
      <w:r>
        <w:rPr>
          <w:rFonts w:hint="eastAsia" w:eastAsia="黑体" w:cs="Times New Roman"/>
          <w:lang w:eastAsia="zh-CN"/>
        </w:rPr>
        <w:t>二、比选对象、资格条件与选定数量</w:t>
      </w:r>
    </w:p>
    <w:p>
      <w:pPr>
        <w:spacing w:line="540" w:lineRule="exact"/>
        <w:ind w:firstLine="640" w:firstLineChars="200"/>
        <w:jc w:val="both"/>
        <w:rPr>
          <w:rFonts w:eastAsia="楷体_GB2312" w:cs="Times New Roman"/>
          <w:lang w:eastAsia="zh-CN"/>
        </w:rPr>
      </w:pPr>
      <w:r>
        <w:rPr>
          <w:rFonts w:hint="eastAsia" w:ascii="楷体_GB2312" w:hAnsi="楷体_GB2312" w:eastAsia="楷体_GB2312" w:cs="Times New Roman"/>
          <w:lang w:eastAsia="zh-CN"/>
        </w:rPr>
        <w:t>（一）本项目对合作银行的能力要求。</w:t>
      </w:r>
    </w:p>
    <w:p>
      <w:pPr>
        <w:spacing w:line="540" w:lineRule="exact"/>
        <w:ind w:firstLine="640" w:firstLineChars="200"/>
        <w:jc w:val="both"/>
        <w:rPr>
          <w:rFonts w:cs="Times New Roman"/>
          <w:lang w:eastAsia="zh-CN"/>
        </w:rPr>
      </w:pPr>
      <w:r>
        <w:rPr>
          <w:rFonts w:hint="eastAsia" w:eastAsia="楷体_GB2312" w:cs="Times New Roman"/>
          <w:lang w:eastAsia="zh-CN"/>
        </w:rPr>
        <w:t>1.</w:t>
      </w:r>
      <w:r>
        <w:rPr>
          <w:rFonts w:hint="eastAsia" w:cs="Times New Roman"/>
          <w:lang w:eastAsia="zh-CN"/>
        </w:rPr>
        <w:t>本项目由合作银行全额出资建设，对合作银行提出以下资质要求：（1）具备承担平台建设、全区智能硬件配备、系统运维、</w:t>
      </w:r>
      <w:r>
        <w:rPr>
          <w:rFonts w:hint="eastAsia" w:cs="Times New Roman"/>
          <w:color w:val="000000"/>
          <w:lang w:eastAsia="zh-CN"/>
        </w:rPr>
        <w:t>二次开发及后续按政策要求提供平台功能扩展的</w:t>
      </w:r>
      <w:r>
        <w:rPr>
          <w:rFonts w:hint="eastAsia" w:cs="Times New Roman"/>
          <w:lang w:eastAsia="zh-CN"/>
        </w:rPr>
        <w:t>全部费用的出资能力；（2）具备较强的资本实力和风险抵御能力，能够保障校园餐资金归集、结算安全稳定；（3）在增城区设有</w:t>
      </w:r>
      <w:r>
        <w:rPr>
          <w:rFonts w:cs="Times New Roman"/>
          <w:lang w:eastAsia="zh-CN"/>
        </w:rPr>
        <w:t>分支机构</w:t>
      </w:r>
      <w:r>
        <w:rPr>
          <w:rFonts w:hint="eastAsia" w:cs="Times New Roman"/>
          <w:lang w:eastAsia="zh-CN"/>
        </w:rPr>
        <w:t>，能够为全区学校（幼儿园）提供现场开户、上门服务、设备安装、培训指导和售后响应；（4）具备国家信息安全等级保护三级要求的系统建设经验；（5）具备区（县）级及以上校园餐或者政务资金监管类项目的承接经验。（6）近三年内在经营活动中无重大违法违规记录，未被金融监管部门实施重大行政处罚（即指金融监管部门对银行作出的罚款金额超过100万元、责令停业整顿、吊销经营许可证的行政处罚。），未被列入严重失信主体名单。</w:t>
      </w:r>
    </w:p>
    <w:p>
      <w:pPr>
        <w:spacing w:line="540" w:lineRule="exact"/>
        <w:ind w:firstLine="640" w:firstLineChars="200"/>
        <w:jc w:val="both"/>
        <w:rPr>
          <w:lang w:eastAsia="zh-CN"/>
        </w:rPr>
      </w:pPr>
      <w:r>
        <w:rPr>
          <w:rFonts w:hint="eastAsia" w:cs="Times New Roman"/>
          <w:lang w:eastAsia="zh-CN"/>
        </w:rPr>
        <w:t>2.报名时应提交的资格审查材料如下：（1）报名申请函（加盖单位公章）；（2）出资承诺函以及履约资金安排说明；（3）近一个年度经审计的财务报告或者上级行出具的资信证明；（4）在增城区设有分支机构的金融许可证或者营业执照复印件；（5） 参选银行可提供自身或其所属省级分行持有的、满足国家信息安全等级保护三级要求的《信息系统安全等级保护备案证明》复印件，加盖参选银行公章。同时须提供省级分行出具的授权使用函，明确同意参选银行在本次比选中使用该备案证明；（6） 参选银行可提供其所属省级分行及以下机构实施的区（县）级及以上校园餐或者政务资金监管类项目同类项目业绩的合同（协议）复印件以及验收或者评价证明，加盖参选银行公章，同时须提供省级分行及以下机构出具的授权使用函，明确同意参选银行在本次比选中使用该项目资料；（7）</w:t>
      </w:r>
      <w:r>
        <w:rPr>
          <w:rFonts w:hint="eastAsia"/>
          <w:lang w:eastAsia="zh-CN"/>
        </w:rPr>
        <w:t xml:space="preserve"> </w:t>
      </w:r>
      <w:r>
        <w:rPr>
          <w:rFonts w:hint="eastAsia" w:cs="Times New Roman"/>
          <w:lang w:eastAsia="zh-CN"/>
        </w:rPr>
        <w:t>参选银行须提供其自行在国家企业信用信息公示系统（www.gsxt.gov.cn）查询并下载（打印）的本单位《企业信用信息公示报告》，并加盖参与比选银行公章。报告查询/生成日期应在本次比选公告发布之日后至递交截止时间前。报告内容至少应包含：企业基本登记信息（营业执照信息，包括名称、统一社会信用代码、法定代表人、注册资本、登记状态、经营范围、登记机关等）、行政处罚信息、经营异常名录信息、严重违法失信名单（黑名单）信息。同时提供金融监管部门官网查询截图或书面承诺，证明未被金融监管部门实施重大行政处罚。</w:t>
      </w:r>
    </w:p>
    <w:p>
      <w:pPr>
        <w:spacing w:line="540" w:lineRule="exact"/>
        <w:ind w:firstLine="640" w:firstLineChars="200"/>
        <w:jc w:val="both"/>
        <w:rPr>
          <w:lang w:eastAsia="zh-CN"/>
        </w:rPr>
      </w:pPr>
      <w:r>
        <w:rPr>
          <w:rFonts w:hint="eastAsia" w:ascii="楷体_GB2312" w:hAnsi="楷体_GB2312" w:eastAsia="楷体_GB2312" w:cs="Times New Roman"/>
          <w:lang w:eastAsia="zh-CN"/>
        </w:rPr>
        <w:t>（二）选定数量。通过公开比选择优选定1家合作银行。通过资格审查的参与银行不足2家的，延长公告期或者调整资格条件后重新公告；重新公告后仍不足2家的，报区教育局党组会研究确定处理方式。</w:t>
      </w:r>
    </w:p>
    <w:p>
      <w:pPr>
        <w:spacing w:line="540" w:lineRule="exact"/>
        <w:ind w:firstLine="640" w:firstLineChars="200"/>
        <w:jc w:val="both"/>
        <w:outlineLvl w:val="0"/>
        <w:rPr>
          <w:rFonts w:eastAsia="黑体" w:cs="Times New Roman"/>
          <w:lang w:eastAsia="zh-CN"/>
        </w:rPr>
      </w:pPr>
      <w:r>
        <w:rPr>
          <w:rFonts w:hint="eastAsia" w:eastAsia="黑体" w:cs="Times New Roman"/>
          <w:lang w:eastAsia="zh-CN"/>
        </w:rPr>
        <w:t>三、综合评分考察内容</w:t>
      </w:r>
    </w:p>
    <w:p>
      <w:pPr>
        <w:spacing w:line="540" w:lineRule="exact"/>
        <w:ind w:firstLine="640" w:firstLineChars="200"/>
        <w:jc w:val="both"/>
        <w:rPr>
          <w:rFonts w:cs="Times New Roman"/>
          <w:lang w:eastAsia="zh-CN"/>
        </w:rPr>
      </w:pPr>
      <w:r>
        <w:rPr>
          <w:rFonts w:hint="eastAsia" w:ascii="楷体_GB2312" w:hAnsi="楷体_GB2312" w:eastAsia="楷体_GB2312" w:cs="Times New Roman"/>
          <w:lang w:eastAsia="zh-CN"/>
        </w:rPr>
        <w:t>（一）平台软件系统投资建设方案。</w:t>
      </w:r>
    </w:p>
    <w:p>
      <w:pPr>
        <w:spacing w:line="540" w:lineRule="exact"/>
        <w:ind w:firstLine="640" w:firstLineChars="200"/>
        <w:jc w:val="both"/>
        <w:rPr>
          <w:rFonts w:cs="Times New Roman"/>
          <w:lang w:eastAsia="zh-CN"/>
        </w:rPr>
      </w:pPr>
      <w:r>
        <w:rPr>
          <w:rFonts w:hint="eastAsia" w:ascii="楷体_GB2312" w:hAnsi="楷体_GB2312" w:eastAsia="楷体_GB2312" w:cs="Times New Roman"/>
          <w:lang w:eastAsia="zh-CN"/>
        </w:rPr>
        <w:t>（二）智能硬件设施投资建设方案。</w:t>
      </w:r>
    </w:p>
    <w:p>
      <w:pPr>
        <w:spacing w:line="540" w:lineRule="exact"/>
        <w:ind w:firstLine="640" w:firstLineChars="200"/>
        <w:jc w:val="both"/>
        <w:rPr>
          <w:rFonts w:cs="Times New Roman"/>
          <w:lang w:eastAsia="zh-CN"/>
        </w:rPr>
      </w:pPr>
      <w:r>
        <w:rPr>
          <w:rFonts w:hint="eastAsia" w:ascii="楷体_GB2312" w:hAnsi="楷体_GB2312" w:eastAsia="楷体_GB2312" w:cs="Times New Roman"/>
          <w:lang w:eastAsia="zh-CN"/>
        </w:rPr>
        <w:t>（三）校园餐资金账户开立与管理、代收代付与结算服务及资金存放收益方案。</w:t>
      </w:r>
    </w:p>
    <w:p>
      <w:pPr>
        <w:spacing w:line="540" w:lineRule="exact"/>
        <w:ind w:firstLine="640" w:firstLineChars="200"/>
        <w:jc w:val="both"/>
        <w:rPr>
          <w:rFonts w:cs="Times New Roman"/>
          <w:lang w:eastAsia="zh-CN"/>
        </w:rPr>
      </w:pPr>
      <w:r>
        <w:rPr>
          <w:rFonts w:hint="eastAsia" w:ascii="楷体_GB2312" w:hAnsi="楷体_GB2312" w:eastAsia="楷体_GB2312" w:cs="Times New Roman"/>
          <w:lang w:eastAsia="zh-CN"/>
        </w:rPr>
        <w:t>（四）数据、网络安全与个人信息保护方案。</w:t>
      </w:r>
    </w:p>
    <w:p>
      <w:pPr>
        <w:spacing w:line="540" w:lineRule="exact"/>
        <w:ind w:firstLine="640" w:firstLineChars="200"/>
        <w:jc w:val="both"/>
        <w:rPr>
          <w:rFonts w:cs="Times New Roman"/>
          <w:lang w:eastAsia="zh-CN"/>
        </w:rPr>
      </w:pPr>
      <w:r>
        <w:rPr>
          <w:rFonts w:hint="eastAsia" w:ascii="楷体_GB2312" w:hAnsi="楷体_GB2312" w:eastAsia="楷体_GB2312" w:cs="Times New Roman"/>
          <w:lang w:eastAsia="zh-CN"/>
        </w:rPr>
        <w:t>（五）本地服务能力与售后运维方案。</w:t>
      </w:r>
    </w:p>
    <w:p>
      <w:pPr>
        <w:spacing w:line="540" w:lineRule="exact"/>
        <w:ind w:firstLine="640" w:firstLineChars="200"/>
        <w:jc w:val="both"/>
        <w:rPr>
          <w:rFonts w:cs="Times New Roman"/>
          <w:lang w:eastAsia="zh-CN"/>
        </w:rPr>
      </w:pPr>
      <w:r>
        <w:rPr>
          <w:rFonts w:hint="eastAsia" w:ascii="楷体_GB2312" w:hAnsi="楷体_GB2312" w:eastAsia="楷体_GB2312" w:cs="Times New Roman"/>
          <w:lang w:eastAsia="zh-CN"/>
        </w:rPr>
        <w:t>（六）配合资金监管要求提供的支付监控、异常预警、风险提示等增值服务方案。</w:t>
      </w:r>
    </w:p>
    <w:p>
      <w:pPr>
        <w:spacing w:line="540" w:lineRule="exact"/>
        <w:ind w:firstLine="640" w:firstLineChars="200"/>
        <w:jc w:val="both"/>
        <w:rPr>
          <w:rFonts w:cs="Times New Roman"/>
          <w:lang w:eastAsia="zh-CN"/>
        </w:rPr>
      </w:pPr>
      <w:r>
        <w:rPr>
          <w:rFonts w:hint="eastAsia" w:ascii="楷体_GB2312" w:hAnsi="楷体_GB2312" w:eastAsia="楷体_GB2312" w:cs="Times New Roman"/>
          <w:lang w:eastAsia="zh-CN"/>
        </w:rPr>
        <w:t>（七）应急保障（灾备、业务连续性、数据备份恢复）方案。</w:t>
      </w:r>
    </w:p>
    <w:p>
      <w:pPr>
        <w:spacing w:line="540" w:lineRule="exact"/>
        <w:ind w:firstLine="640" w:firstLineChars="200"/>
        <w:jc w:val="both"/>
        <w:rPr>
          <w:rFonts w:cs="Times New Roman"/>
          <w:lang w:eastAsia="zh-CN"/>
        </w:rPr>
      </w:pPr>
      <w:r>
        <w:rPr>
          <w:rFonts w:hint="eastAsia" w:ascii="楷体_GB2312" w:hAnsi="楷体_GB2312" w:eastAsia="楷体_GB2312" w:cs="Times New Roman"/>
          <w:lang w:eastAsia="zh-CN"/>
        </w:rPr>
        <w:t>（八）同类项目业绩情况。</w:t>
      </w:r>
    </w:p>
    <w:p>
      <w:pPr>
        <w:spacing w:line="540" w:lineRule="exact"/>
        <w:ind w:firstLine="640" w:firstLineChars="200"/>
        <w:jc w:val="both"/>
        <w:rPr>
          <w:rFonts w:ascii="楷体_GB2312" w:hAnsi="楷体_GB2312" w:eastAsia="楷体_GB2312" w:cs="Times New Roman"/>
          <w:lang w:eastAsia="zh-CN"/>
        </w:rPr>
      </w:pPr>
      <w:r>
        <w:rPr>
          <w:rFonts w:hint="eastAsia" w:ascii="楷体_GB2312" w:hAnsi="楷体_GB2312" w:eastAsia="楷体_GB2312" w:cs="Times New Roman"/>
          <w:lang w:eastAsia="zh-CN"/>
        </w:rPr>
        <w:t>（九）方案答辩。</w:t>
      </w:r>
    </w:p>
    <w:p>
      <w:pPr>
        <w:spacing w:line="540" w:lineRule="exact"/>
        <w:ind w:firstLine="640" w:firstLineChars="200"/>
        <w:jc w:val="both"/>
        <w:rPr>
          <w:rFonts w:hint="eastAsia" w:ascii="仿宋_GB2312"/>
          <w:lang w:eastAsia="zh-CN"/>
        </w:rPr>
      </w:pPr>
      <w:r>
        <w:rPr>
          <w:rFonts w:hint="eastAsia" w:ascii="仿宋_GB2312" w:hAnsi="楷体_GB2312" w:cs="Times New Roman"/>
          <w:lang w:eastAsia="zh-CN"/>
        </w:rPr>
        <w:t>具体提交资料内容请参考附件2《增城区校园餐智慧监管平台合作银行公开比选评分表》和附件7《参选材料封面及目录（模板）》。</w:t>
      </w:r>
    </w:p>
    <w:p>
      <w:pPr>
        <w:spacing w:line="540" w:lineRule="exact"/>
        <w:ind w:firstLine="640" w:firstLineChars="200"/>
        <w:jc w:val="both"/>
        <w:outlineLvl w:val="0"/>
        <w:rPr>
          <w:rFonts w:eastAsia="黑体" w:cs="Times New Roman"/>
          <w:lang w:eastAsia="zh-CN"/>
        </w:rPr>
      </w:pPr>
      <w:r>
        <w:rPr>
          <w:rFonts w:hint="eastAsia" w:eastAsia="黑体" w:cs="Times New Roman"/>
          <w:lang w:eastAsia="zh-CN"/>
        </w:rPr>
        <w:t>四、公开比选组织</w:t>
      </w:r>
    </w:p>
    <w:p>
      <w:pPr>
        <w:spacing w:line="540" w:lineRule="exact"/>
        <w:ind w:firstLine="640" w:firstLineChars="200"/>
        <w:jc w:val="both"/>
        <w:rPr>
          <w:lang w:eastAsia="zh-CN"/>
        </w:rPr>
      </w:pPr>
      <w:r>
        <w:rPr>
          <w:rFonts w:hint="eastAsia" w:ascii="楷体_GB2312" w:hAnsi="楷体_GB2312" w:eastAsia="楷体_GB2312" w:cs="Times New Roman"/>
          <w:lang w:eastAsia="zh-CN"/>
        </w:rPr>
        <w:t>（一）成立公开比选工作领导小组。</w:t>
      </w:r>
      <w:r>
        <w:rPr>
          <w:rFonts w:hint="eastAsia" w:ascii="仿宋_GB2312" w:hAnsi="仿宋_GB2312" w:cs="Times New Roman"/>
          <w:lang w:eastAsia="zh-CN"/>
        </w:rPr>
        <w:t>公开比选工作在区校园餐智慧监管平台建设工作领导小组领导下开展。</w:t>
      </w:r>
    </w:p>
    <w:p>
      <w:pPr>
        <w:spacing w:line="540" w:lineRule="exact"/>
        <w:ind w:firstLine="640" w:firstLineChars="200"/>
        <w:jc w:val="both"/>
        <w:rPr>
          <w:lang w:eastAsia="zh-CN"/>
        </w:rPr>
      </w:pPr>
      <w:r>
        <w:rPr>
          <w:rFonts w:hint="eastAsia" w:ascii="楷体_GB2312" w:hAnsi="楷体_GB2312" w:eastAsia="楷体_GB2312" w:cs="Times New Roman"/>
          <w:lang w:eastAsia="zh-CN"/>
        </w:rPr>
        <w:t>（二）组建评选委员会。</w:t>
      </w:r>
      <w:r>
        <w:rPr>
          <w:rFonts w:hint="eastAsia" w:ascii="仿宋_GB2312" w:hAnsi="仿宋_GB2312" w:cs="Times New Roman"/>
          <w:lang w:eastAsia="zh-CN"/>
        </w:rPr>
        <w:t>评选委员会由区教育局内部成员和外部专家共同组成，</w:t>
      </w:r>
      <w:r>
        <w:rPr>
          <w:rFonts w:hint="eastAsia" w:cs="Times New Roman"/>
          <w:lang w:eastAsia="zh-CN"/>
        </w:rPr>
        <w:t>原则上不少于7人且为单数。评分出现同分的，按照“同类项目业绩情况→平台软件系统投资建设方案→智能硬件设施投资建设方案”的优先级依次比较单项得分，单项得分高者排名优先；单项得分均相同的，由评选委员会集体研究投票表决确定排名。</w:t>
      </w:r>
    </w:p>
    <w:p>
      <w:pPr>
        <w:spacing w:line="540" w:lineRule="exact"/>
        <w:ind w:firstLine="640" w:firstLineChars="200"/>
        <w:jc w:val="both"/>
        <w:rPr>
          <w:lang w:eastAsia="zh-CN"/>
        </w:rPr>
      </w:pPr>
      <w:r>
        <w:rPr>
          <w:rFonts w:hint="eastAsia" w:ascii="楷体_GB2312" w:hAnsi="楷体_GB2312" w:eastAsia="楷体_GB2312" w:cs="Times New Roman"/>
          <w:lang w:eastAsia="zh-CN"/>
        </w:rPr>
        <w:t>（三）回避机制。</w:t>
      </w:r>
      <w:r>
        <w:rPr>
          <w:rFonts w:hint="eastAsia" w:ascii="仿宋_GB2312" w:hAnsi="仿宋_GB2312" w:cs="Times New Roman"/>
          <w:lang w:eastAsia="zh-CN"/>
        </w:rPr>
        <w:t>评选委员会成员及近亲属与参与比选银行存在利害关系的，应当回避；评选委员会成员签署保密承诺和廉洁承诺。</w:t>
      </w:r>
    </w:p>
    <w:p>
      <w:pPr>
        <w:spacing w:line="540" w:lineRule="exact"/>
        <w:ind w:firstLine="640" w:firstLineChars="200"/>
        <w:jc w:val="both"/>
        <w:rPr>
          <w:lang w:eastAsia="zh-CN"/>
        </w:rPr>
      </w:pPr>
      <w:r>
        <w:rPr>
          <w:rFonts w:hint="eastAsia" w:ascii="楷体_GB2312" w:hAnsi="楷体_GB2312" w:eastAsia="楷体_GB2312" w:cs="Times New Roman"/>
          <w:lang w:eastAsia="zh-CN"/>
        </w:rPr>
        <w:t>（四）全程留痕。</w:t>
      </w:r>
      <w:r>
        <w:rPr>
          <w:rFonts w:hint="eastAsia" w:ascii="仿宋_GB2312" w:hAnsi="仿宋_GB2312" w:cs="Times New Roman"/>
          <w:lang w:eastAsia="zh-CN"/>
        </w:rPr>
        <w:t>评审全过程录音录像，评分表、会议纪要等材料存档备查。</w:t>
      </w:r>
    </w:p>
    <w:p>
      <w:pPr>
        <w:spacing w:line="540" w:lineRule="exact"/>
        <w:ind w:firstLine="640" w:firstLineChars="200"/>
        <w:jc w:val="both"/>
        <w:outlineLvl w:val="0"/>
        <w:rPr>
          <w:rFonts w:eastAsia="黑体" w:cs="Times New Roman"/>
          <w:lang w:eastAsia="zh-CN"/>
        </w:rPr>
      </w:pPr>
      <w:r>
        <w:rPr>
          <w:rFonts w:eastAsia="黑体" w:cs="Times New Roman"/>
          <w:lang w:eastAsia="zh-CN"/>
        </w:rPr>
        <w:t>五</w:t>
      </w:r>
      <w:r>
        <w:rPr>
          <w:rFonts w:hint="eastAsia" w:eastAsia="黑体" w:cs="Times New Roman"/>
          <w:lang w:eastAsia="zh-CN"/>
        </w:rPr>
        <w:t>、公开比选程序</w:t>
      </w:r>
    </w:p>
    <w:p>
      <w:pPr>
        <w:spacing w:line="540" w:lineRule="exact"/>
        <w:ind w:firstLine="640" w:firstLineChars="200"/>
        <w:jc w:val="both"/>
        <w:rPr>
          <w:rFonts w:ascii="仿宋_GB2312"/>
          <w:lang w:eastAsia="zh-CN"/>
        </w:rPr>
      </w:pPr>
      <w:r>
        <w:rPr>
          <w:rFonts w:hint="eastAsia" w:ascii="楷体_GB2312" w:hAnsi="楷体_GB2312" w:eastAsia="楷体_GB2312" w:cs="Times New Roman"/>
          <w:lang w:eastAsia="zh-CN"/>
        </w:rPr>
        <w:t>（一）发公开比选公告。</w:t>
      </w:r>
      <w:r>
        <w:rPr>
          <w:rFonts w:hint="eastAsia" w:ascii="仿宋_GB2312" w:hAnsi="楷体_GB2312" w:cs="Times New Roman"/>
          <w:lang w:eastAsia="zh-CN"/>
        </w:rPr>
        <w:t>在广州市增城区人民政府网站发布公开比选公告，公告载明资金存放事宜、参与银行基本资格要求、报名方式及需提供材料、报名截止时间等事项。</w:t>
      </w:r>
    </w:p>
    <w:p>
      <w:pPr>
        <w:spacing w:line="540" w:lineRule="exact"/>
        <w:ind w:firstLine="640" w:firstLineChars="200"/>
        <w:jc w:val="both"/>
        <w:rPr>
          <w:rFonts w:ascii="仿宋_GB2312" w:cs="Times New Roman"/>
          <w:lang w:eastAsia="zh-CN"/>
        </w:rPr>
      </w:pPr>
      <w:r>
        <w:rPr>
          <w:rFonts w:hint="eastAsia" w:ascii="楷体_GB2312" w:hAnsi="楷体_GB2312" w:eastAsia="楷体_GB2312" w:cs="Times New Roman"/>
          <w:lang w:eastAsia="zh-CN"/>
        </w:rPr>
        <w:t>（二）报名及提交参选材料。</w:t>
      </w:r>
      <w:r>
        <w:rPr>
          <w:rFonts w:hint="eastAsia" w:ascii="仿宋_GB2312" w:hAnsi="楷体_GB2312" w:cs="Times New Roman"/>
          <w:lang w:eastAsia="zh-CN"/>
        </w:rPr>
        <w:t>符合条件的银行业金融机构，可以在公告载明的报名截止时间前向增城区教育局报名，并根据比选公告及本方案要求编制并提交参选材料。</w:t>
      </w:r>
    </w:p>
    <w:p>
      <w:pPr>
        <w:spacing w:line="540" w:lineRule="exact"/>
        <w:ind w:firstLine="640" w:firstLineChars="200"/>
        <w:jc w:val="both"/>
        <w:rPr>
          <w:lang w:eastAsia="zh-CN"/>
        </w:rPr>
      </w:pPr>
      <w:r>
        <w:rPr>
          <w:rFonts w:hint="eastAsia" w:ascii="楷体_GB2312" w:hAnsi="楷体_GB2312" w:eastAsia="楷体_GB2312" w:cs="Times New Roman"/>
          <w:lang w:eastAsia="zh-CN"/>
        </w:rPr>
        <w:t>（三）资格审查。</w:t>
      </w:r>
      <w:r>
        <w:rPr>
          <w:rFonts w:hint="eastAsia" w:ascii="仿宋_GB2312" w:hAnsi="仿宋_GB2312" w:cs="Times New Roman"/>
          <w:lang w:eastAsia="zh-CN"/>
        </w:rPr>
        <w:t>递交截止后，由区教育局会同评选委员会对全部参与比选的银行进行资格审查，审查结论由参加资格审查的人员集体签字确认；未通过资格审查的，当场书面告知并说明理由，不得进入后续答辩、评审环节；全部通过的，不再另行书面告知。</w:t>
      </w:r>
    </w:p>
    <w:p>
      <w:pPr>
        <w:spacing w:line="540" w:lineRule="exact"/>
        <w:ind w:firstLine="640" w:firstLineChars="200"/>
        <w:jc w:val="both"/>
        <w:rPr>
          <w:lang w:eastAsia="zh-CN"/>
        </w:rPr>
      </w:pPr>
      <w:r>
        <w:rPr>
          <w:rFonts w:hint="eastAsia" w:ascii="楷体_GB2312" w:hAnsi="楷体_GB2312" w:eastAsia="楷体_GB2312" w:cs="Times New Roman"/>
          <w:lang w:eastAsia="zh-CN"/>
        </w:rPr>
        <w:t>（四）方案答辩。</w:t>
      </w:r>
      <w:r>
        <w:rPr>
          <w:rFonts w:hint="eastAsia" w:ascii="仿宋_GB2312" w:hAnsi="仿宋_GB2312" w:cs="Times New Roman"/>
          <w:lang w:eastAsia="zh-CN"/>
        </w:rPr>
        <w:t>通过资格审查的银行进行现场答辩（陈述不超过10分钟、答疑不超过10分钟），评选委员会现场听取并提问。</w:t>
      </w:r>
    </w:p>
    <w:p>
      <w:pPr>
        <w:spacing w:line="540" w:lineRule="exact"/>
        <w:ind w:firstLine="640" w:firstLineChars="200"/>
        <w:jc w:val="both"/>
        <w:rPr>
          <w:lang w:eastAsia="zh-CN"/>
        </w:rPr>
      </w:pPr>
      <w:r>
        <w:rPr>
          <w:rFonts w:hint="eastAsia" w:ascii="楷体_GB2312" w:hAnsi="楷体_GB2312" w:eastAsia="楷体_GB2312" w:cs="Times New Roman"/>
          <w:lang w:eastAsia="zh-CN"/>
        </w:rPr>
        <w:t>（五）综合评审。</w:t>
      </w:r>
      <w:r>
        <w:rPr>
          <w:rFonts w:hint="eastAsia" w:ascii="仿宋_GB2312" w:hAnsi="仿宋_GB2312" w:cs="Times New Roman"/>
          <w:lang w:eastAsia="zh-CN"/>
        </w:rPr>
        <w:t>评选委员会成员独立评分，取所有评分的算术平均值汇总计算各参与比选银行的得分。</w:t>
      </w:r>
    </w:p>
    <w:p>
      <w:pPr>
        <w:spacing w:line="540" w:lineRule="exact"/>
        <w:ind w:firstLine="640" w:firstLineChars="200"/>
        <w:jc w:val="both"/>
        <w:rPr>
          <w:lang w:eastAsia="zh-CN"/>
        </w:rPr>
      </w:pPr>
      <w:r>
        <w:rPr>
          <w:rFonts w:hint="eastAsia" w:ascii="楷体_GB2312" w:hAnsi="楷体_GB2312" w:eastAsia="楷体_GB2312" w:cs="Times New Roman"/>
          <w:lang w:eastAsia="zh-CN"/>
        </w:rPr>
        <w:t>（六）确定合作银行。</w:t>
      </w:r>
      <w:r>
        <w:rPr>
          <w:rFonts w:hint="eastAsia" w:ascii="仿宋_GB2312" w:hAnsi="仿宋_GB2312" w:cs="Times New Roman"/>
          <w:lang w:eastAsia="zh-CN"/>
        </w:rPr>
        <w:t>按得分高低确定拟合作银行，报区教育局党组会审议确定后公示，公示期不少于5个工作日。</w:t>
      </w:r>
    </w:p>
    <w:p>
      <w:pPr>
        <w:spacing w:line="540" w:lineRule="exact"/>
        <w:ind w:firstLine="640" w:firstLineChars="200"/>
        <w:jc w:val="both"/>
        <w:rPr>
          <w:lang w:eastAsia="zh-CN"/>
        </w:rPr>
      </w:pPr>
      <w:r>
        <w:rPr>
          <w:rFonts w:hint="eastAsia" w:ascii="楷体_GB2312" w:hAnsi="楷体_GB2312" w:eastAsia="楷体_GB2312" w:cs="Times New Roman"/>
          <w:lang w:eastAsia="zh-CN"/>
        </w:rPr>
        <w:t>（七）异议处理。</w:t>
      </w:r>
      <w:r>
        <w:rPr>
          <w:rFonts w:hint="eastAsia" w:ascii="仿宋_GB2312" w:hAnsi="仿宋_GB2312" w:cs="Times New Roman"/>
          <w:lang w:eastAsia="zh-CN"/>
        </w:rPr>
        <w:t>公示期间，参与比选的银行或其他利害关系人可向增城区教育局提出书面异议，区教育局应当受理并在7个工作日内答复；异议成立的，报区教育局党组会研究处理。</w:t>
      </w:r>
    </w:p>
    <w:p>
      <w:pPr>
        <w:spacing w:line="540" w:lineRule="exact"/>
        <w:ind w:firstLine="640" w:firstLineChars="200"/>
        <w:jc w:val="both"/>
        <w:rPr>
          <w:lang w:eastAsia="zh-CN"/>
        </w:rPr>
      </w:pPr>
      <w:r>
        <w:rPr>
          <w:rFonts w:hint="eastAsia" w:ascii="楷体_GB2312" w:hAnsi="楷体_GB2312" w:eastAsia="楷体_GB2312" w:cs="Times New Roman"/>
          <w:lang w:eastAsia="zh-CN"/>
        </w:rPr>
        <w:t>（八）签订合作协议。</w:t>
      </w:r>
      <w:r>
        <w:rPr>
          <w:rFonts w:hint="eastAsia" w:ascii="仿宋_GB2312" w:hAnsi="仿宋_GB2312" w:cs="Times New Roman"/>
          <w:lang w:eastAsia="zh-CN"/>
        </w:rPr>
        <w:t>公示无异议或异议处理完毕后，由区教育局与合作银行签订合作协议。</w:t>
      </w:r>
    </w:p>
    <w:p>
      <w:pPr>
        <w:spacing w:line="540" w:lineRule="exact"/>
        <w:ind w:firstLine="640" w:firstLineChars="200"/>
        <w:jc w:val="both"/>
        <w:outlineLvl w:val="0"/>
        <w:rPr>
          <w:rFonts w:eastAsia="黑体" w:cs="Times New Roman"/>
          <w:lang w:eastAsia="zh-CN"/>
        </w:rPr>
      </w:pPr>
      <w:r>
        <w:rPr>
          <w:rFonts w:eastAsia="黑体" w:cs="Times New Roman"/>
          <w:lang w:eastAsia="zh-CN"/>
        </w:rPr>
        <w:t>六</w:t>
      </w:r>
      <w:r>
        <w:rPr>
          <w:rFonts w:hint="eastAsia" w:eastAsia="黑体" w:cs="Times New Roman"/>
          <w:lang w:eastAsia="zh-CN"/>
        </w:rPr>
        <w:t>、评分标准</w:t>
      </w:r>
    </w:p>
    <w:p>
      <w:pPr>
        <w:spacing w:line="540" w:lineRule="exact"/>
        <w:ind w:firstLine="640" w:firstLineChars="200"/>
        <w:jc w:val="both"/>
        <w:rPr>
          <w:rFonts w:cs="Times New Roman"/>
          <w:lang w:eastAsia="zh-CN"/>
        </w:rPr>
      </w:pPr>
      <w:r>
        <w:rPr>
          <w:rFonts w:hint="eastAsia" w:cs="Times New Roman"/>
          <w:lang w:eastAsia="zh-CN"/>
        </w:rPr>
        <w:t>采用综合评分法，总分100分。主要评分因素及权重如下：</w:t>
      </w:r>
    </w:p>
    <w:p>
      <w:pPr>
        <w:pStyle w:val="146"/>
        <w:numPr>
          <w:ilvl w:val="0"/>
          <w:numId w:val="7"/>
        </w:numPr>
        <w:spacing w:line="540" w:lineRule="exact"/>
        <w:jc w:val="both"/>
        <w:rPr>
          <w:rFonts w:cs="Times New Roman"/>
          <w:lang w:eastAsia="zh-CN"/>
        </w:rPr>
      </w:pPr>
      <w:r>
        <w:rPr>
          <w:rFonts w:hint="eastAsia" w:cs="Times New Roman"/>
          <w:lang w:eastAsia="zh-CN"/>
        </w:rPr>
        <w:t>平台软件系统投资建设方案（15分）。</w:t>
      </w:r>
    </w:p>
    <w:p>
      <w:pPr>
        <w:pStyle w:val="146"/>
        <w:numPr>
          <w:ilvl w:val="0"/>
          <w:numId w:val="7"/>
        </w:numPr>
        <w:spacing w:line="540" w:lineRule="exact"/>
        <w:jc w:val="both"/>
        <w:rPr>
          <w:rFonts w:cs="Times New Roman"/>
          <w:lang w:eastAsia="zh-CN"/>
        </w:rPr>
      </w:pPr>
      <w:r>
        <w:rPr>
          <w:rFonts w:hint="eastAsia" w:cs="Times New Roman"/>
          <w:lang w:eastAsia="zh-CN"/>
        </w:rPr>
        <w:t>智能硬件设施投资建设方案（15分）。</w:t>
      </w:r>
    </w:p>
    <w:p>
      <w:pPr>
        <w:pStyle w:val="146"/>
        <w:numPr>
          <w:ilvl w:val="0"/>
          <w:numId w:val="7"/>
        </w:numPr>
        <w:spacing w:line="540" w:lineRule="exact"/>
        <w:jc w:val="both"/>
        <w:rPr>
          <w:rFonts w:cs="Times New Roman"/>
          <w:lang w:eastAsia="zh-CN"/>
        </w:rPr>
      </w:pPr>
      <w:r>
        <w:rPr>
          <w:rFonts w:hint="eastAsia" w:cs="Times New Roman"/>
          <w:lang w:eastAsia="zh-CN"/>
        </w:rPr>
        <w:t>校园餐资金账户开立与管理、代收代付与结算服务及资金存放收益方案（10分）。</w:t>
      </w:r>
    </w:p>
    <w:p>
      <w:pPr>
        <w:pStyle w:val="146"/>
        <w:numPr>
          <w:ilvl w:val="0"/>
          <w:numId w:val="7"/>
        </w:numPr>
        <w:spacing w:line="540" w:lineRule="exact"/>
        <w:jc w:val="both"/>
        <w:rPr>
          <w:rFonts w:cs="Times New Roman"/>
          <w:lang w:eastAsia="zh-CN"/>
        </w:rPr>
      </w:pPr>
      <w:r>
        <w:rPr>
          <w:rFonts w:hint="eastAsia" w:cs="Times New Roman"/>
          <w:lang w:eastAsia="zh-CN"/>
        </w:rPr>
        <w:t>数据、网络安全与个人信息保护方案（10分）。</w:t>
      </w:r>
    </w:p>
    <w:p>
      <w:pPr>
        <w:pStyle w:val="146"/>
        <w:numPr>
          <w:ilvl w:val="0"/>
          <w:numId w:val="7"/>
        </w:numPr>
        <w:spacing w:line="540" w:lineRule="exact"/>
        <w:jc w:val="both"/>
        <w:rPr>
          <w:rFonts w:cs="Times New Roman"/>
          <w:lang w:eastAsia="zh-CN"/>
        </w:rPr>
      </w:pPr>
      <w:r>
        <w:rPr>
          <w:rFonts w:hint="eastAsia" w:cs="Times New Roman"/>
          <w:lang w:eastAsia="zh-CN"/>
        </w:rPr>
        <w:t>本地服务能力与售后运维方案（10分）。</w:t>
      </w:r>
    </w:p>
    <w:p>
      <w:pPr>
        <w:pStyle w:val="146"/>
        <w:numPr>
          <w:ilvl w:val="0"/>
          <w:numId w:val="7"/>
        </w:numPr>
        <w:spacing w:line="540" w:lineRule="exact"/>
        <w:jc w:val="both"/>
        <w:rPr>
          <w:rFonts w:cs="Times New Roman"/>
          <w:lang w:eastAsia="zh-CN"/>
        </w:rPr>
      </w:pPr>
      <w:r>
        <w:rPr>
          <w:rFonts w:hint="eastAsia" w:cs="Times New Roman"/>
          <w:lang w:eastAsia="zh-CN"/>
        </w:rPr>
        <w:t>配合资金监管要求提供的支付监控、异常预警、风险提示等增值服务方案（5分）。</w:t>
      </w:r>
    </w:p>
    <w:p>
      <w:pPr>
        <w:pStyle w:val="146"/>
        <w:numPr>
          <w:ilvl w:val="0"/>
          <w:numId w:val="7"/>
        </w:numPr>
        <w:spacing w:line="540" w:lineRule="exact"/>
        <w:jc w:val="both"/>
        <w:rPr>
          <w:rFonts w:cs="Times New Roman"/>
          <w:lang w:eastAsia="zh-CN"/>
        </w:rPr>
      </w:pPr>
      <w:r>
        <w:rPr>
          <w:rFonts w:hint="eastAsia" w:cs="Times New Roman"/>
          <w:lang w:eastAsia="zh-CN"/>
        </w:rPr>
        <w:t>应急保障（灾备、业务连续性、数据备份恢复）方案（10分）。</w:t>
      </w:r>
    </w:p>
    <w:p>
      <w:pPr>
        <w:pStyle w:val="146"/>
        <w:numPr>
          <w:ilvl w:val="0"/>
          <w:numId w:val="7"/>
        </w:numPr>
        <w:spacing w:line="540" w:lineRule="exact"/>
        <w:jc w:val="both"/>
        <w:rPr>
          <w:rFonts w:cs="Times New Roman"/>
          <w:lang w:eastAsia="zh-CN"/>
        </w:rPr>
      </w:pPr>
      <w:r>
        <w:rPr>
          <w:rFonts w:hint="eastAsia" w:cs="Times New Roman"/>
          <w:lang w:eastAsia="zh-CN"/>
        </w:rPr>
        <w:t>同类项目业绩情况（10分）。</w:t>
      </w:r>
    </w:p>
    <w:p>
      <w:pPr>
        <w:pStyle w:val="146"/>
        <w:numPr>
          <w:ilvl w:val="0"/>
          <w:numId w:val="7"/>
        </w:numPr>
        <w:spacing w:line="540" w:lineRule="exact"/>
        <w:jc w:val="both"/>
        <w:rPr>
          <w:rFonts w:cs="Times New Roman"/>
          <w:lang w:eastAsia="zh-CN"/>
        </w:rPr>
      </w:pPr>
      <w:r>
        <w:rPr>
          <w:rFonts w:hint="eastAsia" w:cs="Times New Roman"/>
          <w:lang w:eastAsia="zh-CN"/>
        </w:rPr>
        <w:t>方案答辩（15分）。</w:t>
      </w:r>
    </w:p>
    <w:p>
      <w:pPr>
        <w:spacing w:line="540" w:lineRule="exact"/>
        <w:ind w:firstLine="640" w:firstLineChars="200"/>
        <w:jc w:val="both"/>
        <w:rPr>
          <w:lang w:eastAsia="zh-CN"/>
        </w:rPr>
      </w:pPr>
      <w:r>
        <w:rPr>
          <w:rFonts w:hint="eastAsia" w:cs="Times New Roman"/>
          <w:lang w:eastAsia="zh-CN"/>
        </w:rPr>
        <w:t>具体评分细则见《公开比选评分表》。</w:t>
      </w:r>
    </w:p>
    <w:p>
      <w:pPr>
        <w:spacing w:line="540" w:lineRule="exact"/>
        <w:ind w:firstLine="640" w:firstLineChars="200"/>
        <w:jc w:val="both"/>
        <w:outlineLvl w:val="0"/>
        <w:rPr>
          <w:rFonts w:eastAsia="黑体" w:cs="Times New Roman"/>
          <w:lang w:eastAsia="zh-CN"/>
        </w:rPr>
      </w:pPr>
      <w:r>
        <w:rPr>
          <w:rFonts w:eastAsia="黑体" w:cs="Times New Roman"/>
          <w:lang w:eastAsia="zh-CN"/>
        </w:rPr>
        <w:t>七</w:t>
      </w:r>
      <w:r>
        <w:rPr>
          <w:rFonts w:hint="eastAsia" w:eastAsia="黑体" w:cs="Times New Roman"/>
          <w:lang w:eastAsia="zh-CN"/>
        </w:rPr>
        <w:t>、合作协议核心条款</w:t>
      </w:r>
    </w:p>
    <w:p>
      <w:pPr>
        <w:spacing w:line="540" w:lineRule="exact"/>
        <w:ind w:firstLine="640" w:firstLineChars="200"/>
        <w:jc w:val="both"/>
        <w:rPr>
          <w:lang w:eastAsia="zh-CN"/>
        </w:rPr>
      </w:pPr>
      <w:r>
        <w:rPr>
          <w:rFonts w:hint="eastAsia" w:cs="Times New Roman"/>
          <w:lang w:eastAsia="zh-CN"/>
        </w:rPr>
        <w:t>区教育局与合作银行签订的合作协议，应当至少明确以下条款：</w:t>
      </w:r>
    </w:p>
    <w:p>
      <w:pPr>
        <w:spacing w:line="540" w:lineRule="exact"/>
        <w:ind w:firstLine="640" w:firstLineChars="200"/>
        <w:jc w:val="both"/>
        <w:rPr>
          <w:lang w:eastAsia="zh-CN"/>
        </w:rPr>
      </w:pPr>
      <w:r>
        <w:rPr>
          <w:rFonts w:hint="eastAsia" w:ascii="楷体_GB2312" w:hAnsi="楷体_GB2312" w:eastAsia="楷体_GB2312" w:cs="Times New Roman"/>
          <w:lang w:eastAsia="zh-CN"/>
        </w:rPr>
        <w:t>（一）合作期限。</w:t>
      </w:r>
      <w:r>
        <w:rPr>
          <w:rFonts w:hint="eastAsia" w:ascii="仿宋_GB2312" w:hAnsi="仿宋_GB2312" w:cs="Times New Roman"/>
          <w:lang w:eastAsia="zh-CN"/>
        </w:rPr>
        <w:t>首期合作期限原则上为5年。合作期满前6个月，由增城区校园餐智慧监管平台建设工作领导小组（以下简称领导小组）组织综合评估，评估合格的，经双方协商一致可续签，每次续签期限原则上为3年，续签次数不超过2次；评估不合格的，重新组织比选。</w:t>
      </w:r>
    </w:p>
    <w:p>
      <w:pPr>
        <w:spacing w:line="540" w:lineRule="exact"/>
        <w:ind w:firstLine="640" w:firstLineChars="200"/>
        <w:jc w:val="both"/>
        <w:rPr>
          <w:lang w:eastAsia="zh-CN"/>
        </w:rPr>
      </w:pPr>
      <w:r>
        <w:rPr>
          <w:rFonts w:hint="eastAsia" w:ascii="楷体_GB2312" w:hAnsi="楷体_GB2312" w:eastAsia="楷体_GB2312" w:cs="Times New Roman"/>
          <w:lang w:eastAsia="zh-CN"/>
        </w:rPr>
        <w:t>（二）期满评估。</w:t>
      </w:r>
      <w:r>
        <w:rPr>
          <w:rFonts w:hint="eastAsia" w:ascii="仿宋_GB2312" w:hAnsi="仿宋_GB2312" w:cs="Times New Roman"/>
          <w:lang w:eastAsia="zh-CN"/>
        </w:rPr>
        <w:t>综合评估坚持客观、量化、可查原则，评估结果向合作银行公开并接受监督。主要包括：资金账户管理合规性、平台运行稳定性与数据质量、系统与硬件维护服务、个人信息保护与数据安全、投诉处理与服务质量、合规经营情况等。</w:t>
      </w:r>
    </w:p>
    <w:p>
      <w:pPr>
        <w:spacing w:line="540" w:lineRule="exact"/>
        <w:ind w:firstLine="640" w:firstLineChars="200"/>
        <w:jc w:val="both"/>
        <w:rPr>
          <w:lang w:eastAsia="zh-CN"/>
        </w:rPr>
      </w:pPr>
      <w:r>
        <w:rPr>
          <w:rFonts w:hint="eastAsia" w:ascii="楷体_GB2312" w:hAnsi="楷体_GB2312" w:eastAsia="楷体_GB2312" w:cs="Times New Roman"/>
          <w:lang w:eastAsia="zh-CN"/>
        </w:rPr>
        <w:t>（三）数据权属。</w:t>
      </w:r>
      <w:r>
        <w:rPr>
          <w:rFonts w:hint="eastAsia" w:ascii="仿宋_GB2312" w:hAnsi="仿宋_GB2312" w:cs="Times New Roman"/>
          <w:lang w:eastAsia="zh-CN"/>
        </w:rPr>
        <w:t>平台产生的业务数据由区教育局及学校依法管理、使用，合作银行未经授权不得用于其他用途；涉及个人信息的，按照《个人信息保护法》等规定处理。合作终止后，合作银行应当在30日内完成全部数据向区教育局指定主体的迁移，并永久删除自身存储的所有相关数据，向区教育局出具数据删除确认函。</w:t>
      </w:r>
    </w:p>
    <w:p>
      <w:pPr>
        <w:spacing w:line="540" w:lineRule="exact"/>
        <w:ind w:firstLine="640" w:firstLineChars="200"/>
        <w:jc w:val="both"/>
        <w:rPr>
          <w:lang w:eastAsia="zh-CN"/>
        </w:rPr>
      </w:pPr>
      <w:r>
        <w:rPr>
          <w:rFonts w:hint="eastAsia" w:ascii="楷体_GB2312" w:hAnsi="楷体_GB2312" w:eastAsia="楷体_GB2312" w:cs="Times New Roman"/>
          <w:lang w:eastAsia="zh-CN"/>
        </w:rPr>
        <w:t>（四）硬件产权。</w:t>
      </w:r>
      <w:r>
        <w:rPr>
          <w:rFonts w:hint="eastAsia" w:ascii="仿宋_GB2312" w:hAnsi="仿宋_GB2312" w:cs="Times New Roman"/>
          <w:lang w:eastAsia="zh-CN"/>
        </w:rPr>
        <w:t>智能硬件的产权归属、使用、维护、期满处置等事项。</w:t>
      </w:r>
    </w:p>
    <w:p>
      <w:pPr>
        <w:spacing w:line="540" w:lineRule="exact"/>
        <w:ind w:firstLine="640" w:firstLineChars="200"/>
        <w:jc w:val="both"/>
        <w:rPr>
          <w:lang w:eastAsia="zh-CN"/>
        </w:rPr>
      </w:pPr>
      <w:r>
        <w:rPr>
          <w:rFonts w:hint="eastAsia" w:ascii="楷体_GB2312" w:hAnsi="楷体_GB2312" w:eastAsia="楷体_GB2312" w:cs="Times New Roman"/>
          <w:lang w:eastAsia="zh-CN"/>
        </w:rPr>
        <w:t>（五）退出与移交。</w:t>
      </w:r>
      <w:r>
        <w:rPr>
          <w:rFonts w:hint="eastAsia" w:ascii="仿宋_GB2312" w:hAnsi="仿宋_GB2312" w:cs="Times New Roman"/>
          <w:lang w:eastAsia="zh-CN"/>
        </w:rPr>
        <w:t>发生重大数据、网络安全事故、重大个人信息泄露、受到金融监管重大行政处罚、未通过等级保护测评等情形的，实行一票否决。合作期满或触发退出机制的，合作银行应当配合完成数据迁移和系统交接，保障业务连续。</w:t>
      </w:r>
    </w:p>
    <w:p>
      <w:pPr>
        <w:spacing w:line="540" w:lineRule="exact"/>
        <w:ind w:firstLine="640" w:firstLineChars="200"/>
        <w:jc w:val="both"/>
        <w:rPr>
          <w:lang w:eastAsia="zh-CN"/>
        </w:rPr>
      </w:pPr>
      <w:r>
        <w:rPr>
          <w:rFonts w:hint="eastAsia" w:ascii="楷体_GB2312" w:hAnsi="楷体_GB2312" w:eastAsia="楷体_GB2312" w:cs="Times New Roman"/>
          <w:lang w:eastAsia="zh-CN"/>
        </w:rPr>
        <w:t>（六）信息安全。</w:t>
      </w:r>
      <w:r>
        <w:rPr>
          <w:rFonts w:hint="eastAsia" w:ascii="仿宋_GB2312" w:hAnsi="仿宋_GB2312" w:cs="Times New Roman"/>
          <w:lang w:eastAsia="zh-CN"/>
        </w:rPr>
        <w:t>平台须在信创云环境部署并满足国家信息安全等级保护三级要求，完成定级备案并通过等级保护测评。同步落实商用密码应用“三同步一评估”要求，完成密码应用方案设计、密码应用改造，并通过商用密码应用安全性评估。</w:t>
      </w:r>
    </w:p>
    <w:p>
      <w:pPr>
        <w:spacing w:line="540" w:lineRule="exact"/>
        <w:ind w:firstLine="640" w:firstLineChars="200"/>
        <w:jc w:val="both"/>
        <w:rPr>
          <w:rFonts w:cs="Times New Roman"/>
          <w:lang w:eastAsia="zh-CN"/>
        </w:rPr>
      </w:pPr>
      <w:r>
        <w:rPr>
          <w:rFonts w:hint="eastAsia" w:ascii="楷体_GB2312" w:hAnsi="楷体_GB2312" w:eastAsia="楷体_GB2312" w:cs="Times New Roman"/>
          <w:lang w:eastAsia="zh-CN"/>
        </w:rPr>
        <w:t>（七）违约责任。</w:t>
      </w:r>
      <w:r>
        <w:rPr>
          <w:rFonts w:hint="eastAsia" w:ascii="仿宋_GB2312" w:hAnsi="仿宋_GB2312" w:cs="Times New Roman"/>
          <w:lang w:eastAsia="zh-CN"/>
        </w:rPr>
        <w:t>明确双方违约情形和赔偿责任。</w:t>
      </w:r>
    </w:p>
    <w:p>
      <w:pPr>
        <w:spacing w:line="540" w:lineRule="exact"/>
        <w:ind w:firstLine="640" w:firstLineChars="200"/>
        <w:jc w:val="both"/>
        <w:rPr>
          <w:rFonts w:cs="Times New Roman"/>
          <w:lang w:eastAsia="zh-CN"/>
        </w:rPr>
      </w:pPr>
      <w:r>
        <w:rPr>
          <w:rFonts w:hint="eastAsia" w:ascii="楷体_GB2312" w:hAnsi="楷体_GB2312" w:eastAsia="楷体_GB2312" w:cs="Times New Roman"/>
          <w:lang w:eastAsia="zh-CN"/>
        </w:rPr>
        <w:t>（八）禁止转嫁成本。</w:t>
      </w:r>
      <w:r>
        <w:rPr>
          <w:rFonts w:hint="eastAsia" w:ascii="仿宋_GB2312" w:hAnsi="仿宋_GB2312" w:cs="Times New Roman"/>
          <w:lang w:eastAsia="zh-CN"/>
        </w:rPr>
        <w:t>合作银行不得将平台建设、运营、跨行缴费手续费等成本转嫁给学校、学生或家长，不得强制要求家长开立或变更特定银行账户。合作银行存在前述行为的，学校及家长有权向区教育局投诉，区教育局有权要求合作银行立即退还违规收取的费用，并按合作协议约定追究其违约责任；情节严重的，有权提前终止合作。</w:t>
      </w:r>
    </w:p>
    <w:p>
      <w:pPr>
        <w:spacing w:line="540" w:lineRule="exact"/>
        <w:ind w:firstLine="640" w:firstLineChars="200"/>
        <w:jc w:val="both"/>
        <w:rPr>
          <w:color w:val="FF0000"/>
          <w:lang w:eastAsia="zh-CN"/>
        </w:rPr>
      </w:pPr>
      <w:r>
        <w:rPr>
          <w:rFonts w:hint="eastAsia" w:ascii="楷体_GB2312" w:hAnsi="楷体_GB2312" w:eastAsia="楷体_GB2312" w:cs="Times New Roman"/>
          <w:color w:val="000000"/>
          <w:lang w:eastAsia="zh-CN"/>
        </w:rPr>
        <w:t>（九）平台功能扩展。</w:t>
      </w:r>
      <w:r>
        <w:rPr>
          <w:rFonts w:hint="eastAsia" w:ascii="仿宋_GB2312" w:hAnsi="仿宋_GB2312" w:cs="Times New Roman"/>
          <w:color w:val="000000"/>
          <w:lang w:eastAsia="zh-CN"/>
        </w:rPr>
        <w:t>在后续工作中</w:t>
      </w:r>
      <w:bookmarkStart w:id="0" w:name="OLE_LINK4"/>
      <w:bookmarkStart w:id="1" w:name="OLE_LINK3"/>
      <w:r>
        <w:rPr>
          <w:rFonts w:hint="eastAsia" w:ascii="仿宋_GB2312" w:hAnsi="仿宋_GB2312" w:cs="Times New Roman"/>
          <w:color w:val="000000"/>
          <w:lang w:eastAsia="zh-CN"/>
        </w:rPr>
        <w:t>区教育局如汇聚新设专项资金（如课后托管），合作银行须对该项目资金实行专项监管，并按区教育局要求提供平台功能扩展</w:t>
      </w:r>
      <w:bookmarkEnd w:id="0"/>
      <w:bookmarkEnd w:id="1"/>
      <w:r>
        <w:rPr>
          <w:rFonts w:hint="eastAsia" w:ascii="仿宋_GB2312" w:hAnsi="仿宋_GB2312" w:cs="Times New Roman"/>
          <w:color w:val="000000"/>
          <w:lang w:eastAsia="zh-CN"/>
        </w:rPr>
        <w:t>，相关费用纳入合作银行出资范围，不另行向学校、学生、家长收取。</w:t>
      </w:r>
    </w:p>
    <w:p>
      <w:pPr>
        <w:spacing w:line="540" w:lineRule="exact"/>
        <w:ind w:firstLine="640" w:firstLineChars="200"/>
        <w:jc w:val="both"/>
        <w:outlineLvl w:val="0"/>
        <w:rPr>
          <w:rFonts w:eastAsia="黑体" w:cs="Times New Roman"/>
          <w:lang w:eastAsia="zh-CN"/>
        </w:rPr>
      </w:pPr>
      <w:r>
        <w:rPr>
          <w:rFonts w:eastAsia="黑体" w:cs="Times New Roman"/>
          <w:lang w:eastAsia="zh-CN"/>
        </w:rPr>
        <w:t>八</w:t>
      </w:r>
      <w:r>
        <w:rPr>
          <w:rFonts w:hint="eastAsia" w:eastAsia="黑体" w:cs="Times New Roman"/>
          <w:lang w:eastAsia="zh-CN"/>
        </w:rPr>
        <w:t>、存量业务平稳过渡</w:t>
      </w:r>
    </w:p>
    <w:p>
      <w:pPr>
        <w:spacing w:line="540" w:lineRule="exact"/>
        <w:ind w:firstLine="640" w:firstLineChars="200"/>
        <w:jc w:val="both"/>
        <w:rPr>
          <w:lang w:eastAsia="zh-CN"/>
        </w:rPr>
      </w:pPr>
      <w:r>
        <w:rPr>
          <w:rFonts w:hint="eastAsia" w:cs="Times New Roman"/>
          <w:lang w:eastAsia="zh-CN"/>
        </w:rPr>
        <w:t>目前区内各学校食堂系统由不同银行分散提供。为保障平稳切换，明确以下过渡安排：</w:t>
      </w:r>
    </w:p>
    <w:p>
      <w:pPr>
        <w:spacing w:line="540" w:lineRule="exact"/>
        <w:ind w:firstLine="640" w:firstLineChars="200"/>
        <w:jc w:val="both"/>
        <w:rPr>
          <w:lang w:eastAsia="zh-CN"/>
        </w:rPr>
      </w:pPr>
      <w:r>
        <w:rPr>
          <w:rFonts w:hint="eastAsia" w:ascii="楷体_GB2312" w:hAnsi="楷体_GB2312" w:eastAsia="楷体_GB2312" w:cs="Times New Roman"/>
          <w:lang w:eastAsia="zh-CN"/>
        </w:rPr>
        <w:t>（一）既有合同处理。</w:t>
      </w:r>
      <w:r>
        <w:rPr>
          <w:rFonts w:hint="eastAsia" w:ascii="仿宋_GB2312" w:hAnsi="仿宋_GB2312" w:cs="Times New Roman"/>
          <w:lang w:eastAsia="zh-CN"/>
        </w:rPr>
        <w:t>根据各校既有合同期限和系统对接条件，制定分批切换计划，由学校负责与原合作方协商处理，原则上在选定合作银行后1至3个月内完成切换。涉及原银行硬件回收的，由新选定的合作银行补充配备。</w:t>
      </w:r>
      <w:bookmarkStart w:id="2" w:name="_Hlk239972544"/>
      <w:bookmarkEnd w:id="2"/>
    </w:p>
    <w:p>
      <w:pPr>
        <w:spacing w:line="540" w:lineRule="exact"/>
        <w:ind w:firstLine="640" w:firstLineChars="200"/>
        <w:jc w:val="both"/>
        <w:rPr>
          <w:lang w:eastAsia="zh-CN"/>
        </w:rPr>
      </w:pPr>
      <w:r>
        <w:rPr>
          <w:rFonts w:hint="eastAsia" w:ascii="楷体_GB2312" w:hAnsi="楷体_GB2312" w:eastAsia="楷体_GB2312" w:cs="Times New Roman"/>
          <w:lang w:eastAsia="zh-CN"/>
        </w:rPr>
        <w:t>（二）数据迁移。</w:t>
      </w:r>
      <w:r>
        <w:rPr>
          <w:rFonts w:hint="eastAsia" w:ascii="仿宋_GB2312" w:hAnsi="仿宋_GB2312" w:cs="Times New Roman"/>
          <w:lang w:eastAsia="zh-CN"/>
        </w:rPr>
        <w:t>存量数据迁移由中标合作银行承担技术实施和费用，迁移前依法履行个人信息处理告知、同意程序，保障历史数据完整、安全、可用。</w:t>
      </w:r>
    </w:p>
    <w:p>
      <w:pPr>
        <w:spacing w:line="540" w:lineRule="exact"/>
        <w:ind w:firstLine="640" w:firstLineChars="200"/>
        <w:jc w:val="both"/>
        <w:rPr>
          <w:lang w:eastAsia="zh-CN"/>
        </w:rPr>
      </w:pPr>
      <w:r>
        <w:rPr>
          <w:rFonts w:hint="eastAsia" w:ascii="楷体_GB2312" w:hAnsi="楷体_GB2312" w:eastAsia="楷体_GB2312" w:cs="Times New Roman"/>
          <w:lang w:eastAsia="zh-CN"/>
        </w:rPr>
        <w:t>（三）家长账户。</w:t>
      </w:r>
      <w:r>
        <w:rPr>
          <w:rFonts w:hint="eastAsia" w:ascii="仿宋_GB2312" w:hAnsi="仿宋_GB2312" w:cs="Times New Roman"/>
          <w:lang w:eastAsia="zh-CN"/>
        </w:rPr>
        <w:t>家长已开立的缴费账户可继续使用，坚持自愿原则，支持合作银行开卡、跨行缴费、数字人民币等多种缴费渠道，不得强制销户或变更开户行。</w:t>
      </w:r>
    </w:p>
    <w:p>
      <w:pPr>
        <w:spacing w:line="540" w:lineRule="exact"/>
        <w:ind w:firstLine="640" w:firstLineChars="200"/>
        <w:jc w:val="both"/>
        <w:outlineLvl w:val="0"/>
        <w:rPr>
          <w:rFonts w:eastAsia="黑体" w:cs="Times New Roman"/>
          <w:lang w:eastAsia="zh-CN"/>
        </w:rPr>
      </w:pPr>
      <w:r>
        <w:rPr>
          <w:rFonts w:eastAsia="黑体" w:cs="Times New Roman"/>
          <w:lang w:eastAsia="zh-CN"/>
        </w:rPr>
        <w:t>九</w:t>
      </w:r>
      <w:r>
        <w:rPr>
          <w:rFonts w:hint="eastAsia" w:eastAsia="黑体" w:cs="Times New Roman"/>
          <w:lang w:eastAsia="zh-CN"/>
        </w:rPr>
        <w:t>、时间安排</w:t>
      </w:r>
    </w:p>
    <w:p>
      <w:pPr>
        <w:spacing w:line="540" w:lineRule="exact"/>
        <w:ind w:firstLine="640" w:firstLineChars="200"/>
        <w:jc w:val="both"/>
        <w:rPr>
          <w:lang w:eastAsia="zh-CN"/>
        </w:rPr>
      </w:pPr>
      <w:r>
        <w:rPr>
          <w:rFonts w:hint="eastAsia" w:ascii="楷体_GB2312" w:hAnsi="楷体_GB2312" w:eastAsia="楷体_GB2312" w:cs="Times New Roman"/>
          <w:lang w:eastAsia="zh-CN"/>
        </w:rPr>
        <w:t>（一）党组会审议通过后印发《增城区校园餐智慧监管平台建设工作方案》，各学校（幼儿园）于方案印发后5个工作日内报送《委托书》；在广州市增城区人民政府网站发布公开比选公告。</w:t>
      </w:r>
    </w:p>
    <w:p>
      <w:pPr>
        <w:spacing w:line="540" w:lineRule="exact"/>
        <w:ind w:firstLine="640" w:firstLineChars="200"/>
        <w:jc w:val="both"/>
        <w:rPr>
          <w:lang w:eastAsia="zh-CN"/>
        </w:rPr>
      </w:pPr>
      <w:r>
        <w:rPr>
          <w:rFonts w:hint="eastAsia" w:ascii="楷体_GB2312" w:hAnsi="楷体_GB2312" w:eastAsia="楷体_GB2312" w:cs="Times New Roman"/>
          <w:lang w:eastAsia="zh-CN"/>
        </w:rPr>
        <w:t>（二）</w:t>
      </w:r>
      <w:r>
        <w:rPr>
          <w:rFonts w:hint="eastAsia" w:ascii="楷体_GB2312" w:hAnsi="楷体_GB2312" w:eastAsia="楷体_GB2312" w:cs="Times New Roman"/>
          <w:color w:val="000000"/>
          <w:lang w:eastAsia="zh-CN"/>
        </w:rPr>
        <w:t>公告发布后5个工作日内</w:t>
      </w:r>
      <w:r>
        <w:rPr>
          <w:rFonts w:hint="eastAsia" w:ascii="楷体_GB2312" w:hAnsi="楷体_GB2312" w:eastAsia="楷体_GB2312" w:cs="Times New Roman"/>
          <w:lang w:eastAsia="zh-CN"/>
        </w:rPr>
        <w:t>：</w:t>
      </w:r>
      <w:r>
        <w:rPr>
          <w:rFonts w:hint="eastAsia" w:ascii="仿宋_GB2312" w:hAnsi="仿宋_GB2312" w:cs="Times New Roman"/>
          <w:lang w:eastAsia="zh-CN"/>
        </w:rPr>
        <w:t>参与比选的银行提交比选材料。</w:t>
      </w:r>
    </w:p>
    <w:p>
      <w:pPr>
        <w:spacing w:line="540" w:lineRule="exact"/>
        <w:ind w:firstLine="640" w:firstLineChars="200"/>
        <w:jc w:val="both"/>
        <w:rPr>
          <w:lang w:eastAsia="zh-CN"/>
        </w:rPr>
      </w:pPr>
      <w:r>
        <w:rPr>
          <w:rFonts w:hint="eastAsia" w:ascii="楷体_GB2312" w:hAnsi="楷体_GB2312" w:eastAsia="楷体_GB2312" w:cs="Times New Roman"/>
          <w:lang w:eastAsia="zh-CN"/>
        </w:rPr>
        <w:t>（三）递交截止后3至5个工作日内：</w:t>
      </w:r>
      <w:r>
        <w:rPr>
          <w:rFonts w:hint="eastAsia" w:ascii="仿宋_GB2312" w:hAnsi="仿宋_GB2312" w:cs="Times New Roman"/>
          <w:lang w:eastAsia="zh-CN"/>
        </w:rPr>
        <w:t>完成资格审查，组织方案答辩及综合评审。</w:t>
      </w:r>
    </w:p>
    <w:p>
      <w:pPr>
        <w:spacing w:line="540" w:lineRule="exact"/>
        <w:ind w:firstLine="640" w:firstLineChars="200"/>
        <w:jc w:val="both"/>
        <w:rPr>
          <w:lang w:eastAsia="zh-CN"/>
        </w:rPr>
      </w:pPr>
      <w:r>
        <w:rPr>
          <w:rFonts w:hint="eastAsia" w:ascii="楷体_GB2312" w:hAnsi="楷体_GB2312" w:eastAsia="楷体_GB2312" w:cs="Times New Roman"/>
          <w:lang w:eastAsia="zh-CN"/>
        </w:rPr>
        <w:t>（四）评审结束后3个工作日内：</w:t>
      </w:r>
      <w:r>
        <w:rPr>
          <w:rFonts w:hint="eastAsia" w:ascii="仿宋_GB2312" w:hAnsi="仿宋_GB2312" w:cs="Times New Roman"/>
          <w:lang w:eastAsia="zh-CN"/>
        </w:rPr>
        <w:t>报区教育局党组会审议确定拟合作银行并公示，公示期不少于5个工作日。</w:t>
      </w:r>
    </w:p>
    <w:p>
      <w:pPr>
        <w:spacing w:line="540" w:lineRule="exact"/>
        <w:ind w:firstLine="640" w:firstLineChars="200"/>
        <w:jc w:val="both"/>
        <w:rPr>
          <w:lang w:eastAsia="zh-CN"/>
        </w:rPr>
      </w:pPr>
      <w:r>
        <w:rPr>
          <w:rFonts w:hint="eastAsia" w:ascii="楷体_GB2312" w:hAnsi="楷体_GB2312" w:eastAsia="楷体_GB2312" w:cs="Times New Roman"/>
          <w:lang w:eastAsia="zh-CN"/>
        </w:rPr>
        <w:t>（五）公示无异议或者异议处理完毕后5个工作日内：</w:t>
      </w:r>
      <w:r>
        <w:rPr>
          <w:rFonts w:hint="eastAsia" w:ascii="仿宋_GB2312" w:hAnsi="仿宋_GB2312" w:cs="Times New Roman"/>
          <w:lang w:eastAsia="zh-CN"/>
        </w:rPr>
        <w:t>签订合作协议。</w:t>
      </w:r>
    </w:p>
    <w:p>
      <w:pPr>
        <w:spacing w:line="540" w:lineRule="exact"/>
        <w:ind w:firstLine="640" w:firstLineChars="200"/>
        <w:jc w:val="both"/>
        <w:rPr>
          <w:lang w:eastAsia="zh-CN"/>
        </w:rPr>
      </w:pPr>
      <w:r>
        <w:rPr>
          <w:rFonts w:hint="eastAsia" w:ascii="楷体_GB2312" w:hAnsi="楷体_GB2312" w:eastAsia="楷体_GB2312" w:cs="Times New Roman"/>
          <w:lang w:eastAsia="zh-CN"/>
        </w:rPr>
        <w:t>（六）平台建设与对接：</w:t>
      </w:r>
      <w:r>
        <w:rPr>
          <w:rFonts w:hint="eastAsia" w:ascii="仿宋_GB2312" w:hAnsi="仿宋_GB2312" w:cs="Times New Roman"/>
          <w:lang w:eastAsia="zh-CN"/>
        </w:rPr>
        <w:t>合作协议签订后，分阶段推进平台建设和学校接入；平台建成后，及时完成与市级平台的接口联调测试，确保数据对接符合市教育局要求。</w:t>
      </w:r>
    </w:p>
    <w:p>
      <w:pPr>
        <w:spacing w:line="540" w:lineRule="exact"/>
        <w:ind w:firstLine="640" w:firstLineChars="200"/>
        <w:jc w:val="both"/>
        <w:outlineLvl w:val="0"/>
        <w:rPr>
          <w:rFonts w:eastAsia="黑体" w:cs="Times New Roman"/>
          <w:lang w:eastAsia="zh-CN"/>
        </w:rPr>
      </w:pPr>
      <w:r>
        <w:rPr>
          <w:rFonts w:hint="eastAsia" w:eastAsia="黑体" w:cs="Times New Roman"/>
          <w:lang w:eastAsia="zh-CN"/>
        </w:rPr>
        <w:t>十、纪律要求</w:t>
      </w:r>
    </w:p>
    <w:p>
      <w:pPr>
        <w:spacing w:line="540" w:lineRule="exact"/>
        <w:ind w:firstLine="640" w:firstLineChars="200"/>
        <w:jc w:val="both"/>
        <w:rPr>
          <w:lang w:eastAsia="zh-CN"/>
        </w:rPr>
      </w:pPr>
      <w:r>
        <w:rPr>
          <w:rFonts w:hint="eastAsia" w:ascii="仿宋_GB2312" w:hAnsi="仿宋_GB2312" w:cs="Times New Roman"/>
          <w:lang w:eastAsia="zh-CN"/>
        </w:rPr>
        <w:t>（一）公开比选全过程坚持公开、公平、公正，严禁暗箱操作、串通投标。</w:t>
      </w:r>
    </w:p>
    <w:p>
      <w:pPr>
        <w:spacing w:line="540" w:lineRule="exact"/>
        <w:ind w:firstLine="640" w:firstLineChars="200"/>
        <w:jc w:val="both"/>
        <w:rPr>
          <w:lang w:eastAsia="zh-CN"/>
        </w:rPr>
      </w:pPr>
      <w:r>
        <w:rPr>
          <w:rFonts w:hint="eastAsia" w:ascii="仿宋_GB2312" w:hAnsi="仿宋_GB2312" w:cs="Times New Roman"/>
          <w:lang w:eastAsia="zh-CN"/>
        </w:rPr>
        <w:t>（二）评选委员会成员须严守保密纪律，不得泄露评审信息。</w:t>
      </w:r>
    </w:p>
    <w:p>
      <w:pPr>
        <w:spacing w:line="540" w:lineRule="exact"/>
        <w:ind w:firstLine="640" w:firstLineChars="200"/>
        <w:jc w:val="both"/>
        <w:rPr>
          <w:lang w:eastAsia="zh-CN"/>
        </w:rPr>
      </w:pPr>
      <w:r>
        <w:rPr>
          <w:rFonts w:hint="eastAsia" w:ascii="仿宋_GB2312" w:hAnsi="仿宋_GB2312" w:cs="Times New Roman"/>
          <w:lang w:eastAsia="zh-CN"/>
        </w:rPr>
        <w:t>（三）参与竞争的银行须如实提交材料，不得提供虚假信息。</w:t>
      </w:r>
    </w:p>
    <w:p>
      <w:pPr>
        <w:spacing w:line="540" w:lineRule="exact"/>
        <w:ind w:firstLine="640" w:firstLineChars="200"/>
        <w:jc w:val="both"/>
        <w:rPr>
          <w:lang w:eastAsia="zh-CN"/>
        </w:rPr>
      </w:pPr>
      <w:r>
        <w:rPr>
          <w:rFonts w:hint="eastAsia" w:ascii="仿宋_GB2312" w:hAnsi="仿宋_GB2312" w:cs="Times New Roman"/>
          <w:lang w:eastAsia="zh-CN"/>
        </w:rPr>
        <w:t>（四）区教育局设立监督渠道，接受社会监督。</w:t>
      </w:r>
    </w:p>
    <w:p>
      <w:pPr>
        <w:spacing w:line="540" w:lineRule="exact"/>
        <w:ind w:firstLine="640" w:firstLineChars="200"/>
        <w:jc w:val="both"/>
        <w:outlineLvl w:val="0"/>
        <w:rPr>
          <w:rFonts w:eastAsia="黑体" w:cs="Times New Roman"/>
          <w:lang w:eastAsia="zh-CN"/>
        </w:rPr>
      </w:pPr>
      <w:r>
        <w:rPr>
          <w:rFonts w:hint="eastAsia" w:eastAsia="黑体" w:cs="Times New Roman"/>
          <w:lang w:eastAsia="zh-CN"/>
        </w:rPr>
        <w:t>十</w:t>
      </w:r>
      <w:r>
        <w:rPr>
          <w:rFonts w:eastAsia="黑体" w:cs="Times New Roman"/>
          <w:lang w:eastAsia="zh-CN"/>
        </w:rPr>
        <w:t>一</w:t>
      </w:r>
      <w:r>
        <w:rPr>
          <w:rFonts w:hint="eastAsia" w:eastAsia="黑体" w:cs="Times New Roman"/>
          <w:lang w:eastAsia="zh-CN"/>
        </w:rPr>
        <w:t>、附则</w:t>
      </w:r>
    </w:p>
    <w:p>
      <w:pPr>
        <w:spacing w:line="540" w:lineRule="exact"/>
        <w:ind w:firstLine="640" w:firstLineChars="200"/>
        <w:jc w:val="both"/>
        <w:rPr>
          <w:lang w:eastAsia="zh-CN"/>
        </w:rPr>
      </w:pPr>
      <w:r>
        <w:rPr>
          <w:rFonts w:hint="eastAsia" w:ascii="仿宋_GB2312" w:hAnsi="仿宋_GB2312" w:cs="Times New Roman"/>
          <w:lang w:eastAsia="zh-CN"/>
        </w:rPr>
        <w:t>（一）本方案由增城区教育局负责解释。</w:t>
      </w:r>
    </w:p>
    <w:p>
      <w:pPr>
        <w:spacing w:line="540" w:lineRule="exact"/>
        <w:ind w:firstLine="640" w:firstLineChars="200"/>
        <w:jc w:val="both"/>
        <w:rPr>
          <w:lang w:eastAsia="zh-CN"/>
        </w:rPr>
      </w:pPr>
      <w:r>
        <w:rPr>
          <w:rFonts w:hint="eastAsia" w:ascii="仿宋_GB2312" w:hAnsi="仿宋_GB2312" w:cs="Times New Roman"/>
          <w:lang w:eastAsia="zh-CN"/>
        </w:rPr>
        <w:t>（二）执行过程中如遇重大问题，由领导小组研究提出意见，重大事项提请区教育局党组会审议决定。</w:t>
      </w:r>
    </w:p>
    <w:p>
      <w:pPr>
        <w:spacing w:line="540" w:lineRule="exact"/>
        <w:jc w:val="both"/>
        <w:rPr>
          <w:lang w:eastAsia="zh-CN"/>
        </w:rPr>
      </w:pPr>
    </w:p>
    <w:p>
      <w:pPr>
        <w:spacing w:line="540" w:lineRule="exact"/>
        <w:ind w:firstLine="960" w:firstLineChars="300"/>
        <w:rPr>
          <w:lang w:eastAsia="zh-CN"/>
        </w:rPr>
      </w:pPr>
    </w:p>
    <w:p>
      <w:pPr>
        <w:spacing w:line="540" w:lineRule="exact"/>
        <w:ind w:right="1280" w:rightChars="400"/>
        <w:jc w:val="right"/>
        <w:rPr>
          <w:rFonts w:cs="Times New Roman"/>
          <w:lang w:eastAsia="zh-CN"/>
        </w:rPr>
      </w:pPr>
      <w:r>
        <w:rPr>
          <w:rFonts w:hint="eastAsia" w:cs="Times New Roman"/>
          <w:lang w:eastAsia="zh-CN"/>
        </w:rPr>
        <w:t>广州市增城区教育局</w:t>
      </w:r>
    </w:p>
    <w:p>
      <w:pPr>
        <w:spacing w:line="540" w:lineRule="exact"/>
        <w:ind w:right="1280" w:rightChars="400"/>
        <w:jc w:val="right"/>
        <w:rPr>
          <w:lang w:eastAsia="zh-CN"/>
        </w:rPr>
      </w:pPr>
      <w:r>
        <w:rPr>
          <w:rFonts w:hint="eastAsia" w:cs="Times New Roman"/>
          <w:lang w:eastAsia="zh-CN"/>
        </w:rPr>
        <w:t>　　2026年9月28日</w:t>
      </w:r>
    </w:p>
    <w:sectPr>
      <w:headerReference r:id="rId5" w:type="default"/>
      <w:footerReference r:id="rId6" w:type="default"/>
      <w:footerReference r:id="rId7" w:type="even"/>
      <w:pgSz w:w="11906" w:h="16838"/>
      <w:pgMar w:top="2098" w:right="1474" w:bottom="1984" w:left="1587" w:header="720" w:footer="1418" w:gutter="0"/>
      <w:cols w:space="720" w:num="1"/>
      <w:docGrid w:linePitch="57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00004FF" w:usb2="00000000" w:usb3="00000000" w:csb0="2000019F" w:csb1="00000000"/>
  </w:font>
  <w:font w:name="Courier">
    <w:panose1 w:val="00000000000000000000"/>
    <w:charset w:val="00"/>
    <w:family w:val="auto"/>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Adobe Devanagari">
    <w:panose1 w:val="02040503050201020203"/>
    <w:charset w:val="00"/>
    <w:family w:val="auto"/>
    <w:pitch w:val="default"/>
    <w:sig w:usb0="00008003" w:usb1="00000000" w:usb2="00000000" w:usb3="00000000" w:csb0="2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2049" o:spid="_x0000_s2049" o:spt="202" type="#_x0000_t202" style="position:absolute;left:0pt;margin-top:1pt;height:144pt;width:144pt;mso-position-horizontal:outside;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pwOQwIAAO4EAAAOAAAAZHJzL2Uyb0RvYy54bWysVF9v0zAQf0fiO1h+p0k7MVVV06l0KkKa&#10;2ESHeHYdu4lwfJZ9bVI+PWenSWHwMsSLfb7/97s7L++6xrCT8qEGW/DpJOdMWQllbQ8F//q8fTfn&#10;LKCwpTBgVcHPKvC71ds3y9Yt1AwqMKXyjJzYsGhdwStEt8iyICvViDABpywJNfhGID39ISu9aMl7&#10;Y7JZnt9mLfjSeZAqBOLe90K+Sv61VhIftQ4KmSk45Ybp9OncxzNbLcXi4IWranlJQ/xDFo2oLQUd&#10;Xd0LFOzo6z9cNbX0EEDjREKTgda1VKkGqmaav6hmVwmnUi0ETnAjTOH/uZWfTzv35Bl2H6CjBkZA&#10;WhcWgZixnk77Jt6UKSM5QXgeYVMdMhmN5rP5PCeRJNnwID/Z1dz5gB8VNCwSBffUlwSXOD0E7FUH&#10;lRjNwrY2JvXGWNYW/PbmfZ4MRgk5N5ZiXJNNFJ6Nih6M/aI0q8uUc2SkiVIb49lJ0CwIKZXFVG7y&#10;RNpRS1PY1xhe9KOpStP2GuPRIkUGi6NxU1vwqd4XaZffh5R1rz8g0NcdIcBu312auIfyTL310I99&#10;cHJbE/4PIuCT8DTn1DPaXXykQxsgnOFCcVaB//E3ftSn8SMpZy3tTcEtLTZn5pOlsZzlN7SVtGfp&#10;RYT/jb0f2PbYbIDaMKXfwclERmU0A6k9NN9otdcxGomElRSz4DiQG+y3mL4GqdbrpEQr5QQ+2J2T&#10;0XVqu1sfkaYpDVmEp8fkAhstVRrTywcQt/bXd9K6flOrnwAAAP//AwBQSwMEFAAGAAgAAAAhAHmP&#10;d7vcAAAABgEAAA8AAABkcnMvZG93bnJldi54bWxMj0FLw0AQhe9C/8MyBW92tzmUGLMppSKCgmi1&#10;0OM2O25Cs7NpdttGf73jSU/zhje89025HH0nzjjENpCG+UyBQKqDbclp+Hh/uMlBxGTImi4QavjC&#10;CMtqclWawoYLveF5k5zgEIqF0dCk1BdSxrpBb+Is9EjsfYbBm8Tr4KQdzIXDfSczpRbSm5a4oTE9&#10;rhusD5uT55L2uHVj2D1uv5+O9LrYueeXe6f19XRc3YFIOKa/Y/jFZ3SomGkfTmSj6DTwI0lDxoPN&#10;LM9Z7FncKgWyKuV//OoHAAD//wMAUEsBAi0AFAAGAAgAAAAhALaDOJL+AAAA4QEAABMAAAAAAAAA&#10;AAAAAAAAAAAAAFtDb250ZW50X1R5cGVzXS54bWxQSwECLQAUAAYACAAAACEAOP0h/9YAAACUAQAA&#10;CwAAAAAAAAAAAAAAAAAvAQAAX3JlbHMvLnJlbHNQSwECLQAUAAYACAAAACEAI7KcDkMCAADuBAAA&#10;DgAAAAAAAAAAAAAAAAAuAgAAZHJzL2Uyb0RvYy54bWxQSwECLQAUAAYACAAAACEAeY93u9wAAAAG&#10;AQAADwAAAAAAAAAAAAAAAACdBAAAZHJzL2Rvd25yZXYueG1sUEsFBgAAAAAEAAQA8wAAAKYFAAAA&#10;AA==&#10;">
          <v:path/>
          <v:fill on="f" focussize="0,0"/>
          <v:stroke on="f" weight="0.5pt" joinstyle="miter"/>
          <v:imagedata o:title=""/>
          <o:lock v:ext="edit"/>
          <v:textbox inset="16pt,0mm,16pt,0mm" style="mso-fit-shape-to-text:t;">
            <w:txbxContent>
              <w:p>
                <w:pPr>
                  <w:pStyle w:val="29"/>
                  <w:rPr>
                    <w:rFonts w:ascii="宋体" w:hAnsi="宋体" w:eastAsia="宋体"/>
                    <w:sz w:val="28"/>
                  </w:rPr>
                </w:pPr>
                <w:r>
                  <w:rPr>
                    <w:rFonts w:ascii="宋体" w:hAnsi="宋体" w:eastAsia="宋体"/>
                    <w:sz w:val="28"/>
                  </w:rPr>
                  <w:t xml:space="preserve">— </w:t>
                </w:r>
                <w:r>
                  <w:rPr>
                    <w:rFonts w:ascii="宋体" w:hAnsi="宋体" w:eastAsia="宋体"/>
                    <w:sz w:val="28"/>
                  </w:rPr>
                  <w:fldChar w:fldCharType="begin"/>
                </w:r>
                <w:r>
                  <w:rPr>
                    <w:rFonts w:ascii="宋体" w:hAnsi="宋体" w:eastAsia="宋体"/>
                    <w:sz w:val="28"/>
                  </w:rPr>
                  <w:instrText xml:space="preserve"> PAGE </w:instrText>
                </w:r>
                <w:r>
                  <w:rPr>
                    <w:rFonts w:ascii="宋体" w:hAnsi="宋体" w:eastAsia="宋体"/>
                    <w:sz w:val="28"/>
                  </w:rPr>
                  <w:fldChar w:fldCharType="separate"/>
                </w:r>
                <w:r>
                  <w:rPr>
                    <w:rFonts w:ascii="宋体" w:hAnsi="宋体" w:eastAsia="宋体"/>
                    <w:sz w:val="28"/>
                  </w:rPr>
                  <w:t>9</w:t>
                </w:r>
                <w:r>
                  <w:rPr>
                    <w:rFonts w:ascii="宋体" w:hAnsi="宋体" w:eastAsia="宋体"/>
                    <w:sz w:val="28"/>
                  </w:rPr>
                  <w:fldChar w:fldCharType="end"/>
                </w:r>
                <w:r>
                  <w:rPr>
                    <w:rFonts w:ascii="宋体" w:hAnsi="宋体" w:eastAsia="宋体"/>
                    <w:sz w:val="28"/>
                  </w:rPr>
                  <w:t xml:space="preserve"> —</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2050" o:spid="_x0000_s2050" o:spt="202" type="#_x0000_t202" style="position:absolute;left:0pt;margin-top:1pt;height:144pt;width:144pt;mso-position-horizontal:outside;mso-position-horizontal-relative:margin;mso-wrap-style:none;z-index:251660288;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MjLRQIAAPUEAAAOAAAAZHJzL2Uyb0RvYy54bWysVF9v0zAQf0fiO1h+p0k7MVVV06l0KkKa&#10;2ERBPLuO3UQ4Psu+NimfnrPTpGPwMsSLfb7/97s7L++6xrCT8qEGW/DpJOdMWQllbQ8F//Z1+27O&#10;WUBhS2HAqoKfVeB3q7dvlq1bqBlUYErlGTmxYdG6gleIbpFlQVaqEWECTlkSavCNQHr6Q1Z60ZL3&#10;xmSzPL/NWvCl8yBVCMS974V8lfxrrSQ+ah0UMlNwyg3T6dO5j2e2WorFwQtX1fKShviHLBpRWwo6&#10;uroXKNjR13+4amrpIYDGiYQmA61rqVINVM00f1HNrhJOpVoInOBGmML/cys/n3buyTPsPkBHDYyA&#10;tC4sAjFjPZ32TbwpU0ZygvA8wqY6ZDIazWfzeU4iSbLhQX6yq7nzAT8qaFgkCu6pLwkucXoI2KsO&#10;KjGahW1tTOqNsawt+O3N+zwZjBJybizFuCabKDwbFT0Y+0VpVpcp58hIE6U2xrOToFkQUiqLqdzk&#10;ibSjlqawrzG86EdTlabtNcajRYoMFkfjprbgU70v0i5/DCnrXn9AoK87QoDdvqPCn/VyD+WZWuyh&#10;n/7g5LamNjyIgE/C07hT62iF8ZEObYDghgvFWQX+59/4UZ+mkKSctbQ+Bbe035yZT5amc5bf0HLS&#10;uqUXEf439n5g22OzAerGlD4JJxMZldEMpPbQfKcNX8doJBJWUsyC40BusF9m+iGkWq+TEm2WE/hg&#10;d05G16n7bn1EGqo0axGlHpMLerRbaVov/0Bc3ufvpHX9rVa/AAAA//8DAFBLAwQUAAYACAAAACEA&#10;eY93u9wAAAAGAQAADwAAAGRycy9kb3ducmV2LnhtbEyPQUvDQBCF70L/wzIFb3a3OZQYsymlIoKC&#10;aLXQ4zY7bkKzs2l220Z/veNJT/OGN7z3TbkcfSfOOMQ2kIb5TIFAqoNtyWn4eH+4yUHEZMiaLhBq&#10;+MIIy2pyVZrChgu94XmTnOAQioXR0KTUF1LGukFv4iz0SOx9hsGbxOvgpB3MhcN9JzOlFtKblrih&#10;MT2uG6wPm5Pnkva4dWPYPW6/n470uti555d7p/X1dFzdgUg4pr9j+MVndKiYaR9OZKPoNPAjSUPG&#10;g80sz1nsWdwqBbIq5X/86gcAAP//AwBQSwECLQAUAAYACAAAACEAtoM4kv4AAADhAQAAEwAAAAAA&#10;AAAAAAAAAAAAAAAAW0NvbnRlbnRfVHlwZXNdLnhtbFBLAQItABQABgAIAAAAIQA4/SH/1gAAAJQB&#10;AAALAAAAAAAAAAAAAAAAAC8BAABfcmVscy8ucmVsc1BLAQItABQABgAIAAAAIQBssMjLRQIAAPUE&#10;AAAOAAAAAAAAAAAAAAAAAC4CAABkcnMvZTJvRG9jLnhtbFBLAQItABQABgAIAAAAIQB5j3e73AAA&#10;AAYBAAAPAAAAAAAAAAAAAAAAAJ8EAABkcnMvZG93bnJldi54bWxQSwUGAAAAAAQABADzAAAAqAUA&#10;AAAA&#10;">
          <v:path/>
          <v:fill on="f" focussize="0,0"/>
          <v:stroke on="f" weight="0.5pt" joinstyle="miter"/>
          <v:imagedata o:title=""/>
          <o:lock v:ext="edit"/>
          <v:textbox inset="16pt,0mm,16pt,0mm" style="mso-fit-shape-to-text:t;">
            <w:txbxContent>
              <w:p>
                <w:pPr>
                  <w:pStyle w:val="29"/>
                  <w:rPr>
                    <w:rFonts w:ascii="宋体" w:hAnsi="宋体" w:eastAsia="宋体"/>
                    <w:sz w:val="28"/>
                  </w:rPr>
                </w:pPr>
                <w:r>
                  <w:rPr>
                    <w:rFonts w:ascii="宋体" w:hAnsi="宋体" w:eastAsia="宋体"/>
                    <w:sz w:val="28"/>
                  </w:rPr>
                  <w:t xml:space="preserve">— </w:t>
                </w:r>
                <w:r>
                  <w:rPr>
                    <w:rFonts w:ascii="宋体" w:hAnsi="宋体" w:eastAsia="宋体"/>
                    <w:sz w:val="28"/>
                  </w:rPr>
                  <w:fldChar w:fldCharType="begin"/>
                </w:r>
                <w:r>
                  <w:rPr>
                    <w:rFonts w:ascii="宋体" w:hAnsi="宋体" w:eastAsia="宋体"/>
                    <w:sz w:val="28"/>
                  </w:rPr>
                  <w:instrText xml:space="preserve"> PAGE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8"/>
                  </w:rPr>
                  <w:t xml:space="preserve"> —</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Pr>
    <w:r>
      <w:rPr>
        <w:sz w:val="32"/>
      </w:rPr>
      <w:pict>
        <v:shape id="PowerPlusWaterMarkObject6277942" o:spid="_x0000_s2060" o:spt="136" type="#_x0000_t136" style="position:absolute;left:0pt;margin-left:420.1pt;margin-top:399.1pt;height:35pt;width:124pt;mso-position-horizontal-relative:margin;mso-position-vertical-relative:margin;rotation:-2949120f;z-index:-251645952;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r>
      <w:rPr>
        <w:sz w:val="32"/>
      </w:rPr>
      <w:pict>
        <v:shape id="PowerPlusWaterMarkObject6025357" o:spid="_x0000_s2059" o:spt="136" type="#_x0000_t136" style="position:absolute;left:0pt;margin-left:247.55pt;margin-top:571.65pt;height:35pt;width:124pt;mso-position-horizontal-relative:margin;mso-position-vertical-relative:margin;rotation:-2949120f;z-index:-251646976;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r>
      <w:rPr>
        <w:sz w:val="32"/>
      </w:rPr>
      <w:pict>
        <v:shape id="PowerPlusWaterMarkObject5258015" o:spid="_x0000_s2058" o:spt="136" type="#_x0000_t136" style="position:absolute;left:0pt;margin-left:75pt;margin-top:744.2pt;height:35pt;width:124pt;mso-position-horizontal-relative:margin;mso-position-vertical-relative:margin;rotation:-2949120f;z-index:-251648000;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r>
      <w:rPr>
        <w:sz w:val="32"/>
      </w:rPr>
      <w:pict>
        <v:shape id="PowerPlusWaterMarkObject4487220" o:spid="_x0000_s2057" o:spt="136" type="#_x0000_t136" style="position:absolute;left:0pt;margin-left:420.1pt;margin-top:39.8pt;height:35pt;width:124pt;mso-position-horizontal-relative:margin;mso-position-vertical-relative:margin;rotation:-2949120f;z-index:-251649024;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r>
      <w:rPr>
        <w:sz w:val="32"/>
      </w:rPr>
      <w:pict>
        <v:shape id="PowerPlusWaterMarkObject3837289" o:spid="_x0000_s2056" o:spt="136" type="#_x0000_t136" style="position:absolute;left:0pt;margin-left:247.55pt;margin-top:212.35pt;height:35pt;width:124pt;mso-position-horizontal-relative:margin;mso-position-vertical-relative:margin;rotation:-2949120f;z-index:-251650048;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r>
      <w:rPr>
        <w:sz w:val="32"/>
      </w:rPr>
      <w:pict>
        <v:shape id="PowerPlusWaterMarkObject2893080" o:spid="_x0000_s2055" o:spt="136" type="#_x0000_t136" style="position:absolute;left:0pt;margin-left:75pt;margin-top:384.9pt;height:35pt;width:124pt;mso-position-horizontal-relative:margin;mso-position-vertical-relative:margin;rotation:-2949120f;z-index:-251651072;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r>
      <w:rPr>
        <w:sz w:val="32"/>
      </w:rPr>
      <w:pict>
        <v:shape id="PowerPlusWaterMarkObject1911543" o:spid="_x0000_s2054" o:spt="136" type="#_x0000_t136" style="position:absolute;left:0pt;margin-left:-97.5pt;margin-top:557.4pt;height:35pt;width:124pt;mso-position-horizontal-relative:margin;mso-position-vertical-relative:margin;rotation:-2949120f;z-index:-251652096;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r>
      <w:rPr>
        <w:sz w:val="32"/>
      </w:rPr>
      <w:pict>
        <v:shape id="PowerPlusWaterMarkObject1406401" o:spid="_x0000_s2053" o:spt="136" type="#_x0000_t136" style="position:absolute;left:0pt;margin-left:247.55pt;margin-top:-146.95pt;height:35pt;width:124pt;mso-position-horizontal-relative:margin;mso-position-vertical-relative:margin;rotation:-2949120f;z-index:-251653120;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r>
      <w:rPr>
        <w:sz w:val="32"/>
      </w:rPr>
      <w:pict>
        <v:shape id="PowerPlusWaterMarkObject1195769" o:spid="_x0000_s2052" o:spt="136" type="#_x0000_t136" style="position:absolute;left:0pt;margin-left:75pt;margin-top:25.6pt;height:35pt;width:124pt;mso-position-horizontal-relative:margin;mso-position-vertical-relative:margin;rotation:-2949120f;z-index:-251654144;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r>
      <w:rPr>
        <w:sz w:val="32"/>
      </w:rPr>
      <w:pict>
        <v:shape id="PowerPlusWaterMarkObject671986" o:spid="_x0000_s2051" o:spt="136" type="#_x0000_t136" style="position:absolute;left:0pt;margin-left:-97.5pt;margin-top:198.1pt;height:35pt;width:124pt;mso-position-horizontal-relative:margin;mso-position-vertical-relative:margin;rotation:-2949120f;z-index:-251655168;mso-width-relative:page;mso-height-relative:page;" fillcolor="#C0C0C0" filled="t" stroked="f" coordsize="21600,21600" adj="10800">
          <v:path/>
          <v:fill on="t" opacity="19660f" focussize="0,0"/>
          <v:stroke on="f"/>
          <v:imagedata o:title=""/>
          <o:lock v:ext="edit" aspectratio="t"/>
          <v:textpath on="t" fitpath="t" trim="t" xscale="f" string="区教育局" style="font-family:FangSong;font-size:35pt;v-same-letter-heights:f;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6">
    <w:nsid w:val="656B1799"/>
    <w:multiLevelType w:val="multilevel"/>
    <w:tmpl w:val="656B1799"/>
    <w:lvl w:ilvl="0" w:tentative="0">
      <w:start w:val="1"/>
      <w:numFmt w:val="japaneseCounting"/>
      <w:lvlText w:val="（%1）"/>
      <w:lvlJc w:val="left"/>
      <w:pPr>
        <w:ind w:left="1720" w:hanging="1080"/>
      </w:pPr>
      <w:rPr>
        <w:rFonts w:hint="default"/>
      </w:rPr>
    </w:lvl>
    <w:lvl w:ilvl="1" w:tentative="0">
      <w:start w:val="1"/>
      <w:numFmt w:val="lowerLetter"/>
      <w:lvlText w:val="%2)"/>
      <w:lvlJc w:val="left"/>
      <w:pPr>
        <w:ind w:left="1520" w:hanging="440"/>
      </w:p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num w:numId="1">
    <w:abstractNumId w:val="1"/>
  </w:num>
  <w:num w:numId="2">
    <w:abstractNumId w:val="4"/>
  </w:num>
  <w:num w:numId="3">
    <w:abstractNumId w:val="5"/>
  </w:num>
  <w:num w:numId="4">
    <w:abstractNumId w:val="2"/>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characterSpacingControl w:val="doNotCompress"/>
  <w:hdrShapeDefaults>
    <o:shapelayout v:ext="edit">
      <o:idmap v:ext="edit" data="2"/>
    </o:shapelayout>
  </w:hdrShapeDefaults>
  <w:footnotePr>
    <w:footnote w:id="0"/>
    <w:footnote w:id="1"/>
  </w:footnotePr>
  <w:endnotePr>
    <w:endnote w:id="0"/>
    <w:endnote w:id="1"/>
  </w:endnotePr>
  <w:compat>
    <w:useFELayout/>
    <w:splitPgBreakAndParaMark/>
    <w:compatSetting w:name="compatibilityMode" w:uri="http://schemas.microsoft.com/office/word" w:val="12"/>
  </w:compat>
  <w:rsids>
    <w:rsidRoot w:val="00CC43F4"/>
    <w:rsid w:val="00030BBA"/>
    <w:rsid w:val="000E731D"/>
    <w:rsid w:val="00101E80"/>
    <w:rsid w:val="0012782A"/>
    <w:rsid w:val="00155EEA"/>
    <w:rsid w:val="00167778"/>
    <w:rsid w:val="00197100"/>
    <w:rsid w:val="001F7BC2"/>
    <w:rsid w:val="00216E95"/>
    <w:rsid w:val="00253CE0"/>
    <w:rsid w:val="00282B85"/>
    <w:rsid w:val="00285F7E"/>
    <w:rsid w:val="002B15C0"/>
    <w:rsid w:val="00342E0E"/>
    <w:rsid w:val="003935B6"/>
    <w:rsid w:val="00435CF8"/>
    <w:rsid w:val="004A66A8"/>
    <w:rsid w:val="004D7641"/>
    <w:rsid w:val="004E57D0"/>
    <w:rsid w:val="004F372B"/>
    <w:rsid w:val="0050508D"/>
    <w:rsid w:val="00597BAA"/>
    <w:rsid w:val="00602387"/>
    <w:rsid w:val="00640549"/>
    <w:rsid w:val="0065027F"/>
    <w:rsid w:val="006533D2"/>
    <w:rsid w:val="00656F7C"/>
    <w:rsid w:val="00674570"/>
    <w:rsid w:val="006969BC"/>
    <w:rsid w:val="0071651D"/>
    <w:rsid w:val="00726B76"/>
    <w:rsid w:val="007427D6"/>
    <w:rsid w:val="00760188"/>
    <w:rsid w:val="00780457"/>
    <w:rsid w:val="00921D36"/>
    <w:rsid w:val="00923BBF"/>
    <w:rsid w:val="00935858"/>
    <w:rsid w:val="009358C2"/>
    <w:rsid w:val="00954D7C"/>
    <w:rsid w:val="009B0FCC"/>
    <w:rsid w:val="009F1AD7"/>
    <w:rsid w:val="00B07A65"/>
    <w:rsid w:val="00B326A6"/>
    <w:rsid w:val="00B37FE2"/>
    <w:rsid w:val="00B53137"/>
    <w:rsid w:val="00B755E4"/>
    <w:rsid w:val="00BC037A"/>
    <w:rsid w:val="00C05F37"/>
    <w:rsid w:val="00C45ECB"/>
    <w:rsid w:val="00C62676"/>
    <w:rsid w:val="00C6767C"/>
    <w:rsid w:val="00CA3740"/>
    <w:rsid w:val="00CC43F4"/>
    <w:rsid w:val="00CC683D"/>
    <w:rsid w:val="00D10019"/>
    <w:rsid w:val="00D27B9D"/>
    <w:rsid w:val="00D43AF7"/>
    <w:rsid w:val="00D74C7C"/>
    <w:rsid w:val="00D75F97"/>
    <w:rsid w:val="00D961E4"/>
    <w:rsid w:val="00DD5091"/>
    <w:rsid w:val="00E2094D"/>
    <w:rsid w:val="00F35805"/>
    <w:rsid w:val="00F45781"/>
    <w:rsid w:val="00F50977"/>
    <w:rsid w:val="00F9389C"/>
    <w:rsid w:val="00FB0D7B"/>
    <w:rsid w:val="00FC1D3C"/>
    <w:rsid w:val="02625511"/>
    <w:rsid w:val="26B9572D"/>
    <w:rsid w:val="3D77FD04"/>
    <w:rsid w:val="3E7B130A"/>
    <w:rsid w:val="4FBEEF9B"/>
    <w:rsid w:val="5FAF10AD"/>
    <w:rsid w:val="62CD6E7C"/>
    <w:rsid w:val="77BFB29D"/>
    <w:rsid w:val="D7FF93F3"/>
    <w:rsid w:val="F7CB0D4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uiPriority="99" w:semiHidden="0" w:name="List 2"/>
    <w:lsdException w:qFormat="1" w:uiPriority="99" w:semiHidden="0" w:name="List 3"/>
    <w:lsdException w:uiPriority="99" w:name="List 4"/>
    <w:lsdException w:uiPriority="99" w:name="List 5"/>
    <w:lsdException w:qFormat="1"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qFormat="1" w:unhideWhenUsed="0" w:uiPriority="70" w:semiHidden="0" w:name="Dark List"/>
    <w:lsdException w:unhideWhenUsed="0" w:uiPriority="71" w:semiHidden="0" w:name="Colorful Shading"/>
    <w:lsdException w:qFormat="1"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unhideWhenUsed="0" w:uiPriority="69" w:semiHidden="0" w:name="Medium Grid 3 Accent 1"/>
    <w:lsdException w:qFormat="1"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unhideWhenUsed="0" w:uiPriority="66" w:semiHidden="0" w:name="Medium List 2 Accent 3"/>
    <w:lsdException w:qFormat="1"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qFormat="1"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qFormat="1" w:unhideWhenUsed="0" w:uiPriority="68" w:semiHidden="0" w:name="Medium Grid 2 Accent 4"/>
    <w:lsdException w:unhideWhenUsed="0" w:uiPriority="69" w:semiHidden="0" w:name="Medium Grid 3 Accent 4"/>
    <w:lsdException w:unhideWhenUsed="0" w:uiPriority="70" w:semiHidden="0" w:name="Dark List Accent 4"/>
    <w:lsdException w:qFormat="1"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qFormat="1"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pPr>
    <w:rPr>
      <w:rFonts w:ascii="Times New Roman" w:hAnsi="Times New Roman" w:eastAsia="仿宋_GB2312" w:cstheme="minorBidi"/>
      <w:sz w:val="32"/>
      <w:szCs w:val="22"/>
      <w:lang w:val="en-US" w:eastAsia="en-US" w:bidi="ar-SA"/>
    </w:rPr>
  </w:style>
  <w:style w:type="paragraph" w:styleId="3">
    <w:name w:val="heading 1"/>
    <w:basedOn w:val="1"/>
    <w:next w:val="1"/>
    <w:link w:val="141"/>
    <w:qFormat/>
    <w:uiPriority w:val="9"/>
    <w:pPr>
      <w:keepNext/>
      <w:keepLines/>
      <w:spacing w:before="480"/>
      <w:outlineLvl w:val="0"/>
    </w:pPr>
    <w:rPr>
      <w:rFonts w:asciiTheme="majorHAnsi" w:hAnsiTheme="majorHAnsi" w:eastAsiaTheme="majorEastAsia" w:cstheme="majorBidi"/>
      <w:b/>
      <w:bCs/>
      <w:color w:val="366091" w:themeColor="accent1" w:themeShade="BF"/>
      <w:sz w:val="28"/>
      <w:szCs w:val="28"/>
    </w:rPr>
  </w:style>
  <w:style w:type="paragraph" w:styleId="4">
    <w:name w:val="heading 2"/>
    <w:basedOn w:val="1"/>
    <w:next w:val="1"/>
    <w:link w:val="142"/>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5">
    <w:name w:val="heading 3"/>
    <w:basedOn w:val="1"/>
    <w:next w:val="1"/>
    <w:link w:val="143"/>
    <w:unhideWhenUsed/>
    <w:qFormat/>
    <w:uiPriority w:val="9"/>
    <w:pPr>
      <w:keepNext/>
      <w:keepLines/>
      <w:spacing w:before="200"/>
      <w:outlineLvl w:val="2"/>
    </w:pPr>
    <w:rPr>
      <w:rFonts w:asciiTheme="majorHAnsi" w:hAnsiTheme="majorHAnsi" w:eastAsiaTheme="majorEastAsia" w:cstheme="majorBidi"/>
      <w:b/>
      <w:bCs/>
      <w:color w:val="4F81BD" w:themeColor="accent1"/>
    </w:rPr>
  </w:style>
  <w:style w:type="paragraph" w:styleId="6">
    <w:name w:val="heading 4"/>
    <w:basedOn w:val="1"/>
    <w:next w:val="1"/>
    <w:link w:val="153"/>
    <w:semiHidden/>
    <w:unhideWhenUsed/>
    <w:qFormat/>
    <w:uiPriority w:val="9"/>
    <w:pPr>
      <w:keepNext/>
      <w:keepLines/>
      <w:spacing w:before="200"/>
      <w:outlineLvl w:val="3"/>
    </w:pPr>
    <w:rPr>
      <w:rFonts w:asciiTheme="majorHAnsi" w:hAnsiTheme="majorHAnsi" w:eastAsiaTheme="majorEastAsia" w:cstheme="majorBidi"/>
      <w:b/>
      <w:bCs/>
      <w:i/>
      <w:iCs/>
      <w:color w:val="4F81BD" w:themeColor="accent1"/>
    </w:rPr>
  </w:style>
  <w:style w:type="paragraph" w:styleId="7">
    <w:name w:val="heading 5"/>
    <w:basedOn w:val="1"/>
    <w:next w:val="1"/>
    <w:link w:val="154"/>
    <w:semiHidden/>
    <w:unhideWhenUsed/>
    <w:qFormat/>
    <w:uiPriority w:val="9"/>
    <w:pPr>
      <w:keepNext/>
      <w:keepLines/>
      <w:spacing w:before="200"/>
      <w:outlineLvl w:val="4"/>
    </w:pPr>
    <w:rPr>
      <w:rFonts w:asciiTheme="majorHAnsi" w:hAnsiTheme="majorHAnsi" w:eastAsiaTheme="majorEastAsia" w:cstheme="majorBidi"/>
      <w:color w:val="243F61" w:themeColor="accent1" w:themeShade="7F"/>
    </w:rPr>
  </w:style>
  <w:style w:type="paragraph" w:styleId="8">
    <w:name w:val="heading 6"/>
    <w:basedOn w:val="1"/>
    <w:next w:val="1"/>
    <w:link w:val="155"/>
    <w:semiHidden/>
    <w:unhideWhenUsed/>
    <w:qFormat/>
    <w:uiPriority w:val="9"/>
    <w:pPr>
      <w:keepNext/>
      <w:keepLines/>
      <w:spacing w:before="200"/>
      <w:outlineLvl w:val="5"/>
    </w:pPr>
    <w:rPr>
      <w:rFonts w:asciiTheme="majorHAnsi" w:hAnsiTheme="majorHAnsi" w:eastAsiaTheme="majorEastAsia" w:cstheme="majorBidi"/>
      <w:i/>
      <w:iCs/>
      <w:color w:val="243F61" w:themeColor="accent1" w:themeShade="7F"/>
    </w:rPr>
  </w:style>
  <w:style w:type="paragraph" w:styleId="9">
    <w:name w:val="heading 7"/>
    <w:basedOn w:val="1"/>
    <w:next w:val="1"/>
    <w:link w:val="156"/>
    <w:semiHidden/>
    <w:unhideWhenUsed/>
    <w:qFormat/>
    <w:uiPriority w:val="9"/>
    <w:pPr>
      <w:keepNext/>
      <w:keepLines/>
      <w:spacing w:before="200"/>
      <w:outlineLvl w:val="6"/>
    </w:pPr>
    <w:rPr>
      <w:rFonts w:asciiTheme="majorHAnsi" w:hAnsiTheme="majorHAnsi" w:eastAsiaTheme="majorEastAsia" w:cstheme="majorBidi"/>
      <w:i/>
      <w:iCs/>
      <w:color w:val="3F3F3F" w:themeColor="text1" w:themeTint="BF"/>
    </w:rPr>
  </w:style>
  <w:style w:type="paragraph" w:styleId="10">
    <w:name w:val="heading 8"/>
    <w:basedOn w:val="1"/>
    <w:next w:val="1"/>
    <w:link w:val="157"/>
    <w:semiHidden/>
    <w:unhideWhenUsed/>
    <w:qFormat/>
    <w:uiPriority w:val="9"/>
    <w:pPr>
      <w:keepNext/>
      <w:keepLines/>
      <w:spacing w:before="200"/>
      <w:outlineLvl w:val="7"/>
    </w:pPr>
    <w:rPr>
      <w:rFonts w:asciiTheme="majorHAnsi" w:hAnsiTheme="majorHAnsi" w:eastAsiaTheme="majorEastAsia" w:cstheme="majorBidi"/>
      <w:color w:val="4F81BD" w:themeColor="accent1"/>
      <w:sz w:val="20"/>
      <w:szCs w:val="20"/>
    </w:rPr>
  </w:style>
  <w:style w:type="paragraph" w:styleId="11">
    <w:name w:val="heading 9"/>
    <w:basedOn w:val="1"/>
    <w:next w:val="1"/>
    <w:link w:val="158"/>
    <w:semiHidden/>
    <w:unhideWhenUsed/>
    <w:qFormat/>
    <w:uiPriority w:val="9"/>
    <w:pPr>
      <w:keepNext/>
      <w:keepLines/>
      <w:spacing w:before="200"/>
      <w:outlineLvl w:val="8"/>
    </w:pPr>
    <w:rPr>
      <w:rFonts w:asciiTheme="majorHAnsi" w:hAnsiTheme="majorHAnsi" w:eastAsiaTheme="majorEastAsia" w:cstheme="majorBidi"/>
      <w:i/>
      <w:iCs/>
      <w:color w:val="3F3F3F" w:themeColor="text1" w:themeTint="BF"/>
      <w:sz w:val="20"/>
      <w:szCs w:val="20"/>
    </w:rPr>
  </w:style>
  <w:style w:type="character" w:default="1" w:styleId="134">
    <w:name w:val="Default Paragraph Font"/>
    <w:semiHidden/>
    <w:unhideWhenUsed/>
    <w:uiPriority w:val="1"/>
  </w:style>
  <w:style w:type="table" w:default="1" w:styleId="34">
    <w:name w:val="Normal Table"/>
    <w:semiHidden/>
    <w:unhideWhenUsed/>
    <w:uiPriority w:val="99"/>
    <w:tblPr>
      <w:tblCellMar>
        <w:top w:w="0" w:type="dxa"/>
        <w:left w:w="108" w:type="dxa"/>
        <w:bottom w:w="0" w:type="dxa"/>
        <w:right w:w="108" w:type="dxa"/>
      </w:tblCellMar>
    </w:tblPr>
  </w:style>
  <w:style w:type="paragraph" w:styleId="2">
    <w:name w:val="macro"/>
    <w:link w:val="150"/>
    <w:unhideWhenUsed/>
    <w:qFormat/>
    <w:uiPriority w:val="99"/>
    <w:pPr>
      <w:widowControl w:val="0"/>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rPr>
  </w:style>
  <w:style w:type="paragraph" w:styleId="16">
    <w:name w:val="List Bullet"/>
    <w:basedOn w:val="1"/>
    <w:unhideWhenUsed/>
    <w:qFormat/>
    <w:uiPriority w:val="99"/>
    <w:pPr>
      <w:numPr>
        <w:ilvl w:val="0"/>
        <w:numId w:val="3"/>
      </w:numPr>
      <w:contextualSpacing/>
    </w:pPr>
  </w:style>
  <w:style w:type="paragraph" w:styleId="17">
    <w:name w:val="annotation text"/>
    <w:basedOn w:val="1"/>
    <w:link w:val="168"/>
    <w:semiHidden/>
    <w:unhideWhenUsed/>
    <w:qFormat/>
    <w:uiPriority w:val="99"/>
  </w:style>
  <w:style w:type="paragraph" w:styleId="18">
    <w:name w:val="Body Text 3"/>
    <w:basedOn w:val="1"/>
    <w:link w:val="149"/>
    <w:unhideWhenUsed/>
    <w:uiPriority w:val="99"/>
    <w:pPr>
      <w:spacing w:after="120"/>
    </w:pPr>
    <w:rPr>
      <w:sz w:val="16"/>
      <w:szCs w:val="16"/>
    </w:rPr>
  </w:style>
  <w:style w:type="paragraph" w:styleId="19">
    <w:name w:val="List Bullet 3"/>
    <w:basedOn w:val="1"/>
    <w:unhideWhenUsed/>
    <w:uiPriority w:val="99"/>
    <w:pPr>
      <w:numPr>
        <w:ilvl w:val="0"/>
        <w:numId w:val="4"/>
      </w:numPr>
      <w:contextualSpacing/>
    </w:pPr>
  </w:style>
  <w:style w:type="paragraph" w:styleId="20">
    <w:name w:val="Body Text"/>
    <w:basedOn w:val="1"/>
    <w:link w:val="147"/>
    <w:unhideWhenUsed/>
    <w:qFormat/>
    <w:uiPriority w:val="99"/>
    <w:pPr>
      <w:spacing w:after="120"/>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footer"/>
    <w:basedOn w:val="1"/>
    <w:link w:val="139"/>
    <w:unhideWhenUsed/>
    <w:qFormat/>
    <w:uiPriority w:val="99"/>
    <w:pPr>
      <w:tabs>
        <w:tab w:val="center" w:pos="4680"/>
        <w:tab w:val="right" w:pos="9360"/>
      </w:tabs>
      <w:spacing w:line="240" w:lineRule="auto"/>
    </w:pPr>
  </w:style>
  <w:style w:type="paragraph" w:styleId="26">
    <w:name w:val="header"/>
    <w:basedOn w:val="1"/>
    <w:link w:val="138"/>
    <w:unhideWhenUsed/>
    <w:qFormat/>
    <w:uiPriority w:val="99"/>
    <w:pPr>
      <w:tabs>
        <w:tab w:val="center" w:pos="4680"/>
        <w:tab w:val="right" w:pos="9360"/>
      </w:tabs>
      <w:spacing w:line="240" w:lineRule="auto"/>
    </w:pPr>
  </w:style>
  <w:style w:type="paragraph" w:styleId="27">
    <w:name w:val="Subtitle"/>
    <w:basedOn w:val="1"/>
    <w:next w:val="1"/>
    <w:link w:val="145"/>
    <w:qFormat/>
    <w:uiPriority w:val="11"/>
    <w:rPr>
      <w:rFonts w:asciiTheme="majorHAnsi" w:hAnsiTheme="majorHAnsi" w:eastAsiaTheme="majorEastAsia" w:cstheme="majorBidi"/>
      <w:i/>
      <w:iCs/>
      <w:color w:val="4F81BD" w:themeColor="accent1"/>
      <w:spacing w:val="15"/>
      <w:sz w:val="24"/>
      <w:szCs w:val="24"/>
    </w:rPr>
  </w:style>
  <w:style w:type="paragraph" w:styleId="28">
    <w:name w:val="List"/>
    <w:basedOn w:val="1"/>
    <w:unhideWhenUsed/>
    <w:qFormat/>
    <w:uiPriority w:val="99"/>
    <w:pPr>
      <w:ind w:left="360" w:hanging="360"/>
      <w:contextualSpacing/>
    </w:pPr>
  </w:style>
  <w:style w:type="paragraph" w:styleId="29">
    <w:name w:val="Body Text 2"/>
    <w:basedOn w:val="1"/>
    <w:link w:val="148"/>
    <w:unhideWhenUsed/>
    <w:uiPriority w:val="99"/>
    <w:pPr>
      <w:spacing w:after="120" w:line="480" w:lineRule="auto"/>
    </w:pPr>
  </w:style>
  <w:style w:type="paragraph" w:styleId="30">
    <w:name w:val="List Continue 2"/>
    <w:basedOn w:val="1"/>
    <w:unhideWhenUsed/>
    <w:qFormat/>
    <w:uiPriority w:val="99"/>
    <w:pPr>
      <w:spacing w:after="120"/>
      <w:ind w:left="720"/>
      <w:contextualSpacing/>
    </w:pPr>
  </w:style>
  <w:style w:type="paragraph" w:styleId="31">
    <w:name w:val="List Continue 3"/>
    <w:basedOn w:val="1"/>
    <w:unhideWhenUsed/>
    <w:uiPriority w:val="99"/>
    <w:pPr>
      <w:spacing w:after="120"/>
      <w:ind w:left="1080"/>
      <w:contextualSpacing/>
    </w:pPr>
  </w:style>
  <w:style w:type="paragraph" w:styleId="32">
    <w:name w:val="Title"/>
    <w:basedOn w:val="1"/>
    <w:next w:val="1"/>
    <w:link w:val="144"/>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paragraph" w:styleId="33">
    <w:name w:val="annotation subject"/>
    <w:basedOn w:val="17"/>
    <w:next w:val="17"/>
    <w:link w:val="169"/>
    <w:semiHidden/>
    <w:unhideWhenUsed/>
    <w:qFormat/>
    <w:uiPriority w:val="99"/>
    <w:rPr>
      <w:b/>
      <w:bCs/>
    </w:rPr>
  </w:style>
  <w:style w:type="table" w:styleId="35">
    <w:name w:val="Table Grid"/>
    <w:basedOn w:val="34"/>
    <w:qFormat/>
    <w:uiPriority w:val="59"/>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6">
    <w:name w:val="Light Shading"/>
    <w:basedOn w:val="34"/>
    <w:uiPriority w:val="60"/>
    <w:pPr>
      <w:widowControl w:val="0"/>
    </w:pPr>
    <w:rPr>
      <w:color w:val="000000" w:themeColor="text1" w:themeShade="BF"/>
    </w:rPr>
    <w:tblPr>
      <w:tblBorders>
        <w:top w:val="single" w:color="000000" w:themeColor="text1" w:sz="8" w:space="0"/>
        <w:bottom w:val="single" w:color="000000" w:themeColor="text1" w:sz="8" w:space="0"/>
      </w:tblBorders>
    </w:tblPr>
    <w:tblStylePr w:type="firstRow">
      <w:pPr>
        <w:widowControl w:val="0"/>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widowControl w:val="0"/>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qFormat/>
    <w:uiPriority w:val="60"/>
    <w:pPr>
      <w:widowControl w:val="0"/>
    </w:pPr>
    <w:rPr>
      <w:color w:val="366091" w:themeColor="accent1" w:themeShade="BF"/>
    </w:rPr>
    <w:tblPr>
      <w:tblBorders>
        <w:top w:val="single" w:color="4F81BD" w:themeColor="accent1" w:sz="8" w:space="0"/>
        <w:bottom w:val="single" w:color="4F81BD" w:themeColor="accent1" w:sz="8" w:space="0"/>
      </w:tblBorders>
    </w:tblPr>
    <w:tblStylePr w:type="firstRow">
      <w:pPr>
        <w:widowControl w:val="0"/>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widowControl w:val="0"/>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qFormat/>
    <w:uiPriority w:val="60"/>
    <w:pPr>
      <w:widowControl w:val="0"/>
    </w:pPr>
    <w:rPr>
      <w:color w:val="943734" w:themeColor="accent2" w:themeShade="BF"/>
    </w:rPr>
    <w:tblPr>
      <w:tblBorders>
        <w:top w:val="single" w:color="C0504D" w:themeColor="accent2" w:sz="8" w:space="0"/>
        <w:bottom w:val="single" w:color="C0504D" w:themeColor="accent2" w:sz="8" w:space="0"/>
      </w:tblBorders>
    </w:tblPr>
    <w:tblStylePr w:type="firstRow">
      <w:pPr>
        <w:widowControl w:val="0"/>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widowControl w:val="0"/>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qFormat/>
    <w:uiPriority w:val="60"/>
    <w:pPr>
      <w:widowControl w:val="0"/>
    </w:pPr>
    <w:rPr>
      <w:color w:val="76923C" w:themeColor="accent3" w:themeShade="BF"/>
    </w:rPr>
    <w:tblPr>
      <w:tblBorders>
        <w:top w:val="single" w:color="9BBB59" w:themeColor="accent3" w:sz="8" w:space="0"/>
        <w:bottom w:val="single" w:color="9BBB59" w:themeColor="accent3" w:sz="8" w:space="0"/>
      </w:tblBorders>
    </w:tblPr>
    <w:tblStylePr w:type="firstRow">
      <w:pPr>
        <w:widowControl w:val="0"/>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widowControl w:val="0"/>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qFormat/>
    <w:uiPriority w:val="60"/>
    <w:pPr>
      <w:widowControl w:val="0"/>
    </w:pPr>
    <w:rPr>
      <w:color w:val="5F497A" w:themeColor="accent4" w:themeShade="BF"/>
    </w:rPr>
    <w:tblPr>
      <w:tblBorders>
        <w:top w:val="single" w:color="8064A2" w:themeColor="accent4" w:sz="8" w:space="0"/>
        <w:bottom w:val="single" w:color="8064A2" w:themeColor="accent4" w:sz="8" w:space="0"/>
      </w:tblBorders>
    </w:tblPr>
    <w:tblStylePr w:type="firstRow">
      <w:pPr>
        <w:widowControl w:val="0"/>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widowControl w:val="0"/>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qFormat/>
    <w:uiPriority w:val="60"/>
    <w:pPr>
      <w:widowControl w:val="0"/>
    </w:pPr>
    <w:rPr>
      <w:color w:val="31849B" w:themeColor="accent5" w:themeShade="BF"/>
    </w:rPr>
    <w:tblPr>
      <w:tblBorders>
        <w:top w:val="single" w:color="4BACC6" w:themeColor="accent5" w:sz="8" w:space="0"/>
        <w:bottom w:val="single" w:color="4BACC6" w:themeColor="accent5" w:sz="8" w:space="0"/>
      </w:tblBorders>
    </w:tblPr>
    <w:tblStylePr w:type="firstRow">
      <w:pPr>
        <w:widowControl w:val="0"/>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widowControl w:val="0"/>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qFormat/>
    <w:uiPriority w:val="60"/>
    <w:pPr>
      <w:widowControl w:val="0"/>
    </w:pPr>
    <w:rPr>
      <w:color w:val="E36C09" w:themeColor="accent6" w:themeShade="BF"/>
    </w:rPr>
    <w:tblPr>
      <w:tblBorders>
        <w:top w:val="single" w:color="F79646" w:themeColor="accent6" w:sz="8" w:space="0"/>
        <w:bottom w:val="single" w:color="F79646" w:themeColor="accent6" w:sz="8" w:space="0"/>
      </w:tblBorders>
    </w:tblPr>
    <w:tblStylePr w:type="firstRow">
      <w:pPr>
        <w:widowControl w:val="0"/>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widowControl w:val="0"/>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qFormat/>
    <w:uiPriority w:val="61"/>
    <w:pPr>
      <w:widowControl w:val="0"/>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widowControl w:val="0"/>
        <w:spacing w:before="0" w:after="0" w:line="240" w:lineRule="auto"/>
      </w:pPr>
      <w:rPr>
        <w:b/>
        <w:bCs/>
        <w:color w:val="FFFFFF" w:themeColor="background1"/>
      </w:rPr>
      <w:tblPr/>
      <w:tcPr>
        <w:shd w:val="clear" w:color="auto" w:fill="000000" w:themeFill="text1"/>
      </w:tcPr>
    </w:tblStylePr>
    <w:tblStylePr w:type="lastRow">
      <w:pPr>
        <w:widowControl w:val="0"/>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qFormat/>
    <w:uiPriority w:val="61"/>
    <w:pPr>
      <w:widowControl w:val="0"/>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widowControl w:val="0"/>
        <w:spacing w:before="0" w:after="0" w:line="240" w:lineRule="auto"/>
      </w:pPr>
      <w:rPr>
        <w:b/>
        <w:bCs/>
        <w:color w:val="FFFFFF" w:themeColor="background1"/>
      </w:rPr>
      <w:tblPr/>
      <w:tcPr>
        <w:shd w:val="clear" w:color="auto" w:fill="4F81BD" w:themeFill="accent1"/>
      </w:tcPr>
    </w:tblStylePr>
    <w:tblStylePr w:type="lastRow">
      <w:pPr>
        <w:widowControl w:val="0"/>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qFormat/>
    <w:uiPriority w:val="61"/>
    <w:pPr>
      <w:widowControl w:val="0"/>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widowControl w:val="0"/>
        <w:spacing w:before="0" w:after="0" w:line="240" w:lineRule="auto"/>
      </w:pPr>
      <w:rPr>
        <w:b/>
        <w:bCs/>
        <w:color w:val="FFFFFF" w:themeColor="background1"/>
      </w:rPr>
      <w:tblPr/>
      <w:tcPr>
        <w:shd w:val="clear" w:color="auto" w:fill="C0504D" w:themeFill="accent2"/>
      </w:tcPr>
    </w:tblStylePr>
    <w:tblStylePr w:type="lastRow">
      <w:pPr>
        <w:widowControl w:val="0"/>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qFormat/>
    <w:uiPriority w:val="61"/>
    <w:pPr>
      <w:widowControl w:val="0"/>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widowControl w:val="0"/>
        <w:spacing w:before="0" w:after="0" w:line="240" w:lineRule="auto"/>
      </w:pPr>
      <w:rPr>
        <w:b/>
        <w:bCs/>
        <w:color w:val="FFFFFF" w:themeColor="background1"/>
      </w:rPr>
      <w:tblPr/>
      <w:tcPr>
        <w:shd w:val="clear" w:color="auto" w:fill="9BBB59" w:themeFill="accent3"/>
      </w:tcPr>
    </w:tblStylePr>
    <w:tblStylePr w:type="lastRow">
      <w:pPr>
        <w:widowControl w:val="0"/>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qFormat/>
    <w:uiPriority w:val="61"/>
    <w:pPr>
      <w:widowControl w:val="0"/>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widowControl w:val="0"/>
        <w:spacing w:before="0" w:after="0" w:line="240" w:lineRule="auto"/>
      </w:pPr>
      <w:rPr>
        <w:b/>
        <w:bCs/>
        <w:color w:val="FFFFFF" w:themeColor="background1"/>
      </w:rPr>
      <w:tblPr/>
      <w:tcPr>
        <w:shd w:val="clear" w:color="auto" w:fill="8064A2" w:themeFill="accent4"/>
      </w:tcPr>
    </w:tblStylePr>
    <w:tblStylePr w:type="lastRow">
      <w:pPr>
        <w:widowControl w:val="0"/>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qFormat/>
    <w:uiPriority w:val="61"/>
    <w:pPr>
      <w:widowControl w:val="0"/>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widowControl w:val="0"/>
        <w:spacing w:before="0" w:after="0" w:line="240" w:lineRule="auto"/>
      </w:pPr>
      <w:rPr>
        <w:b/>
        <w:bCs/>
        <w:color w:val="FFFFFF" w:themeColor="background1"/>
      </w:rPr>
      <w:tblPr/>
      <w:tcPr>
        <w:shd w:val="clear" w:color="auto" w:fill="4BACC6" w:themeFill="accent5"/>
      </w:tcPr>
    </w:tblStylePr>
    <w:tblStylePr w:type="lastRow">
      <w:pPr>
        <w:widowControl w:val="0"/>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qFormat/>
    <w:uiPriority w:val="61"/>
    <w:pPr>
      <w:widowControl w:val="0"/>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widowControl w:val="0"/>
        <w:spacing w:before="0" w:after="0" w:line="240" w:lineRule="auto"/>
      </w:pPr>
      <w:rPr>
        <w:b/>
        <w:bCs/>
        <w:color w:val="FFFFFF" w:themeColor="background1"/>
      </w:rPr>
      <w:tblPr/>
      <w:tcPr>
        <w:shd w:val="clear" w:color="auto" w:fill="F79646" w:themeFill="accent6"/>
      </w:tcPr>
    </w:tblStylePr>
    <w:tblStylePr w:type="lastRow">
      <w:pPr>
        <w:widowControl w:val="0"/>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qFormat/>
    <w:uiPriority w:val="62"/>
    <w:pPr>
      <w:widowControl w:val="0"/>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widowControl w:val="0"/>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widowControl w:val="0"/>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qFormat/>
    <w:uiPriority w:val="62"/>
    <w:pPr>
      <w:widowControl w:val="0"/>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widowControl w:val="0"/>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widowControl w:val="0"/>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qFormat/>
    <w:uiPriority w:val="62"/>
    <w:pPr>
      <w:widowControl w:val="0"/>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widowControl w:val="0"/>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widowControl w:val="0"/>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qFormat/>
    <w:uiPriority w:val="62"/>
    <w:pPr>
      <w:widowControl w:val="0"/>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widowControl w:val="0"/>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widowControl w:val="0"/>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qFormat/>
    <w:uiPriority w:val="62"/>
    <w:pPr>
      <w:widowControl w:val="0"/>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widowControl w:val="0"/>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widowControl w:val="0"/>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qFormat/>
    <w:uiPriority w:val="62"/>
    <w:pPr>
      <w:widowControl w:val="0"/>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widowControl w:val="0"/>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widowControl w:val="0"/>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qFormat/>
    <w:uiPriority w:val="62"/>
    <w:pPr>
      <w:widowControl w:val="0"/>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widowControl w:val="0"/>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widowControl w:val="0"/>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qFormat/>
    <w:uiPriority w:val="63"/>
    <w:pPr>
      <w:widowControl w:val="0"/>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widowControl w:val="0"/>
        <w:spacing w:before="0" w:after="0" w:line="240" w:lineRule="auto"/>
      </w:pPr>
      <w:rPr>
        <w:b/>
        <w:bCs/>
        <w:color w:val="FFFFFF" w:themeColor="background1"/>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widowControl w:val="0"/>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qFormat/>
    <w:uiPriority w:val="63"/>
    <w:pPr>
      <w:widowControl w:val="0"/>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widowControl w:val="0"/>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widowControl w:val="0"/>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qFormat/>
    <w:uiPriority w:val="63"/>
    <w:pPr>
      <w:widowControl w:val="0"/>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widowControl w:val="0"/>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widowControl w:val="0"/>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qFormat/>
    <w:uiPriority w:val="63"/>
    <w:pPr>
      <w:widowControl w:val="0"/>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widowControl w:val="0"/>
        <w:spacing w:before="0" w:after="0" w:line="240" w:lineRule="auto"/>
      </w:pPr>
      <w:rPr>
        <w:b/>
        <w:bCs/>
        <w:color w:val="FFFFFF" w:themeColor="background1"/>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widowControl w:val="0"/>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qFormat/>
    <w:uiPriority w:val="63"/>
    <w:pPr>
      <w:widowControl w:val="0"/>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widowControl w:val="0"/>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widowControl w:val="0"/>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qFormat/>
    <w:uiPriority w:val="63"/>
    <w:pPr>
      <w:widowControl w:val="0"/>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widowControl w:val="0"/>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widowControl w:val="0"/>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qFormat/>
    <w:uiPriority w:val="63"/>
    <w:pPr>
      <w:widowControl w:val="0"/>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widowControl w:val="0"/>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widowControl w:val="0"/>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qFormat/>
    <w:uiPriority w:val="64"/>
    <w:pPr>
      <w:widowControl w:val="0"/>
    </w:pPr>
    <w:tblPr>
      <w:tblBorders>
        <w:top w:val="single" w:color="auto" w:sz="18" w:space="0"/>
        <w:bottom w:val="single" w:color="auto" w:sz="18" w:space="0"/>
      </w:tblBorders>
    </w:tblPr>
    <w:tblStylePr w:type="firstRow">
      <w:pPr>
        <w:widowControl w:val="0"/>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widowControl w:val="0"/>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qFormat/>
    <w:uiPriority w:val="64"/>
    <w:pPr>
      <w:widowControl w:val="0"/>
    </w:pPr>
    <w:tblPr>
      <w:tblBorders>
        <w:top w:val="single" w:color="auto" w:sz="18" w:space="0"/>
        <w:bottom w:val="single" w:color="auto" w:sz="18" w:space="0"/>
      </w:tblBorders>
    </w:tblPr>
    <w:tblStylePr w:type="firstRow">
      <w:pPr>
        <w:widowControl w:val="0"/>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widowControl w:val="0"/>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qFormat/>
    <w:uiPriority w:val="64"/>
    <w:pPr>
      <w:widowControl w:val="0"/>
    </w:pPr>
    <w:tblPr>
      <w:tblBorders>
        <w:top w:val="single" w:color="auto" w:sz="18" w:space="0"/>
        <w:bottom w:val="single" w:color="auto" w:sz="18" w:space="0"/>
      </w:tblBorders>
    </w:tblPr>
    <w:tblStylePr w:type="firstRow">
      <w:pPr>
        <w:widowControl w:val="0"/>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widowControl w:val="0"/>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qFormat/>
    <w:uiPriority w:val="64"/>
    <w:pPr>
      <w:widowControl w:val="0"/>
    </w:pPr>
    <w:tblPr>
      <w:tblBorders>
        <w:top w:val="single" w:color="auto" w:sz="18" w:space="0"/>
        <w:bottom w:val="single" w:color="auto" w:sz="18" w:space="0"/>
      </w:tblBorders>
    </w:tblPr>
    <w:tblStylePr w:type="firstRow">
      <w:pPr>
        <w:widowControl w:val="0"/>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widowControl w:val="0"/>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qFormat/>
    <w:uiPriority w:val="64"/>
    <w:pPr>
      <w:widowControl w:val="0"/>
    </w:pPr>
    <w:tblPr>
      <w:tblBorders>
        <w:top w:val="single" w:color="auto" w:sz="18" w:space="0"/>
        <w:bottom w:val="single" w:color="auto" w:sz="18" w:space="0"/>
      </w:tblBorders>
    </w:tblPr>
    <w:tblStylePr w:type="firstRow">
      <w:pPr>
        <w:widowControl w:val="0"/>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widowControl w:val="0"/>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qFormat/>
    <w:uiPriority w:val="64"/>
    <w:pPr>
      <w:widowControl w:val="0"/>
    </w:pPr>
    <w:tblPr>
      <w:tblBorders>
        <w:top w:val="single" w:color="auto" w:sz="18" w:space="0"/>
        <w:bottom w:val="single" w:color="auto" w:sz="18" w:space="0"/>
      </w:tblBorders>
    </w:tblPr>
    <w:tblStylePr w:type="firstRow">
      <w:pPr>
        <w:widowControl w:val="0"/>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widowControl w:val="0"/>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qFormat/>
    <w:uiPriority w:val="64"/>
    <w:pPr>
      <w:widowControl w:val="0"/>
    </w:pPr>
    <w:tblPr>
      <w:tblBorders>
        <w:top w:val="single" w:color="auto" w:sz="18" w:space="0"/>
        <w:bottom w:val="single" w:color="auto" w:sz="18" w:space="0"/>
      </w:tblBorders>
    </w:tblPr>
    <w:tblStylePr w:type="firstRow">
      <w:pPr>
        <w:widowControl w:val="0"/>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widowControl w:val="0"/>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uiPriority w:val="65"/>
    <w:pPr>
      <w:widowControl w:val="0"/>
    </w:pPr>
    <w:rPr>
      <w:color w:val="000000" w:themeColor="text1"/>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uiPriority w:val="65"/>
    <w:pPr>
      <w:widowControl w:val="0"/>
    </w:pPr>
    <w:rPr>
      <w:color w:val="000000" w:themeColor="text1"/>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uiPriority w:val="65"/>
    <w:pPr>
      <w:widowControl w:val="0"/>
    </w:pPr>
    <w:rPr>
      <w:color w:val="000000" w:themeColor="text1"/>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qFormat/>
    <w:uiPriority w:val="65"/>
    <w:pPr>
      <w:widowControl w:val="0"/>
    </w:pPr>
    <w:rPr>
      <w:color w:val="000000" w:themeColor="text1"/>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uiPriority w:val="65"/>
    <w:pPr>
      <w:widowControl w:val="0"/>
    </w:pPr>
    <w:rPr>
      <w:color w:val="000000" w:themeColor="text1"/>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qFormat/>
    <w:uiPriority w:val="65"/>
    <w:pPr>
      <w:widowControl w:val="0"/>
    </w:pPr>
    <w:rPr>
      <w:color w:val="000000" w:themeColor="text1"/>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qFormat/>
    <w:uiPriority w:val="65"/>
    <w:pPr>
      <w:widowControl w:val="0"/>
    </w:pPr>
    <w:rPr>
      <w:color w:val="000000" w:themeColor="text1"/>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uiPriority w:val="66"/>
    <w:pPr>
      <w:widowControl w:val="0"/>
    </w:pPr>
    <w:rPr>
      <w:rFonts w:asciiTheme="majorHAnsi" w:hAnsiTheme="majorHAnsi" w:eastAsiaTheme="majorEastAsia" w:cstheme="majorBidi"/>
      <w:color w:val="000000" w:themeColor="text1"/>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uiPriority w:val="66"/>
    <w:pPr>
      <w:widowControl w:val="0"/>
    </w:pPr>
    <w:rPr>
      <w:rFonts w:asciiTheme="majorHAnsi" w:hAnsiTheme="majorHAnsi" w:eastAsiaTheme="majorEastAsia" w:cstheme="majorBidi"/>
      <w:color w:val="000000" w:themeColor="text1"/>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uiPriority w:val="66"/>
    <w:pPr>
      <w:widowControl w:val="0"/>
    </w:pPr>
    <w:rPr>
      <w:rFonts w:asciiTheme="majorHAnsi" w:hAnsiTheme="majorHAnsi" w:eastAsiaTheme="majorEastAsia" w:cstheme="majorBidi"/>
      <w:color w:val="000000" w:themeColor="text1"/>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uiPriority w:val="66"/>
    <w:pPr>
      <w:widowControl w:val="0"/>
    </w:pPr>
    <w:rPr>
      <w:rFonts w:asciiTheme="majorHAnsi" w:hAnsiTheme="majorHAnsi" w:eastAsiaTheme="majorEastAsia" w:cstheme="majorBidi"/>
      <w:color w:val="000000" w:themeColor="text1"/>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uiPriority w:val="66"/>
    <w:pPr>
      <w:widowControl w:val="0"/>
    </w:pPr>
    <w:rPr>
      <w:rFonts w:asciiTheme="majorHAnsi" w:hAnsiTheme="majorHAnsi" w:eastAsiaTheme="majorEastAsia" w:cstheme="majorBidi"/>
      <w:color w:val="000000" w:themeColor="text1"/>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uiPriority w:val="66"/>
    <w:pPr>
      <w:widowControl w:val="0"/>
    </w:pPr>
    <w:rPr>
      <w:rFonts w:asciiTheme="majorHAnsi" w:hAnsiTheme="majorHAnsi" w:eastAsiaTheme="majorEastAsia" w:cstheme="majorBidi"/>
      <w:color w:val="000000" w:themeColor="text1"/>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uiPriority w:val="66"/>
    <w:pPr>
      <w:widowControl w:val="0"/>
    </w:pPr>
    <w:rPr>
      <w:rFonts w:asciiTheme="majorHAnsi" w:hAnsiTheme="majorHAnsi" w:eastAsiaTheme="majorEastAsia" w:cstheme="majorBidi"/>
      <w:color w:val="000000" w:themeColor="text1"/>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uiPriority w:val="67"/>
    <w:pPr>
      <w:widowControl w:val="0"/>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qFormat/>
    <w:uiPriority w:val="67"/>
    <w:pPr>
      <w:widowControl w:val="0"/>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uiPriority w:val="67"/>
    <w:pPr>
      <w:widowControl w:val="0"/>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qFormat/>
    <w:uiPriority w:val="67"/>
    <w:pPr>
      <w:widowControl w:val="0"/>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uiPriority w:val="67"/>
    <w:pPr>
      <w:widowControl w:val="0"/>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uiPriority w:val="67"/>
    <w:pPr>
      <w:widowControl w:val="0"/>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uiPriority w:val="67"/>
    <w:pPr>
      <w:widowControl w:val="0"/>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uiPriority w:val="68"/>
    <w:pPr>
      <w:widowControl w:val="0"/>
    </w:pPr>
    <w:rPr>
      <w:rFonts w:asciiTheme="majorHAnsi" w:hAnsiTheme="majorHAnsi" w:eastAsiaTheme="majorEastAsia" w:cstheme="majorBidi"/>
      <w:color w:val="000000" w:themeColor="text1"/>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rPr>
      <w:tblPr/>
      <w:tcPr>
        <w:shd w:val="clear" w:color="auto" w:fill="E5E5E5"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qFormat/>
    <w:uiPriority w:val="68"/>
    <w:pPr>
      <w:widowControl w:val="0"/>
    </w:pPr>
    <w:rPr>
      <w:rFonts w:asciiTheme="majorHAnsi" w:hAnsiTheme="majorHAnsi" w:eastAsiaTheme="majorEastAsia" w:cstheme="majorBidi"/>
      <w:color w:val="000000" w:themeColor="text1"/>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uiPriority w:val="68"/>
    <w:pPr>
      <w:widowControl w:val="0"/>
    </w:pPr>
    <w:rPr>
      <w:rFonts w:asciiTheme="majorHAnsi" w:hAnsiTheme="majorHAnsi" w:eastAsiaTheme="majorEastAsia" w:cstheme="majorBidi"/>
      <w:color w:val="000000" w:themeColor="text1"/>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uiPriority w:val="68"/>
    <w:pPr>
      <w:widowControl w:val="0"/>
    </w:pPr>
    <w:rPr>
      <w:rFonts w:asciiTheme="majorHAnsi" w:hAnsiTheme="majorHAnsi" w:eastAsiaTheme="majorEastAsia" w:cstheme="majorBidi"/>
      <w:color w:val="000000" w:themeColor="text1"/>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qFormat/>
    <w:uiPriority w:val="68"/>
    <w:pPr>
      <w:widowControl w:val="0"/>
    </w:pPr>
    <w:rPr>
      <w:rFonts w:asciiTheme="majorHAnsi" w:hAnsiTheme="majorHAnsi" w:eastAsiaTheme="majorEastAsia" w:cstheme="majorBidi"/>
      <w:color w:val="000000" w:themeColor="text1"/>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5"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uiPriority w:val="68"/>
    <w:pPr>
      <w:widowControl w:val="0"/>
    </w:pPr>
    <w:rPr>
      <w:rFonts w:asciiTheme="majorHAnsi" w:hAnsiTheme="majorHAnsi" w:eastAsiaTheme="majorEastAsia" w:cstheme="majorBidi"/>
      <w:color w:val="000000" w:themeColor="text1"/>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uiPriority w:val="68"/>
    <w:pPr>
      <w:widowControl w:val="0"/>
    </w:pPr>
    <w:rPr>
      <w:rFonts w:asciiTheme="majorHAnsi" w:hAnsiTheme="majorHAnsi" w:eastAsiaTheme="majorEastAsia" w:cstheme="majorBidi"/>
      <w:color w:val="000000" w:themeColor="text1"/>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uiPriority w:val="69"/>
    <w:pPr>
      <w:widowControl w:val="0"/>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uiPriority w:val="69"/>
    <w:pPr>
      <w:widowControl w:val="0"/>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uiPriority w:val="69"/>
    <w:pPr>
      <w:widowControl w:val="0"/>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uiPriority w:val="69"/>
    <w:pPr>
      <w:widowControl w:val="0"/>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uiPriority w:val="69"/>
    <w:pPr>
      <w:widowControl w:val="0"/>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uiPriority w:val="69"/>
    <w:pPr>
      <w:widowControl w:val="0"/>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uiPriority w:val="69"/>
    <w:pPr>
      <w:widowControl w:val="0"/>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qFormat/>
    <w:uiPriority w:val="70"/>
    <w:pPr>
      <w:widowControl w:val="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qFormat/>
    <w:uiPriority w:val="70"/>
    <w:pPr>
      <w:widowControl w:val="0"/>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uiPriority w:val="70"/>
    <w:pPr>
      <w:widowControl w:val="0"/>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uiPriority w:val="70"/>
    <w:pPr>
      <w:widowControl w:val="0"/>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uiPriority w:val="70"/>
    <w:pPr>
      <w:widowControl w:val="0"/>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uiPriority w:val="70"/>
    <w:pPr>
      <w:widowControl w:val="0"/>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uiPriority w:val="70"/>
    <w:pPr>
      <w:widowControl w:val="0"/>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uiPriority w:val="71"/>
    <w:pPr>
      <w:widowControl w:val="0"/>
    </w:pPr>
    <w:rPr>
      <w:color w:val="000000" w:themeColor="text1"/>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rPr>
    </w:tblStylePr>
    <w:tblStylePr w:type="nwCell">
      <w:rPr>
        <w:color w:val="000000" w:themeColor="text1"/>
      </w:rPr>
    </w:tblStylePr>
  </w:style>
  <w:style w:type="table" w:styleId="114">
    <w:name w:val="Colorful Shading Accent 1"/>
    <w:basedOn w:val="34"/>
    <w:uiPriority w:val="71"/>
    <w:pPr>
      <w:widowControl w:val="0"/>
    </w:pPr>
    <w:rPr>
      <w:color w:val="000000" w:themeColor="text1"/>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B4D74" w:themeFill="accent1"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rPr>
    </w:tblStylePr>
    <w:tblStylePr w:type="nwCell">
      <w:rPr>
        <w:color w:val="000000" w:themeColor="text1"/>
      </w:rPr>
    </w:tblStylePr>
  </w:style>
  <w:style w:type="table" w:styleId="115">
    <w:name w:val="Colorful Shading Accent 2"/>
    <w:basedOn w:val="34"/>
    <w:uiPriority w:val="71"/>
    <w:pPr>
      <w:widowControl w:val="0"/>
    </w:pPr>
    <w:rPr>
      <w:color w:val="000000" w:themeColor="text1"/>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16">
    <w:name w:val="Colorful Shading Accent 3"/>
    <w:basedOn w:val="34"/>
    <w:qFormat/>
    <w:uiPriority w:val="71"/>
    <w:pPr>
      <w:widowControl w:val="0"/>
    </w:pPr>
    <w:rPr>
      <w:color w:val="000000" w:themeColor="text1"/>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qFormat/>
    <w:uiPriority w:val="71"/>
    <w:pPr>
      <w:widowControl w:val="0"/>
    </w:pPr>
    <w:rPr>
      <w:color w:val="000000" w:themeColor="text1"/>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A62" w:themeFill="accent4"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18">
    <w:name w:val="Colorful Shading Accent 5"/>
    <w:basedOn w:val="34"/>
    <w:qFormat/>
    <w:uiPriority w:val="71"/>
    <w:pPr>
      <w:widowControl w:val="0"/>
    </w:pPr>
    <w:rPr>
      <w:color w:val="000000" w:themeColor="text1"/>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19">
    <w:name w:val="Colorful Shading Accent 6"/>
    <w:basedOn w:val="34"/>
    <w:uiPriority w:val="71"/>
    <w:pPr>
      <w:widowControl w:val="0"/>
    </w:pPr>
    <w:rPr>
      <w:color w:val="000000" w:themeColor="text1"/>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7" w:themeFill="accent6"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20">
    <w:name w:val="Colorful List"/>
    <w:basedOn w:val="34"/>
    <w:qFormat/>
    <w:uiPriority w:val="72"/>
    <w:pPr>
      <w:widowControl w:val="0"/>
    </w:pPr>
    <w:rPr>
      <w:color w:val="000000" w:themeColor="text1"/>
    </w:rPr>
    <w:tblPr>
      <w:tblStyleRowBandSize w:val="1"/>
      <w:tblStyleColBandSize w:val="1"/>
    </w:tblPr>
    <w:tcPr>
      <w:shd w:val="clear" w:color="auto" w:fill="E5E5E5"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uiPriority w:val="72"/>
    <w:pPr>
      <w:widowControl w:val="0"/>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uiPriority w:val="72"/>
    <w:pPr>
      <w:widowControl w:val="0"/>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uiPriority w:val="72"/>
    <w:pPr>
      <w:widowControl w:val="0"/>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uiPriority w:val="72"/>
    <w:pPr>
      <w:widowControl w:val="0"/>
    </w:pPr>
    <w:rPr>
      <w:color w:val="000000" w:themeColor="text1"/>
    </w:rPr>
    <w:tblPr>
      <w:tblStyleRowBandSize w:val="1"/>
      <w:tblStyleColBandSize w:val="1"/>
    </w:tblPr>
    <w:tcPr>
      <w:shd w:val="clear" w:color="auto" w:fill="F2EFF5"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uiPriority w:val="72"/>
    <w:pPr>
      <w:widowControl w:val="0"/>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3730A" w:themeFill="accent6" w:themeFillShade="CC"/>
      </w:tcPr>
    </w:tblStylePr>
    <w:tblStylePr w:type="lastRow">
      <w:rPr>
        <w:b/>
        <w:bCs/>
        <w:color w:val="F3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uiPriority w:val="72"/>
    <w:pPr>
      <w:widowControl w:val="0"/>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uiPriority w:val="73"/>
    <w:pPr>
      <w:widowControl w:val="0"/>
    </w:pPr>
    <w:rPr>
      <w:color w:val="000000" w:themeColor="text1"/>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uiPriority w:val="73"/>
    <w:pPr>
      <w:widowControl w:val="0"/>
    </w:pPr>
    <w:rPr>
      <w:color w:val="000000" w:themeColor="text1"/>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6091" w:themeFill="accent1" w:themeFillShade="BF"/>
      </w:tcPr>
    </w:tblStylePr>
    <w:tblStylePr w:type="lastCol">
      <w:rPr>
        <w:color w:val="FFFFFF" w:themeColor="background1"/>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uiPriority w:val="73"/>
    <w:pPr>
      <w:widowControl w:val="0"/>
    </w:pPr>
    <w:rPr>
      <w:color w:val="000000" w:themeColor="text1"/>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734" w:themeFill="accent2" w:themeFillShade="BF"/>
      </w:tcPr>
    </w:tblStylePr>
    <w:tblStylePr w:type="lastCol">
      <w:rPr>
        <w:color w:val="FFFFFF" w:themeColor="background1"/>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uiPriority w:val="73"/>
    <w:pPr>
      <w:widowControl w:val="0"/>
    </w:pPr>
    <w:rPr>
      <w:color w:val="000000" w:themeColor="text1"/>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uiPriority w:val="73"/>
    <w:pPr>
      <w:widowControl w:val="0"/>
    </w:pPr>
    <w:rPr>
      <w:color w:val="000000" w:themeColor="text1"/>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uiPriority w:val="73"/>
    <w:pPr>
      <w:widowControl w:val="0"/>
    </w:pPr>
    <w:rPr>
      <w:color w:val="000000" w:themeColor="text1"/>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uiPriority w:val="73"/>
    <w:pPr>
      <w:widowControl w:val="0"/>
    </w:pPr>
    <w:rPr>
      <w:color w:val="000000" w:themeColor="text1"/>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9" w:themeFill="accent6" w:themeFillShade="BF"/>
      </w:tcPr>
    </w:tblStylePr>
    <w:tblStylePr w:type="lastCol">
      <w:rPr>
        <w:color w:val="FFFFFF" w:themeColor="background1"/>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styleId="137">
    <w:name w:val="annotation reference"/>
    <w:basedOn w:val="134"/>
    <w:semiHidden/>
    <w:unhideWhenUsed/>
    <w:uiPriority w:val="99"/>
    <w:rPr>
      <w:sz w:val="21"/>
      <w:szCs w:val="21"/>
    </w:rPr>
  </w:style>
  <w:style w:type="character" w:customStyle="1" w:styleId="138">
    <w:name w:val="页眉 字符"/>
    <w:basedOn w:val="134"/>
    <w:link w:val="26"/>
    <w:uiPriority w:val="99"/>
  </w:style>
  <w:style w:type="character" w:customStyle="1" w:styleId="139">
    <w:name w:val="页脚 字符"/>
    <w:basedOn w:val="134"/>
    <w:link w:val="25"/>
    <w:uiPriority w:val="99"/>
  </w:style>
  <w:style w:type="paragraph" w:styleId="140">
    <w:name w:val="No Spacing"/>
    <w:qFormat/>
    <w:uiPriority w:val="1"/>
    <w:pPr>
      <w:widowControl w:val="0"/>
    </w:pPr>
    <w:rPr>
      <w:rFonts w:asciiTheme="minorHAnsi" w:hAnsiTheme="minorHAnsi" w:eastAsiaTheme="minorEastAsia" w:cstheme="minorBidi"/>
      <w:sz w:val="22"/>
      <w:szCs w:val="22"/>
      <w:lang w:val="en-US" w:eastAsia="en-US" w:bidi="ar-SA"/>
    </w:rPr>
  </w:style>
  <w:style w:type="character" w:customStyle="1" w:styleId="141">
    <w:name w:val="标题 1 字符"/>
    <w:basedOn w:val="134"/>
    <w:link w:val="3"/>
    <w:uiPriority w:val="9"/>
    <w:rPr>
      <w:rFonts w:asciiTheme="majorHAnsi" w:hAnsiTheme="majorHAnsi" w:eastAsiaTheme="majorEastAsia" w:cstheme="majorBidi"/>
      <w:b/>
      <w:bCs/>
      <w:color w:val="366091" w:themeColor="accent1" w:themeShade="BF"/>
      <w:sz w:val="28"/>
      <w:szCs w:val="28"/>
    </w:rPr>
  </w:style>
  <w:style w:type="character" w:customStyle="1" w:styleId="142">
    <w:name w:val="标题 2 字符"/>
    <w:basedOn w:val="134"/>
    <w:link w:val="4"/>
    <w:uiPriority w:val="9"/>
    <w:rPr>
      <w:rFonts w:asciiTheme="majorHAnsi" w:hAnsiTheme="majorHAnsi" w:eastAsiaTheme="majorEastAsia" w:cstheme="majorBidi"/>
      <w:b/>
      <w:bCs/>
      <w:color w:val="4F81BD" w:themeColor="accent1"/>
      <w:sz w:val="26"/>
      <w:szCs w:val="26"/>
    </w:rPr>
  </w:style>
  <w:style w:type="character" w:customStyle="1" w:styleId="143">
    <w:name w:val="标题 3 字符"/>
    <w:basedOn w:val="134"/>
    <w:link w:val="5"/>
    <w:uiPriority w:val="9"/>
    <w:rPr>
      <w:rFonts w:asciiTheme="majorHAnsi" w:hAnsiTheme="majorHAnsi" w:eastAsiaTheme="majorEastAsia" w:cstheme="majorBidi"/>
      <w:b/>
      <w:bCs/>
      <w:color w:val="4F81BD" w:themeColor="accent1"/>
    </w:rPr>
  </w:style>
  <w:style w:type="character" w:customStyle="1" w:styleId="144">
    <w:name w:val="标题 字符"/>
    <w:basedOn w:val="134"/>
    <w:link w:val="32"/>
    <w:uiPriority w:val="10"/>
    <w:rPr>
      <w:rFonts w:asciiTheme="majorHAnsi" w:hAnsiTheme="majorHAnsi" w:eastAsiaTheme="majorEastAsia" w:cstheme="majorBidi"/>
      <w:color w:val="17365D" w:themeColor="text2" w:themeShade="BF"/>
      <w:spacing w:val="5"/>
      <w:kern w:val="28"/>
      <w:sz w:val="52"/>
      <w:szCs w:val="52"/>
    </w:rPr>
  </w:style>
  <w:style w:type="character" w:customStyle="1" w:styleId="145">
    <w:name w:val="副标题 字符"/>
    <w:basedOn w:val="134"/>
    <w:link w:val="27"/>
    <w:uiPriority w:val="11"/>
    <w:rPr>
      <w:rFonts w:asciiTheme="majorHAnsi" w:hAnsiTheme="majorHAnsi" w:eastAsiaTheme="majorEastAsia" w:cstheme="majorBidi"/>
      <w:i/>
      <w:iCs/>
      <w:color w:val="4F81BD" w:themeColor="accent1"/>
      <w:spacing w:val="15"/>
      <w:sz w:val="24"/>
      <w:szCs w:val="24"/>
    </w:rPr>
  </w:style>
  <w:style w:type="paragraph" w:styleId="146">
    <w:name w:val="List Paragraph"/>
    <w:basedOn w:val="1"/>
    <w:qFormat/>
    <w:uiPriority w:val="34"/>
    <w:pPr>
      <w:ind w:left="720"/>
      <w:contextualSpacing/>
    </w:pPr>
  </w:style>
  <w:style w:type="character" w:customStyle="1" w:styleId="147">
    <w:name w:val="正文文本 字符"/>
    <w:basedOn w:val="134"/>
    <w:link w:val="20"/>
    <w:uiPriority w:val="99"/>
  </w:style>
  <w:style w:type="character" w:customStyle="1" w:styleId="148">
    <w:name w:val="正文文本 2 字符"/>
    <w:basedOn w:val="134"/>
    <w:link w:val="29"/>
    <w:qFormat/>
    <w:uiPriority w:val="99"/>
  </w:style>
  <w:style w:type="character" w:customStyle="1" w:styleId="149">
    <w:name w:val="正文文本 3 字符"/>
    <w:basedOn w:val="134"/>
    <w:link w:val="18"/>
    <w:qFormat/>
    <w:uiPriority w:val="99"/>
    <w:rPr>
      <w:sz w:val="16"/>
      <w:szCs w:val="16"/>
    </w:rPr>
  </w:style>
  <w:style w:type="character" w:customStyle="1" w:styleId="150">
    <w:name w:val="宏文本 字符"/>
    <w:basedOn w:val="134"/>
    <w:link w:val="2"/>
    <w:uiPriority w:val="99"/>
    <w:rPr>
      <w:rFonts w:ascii="Courier" w:hAnsi="Courier"/>
      <w:sz w:val="20"/>
      <w:szCs w:val="20"/>
    </w:rPr>
  </w:style>
  <w:style w:type="paragraph" w:styleId="151">
    <w:name w:val="Quote"/>
    <w:basedOn w:val="1"/>
    <w:next w:val="1"/>
    <w:link w:val="152"/>
    <w:qFormat/>
    <w:uiPriority w:val="29"/>
    <w:rPr>
      <w:i/>
      <w:iCs/>
      <w:color w:val="000000" w:themeColor="text1"/>
    </w:rPr>
  </w:style>
  <w:style w:type="character" w:customStyle="1" w:styleId="152">
    <w:name w:val="引用 字符"/>
    <w:basedOn w:val="134"/>
    <w:link w:val="151"/>
    <w:qFormat/>
    <w:uiPriority w:val="29"/>
    <w:rPr>
      <w:i/>
      <w:iCs/>
      <w:color w:val="000000" w:themeColor="text1"/>
    </w:rPr>
  </w:style>
  <w:style w:type="character" w:customStyle="1" w:styleId="153">
    <w:name w:val="标题 4 字符"/>
    <w:basedOn w:val="134"/>
    <w:link w:val="6"/>
    <w:semiHidden/>
    <w:uiPriority w:val="9"/>
    <w:rPr>
      <w:rFonts w:asciiTheme="majorHAnsi" w:hAnsiTheme="majorHAnsi" w:eastAsiaTheme="majorEastAsia" w:cstheme="majorBidi"/>
      <w:b/>
      <w:bCs/>
      <w:i/>
      <w:iCs/>
      <w:color w:val="4F81BD" w:themeColor="accent1"/>
    </w:rPr>
  </w:style>
  <w:style w:type="character" w:customStyle="1" w:styleId="154">
    <w:name w:val="标题 5 字符"/>
    <w:basedOn w:val="134"/>
    <w:link w:val="7"/>
    <w:semiHidden/>
    <w:uiPriority w:val="9"/>
    <w:rPr>
      <w:rFonts w:asciiTheme="majorHAnsi" w:hAnsiTheme="majorHAnsi" w:eastAsiaTheme="majorEastAsia" w:cstheme="majorBidi"/>
      <w:color w:val="243F61" w:themeColor="accent1" w:themeShade="7F"/>
    </w:rPr>
  </w:style>
  <w:style w:type="character" w:customStyle="1" w:styleId="155">
    <w:name w:val="标题 6 字符"/>
    <w:basedOn w:val="134"/>
    <w:link w:val="8"/>
    <w:semiHidden/>
    <w:uiPriority w:val="9"/>
    <w:rPr>
      <w:rFonts w:asciiTheme="majorHAnsi" w:hAnsiTheme="majorHAnsi" w:eastAsiaTheme="majorEastAsia" w:cstheme="majorBidi"/>
      <w:i/>
      <w:iCs/>
      <w:color w:val="243F61" w:themeColor="accent1" w:themeShade="7F"/>
    </w:rPr>
  </w:style>
  <w:style w:type="character" w:customStyle="1" w:styleId="156">
    <w:name w:val="标题 7 字符"/>
    <w:basedOn w:val="134"/>
    <w:link w:val="9"/>
    <w:semiHidden/>
    <w:uiPriority w:val="9"/>
    <w:rPr>
      <w:rFonts w:asciiTheme="majorHAnsi" w:hAnsiTheme="majorHAnsi" w:eastAsiaTheme="majorEastAsia" w:cstheme="majorBidi"/>
      <w:i/>
      <w:iCs/>
      <w:color w:val="3F3F3F" w:themeColor="text1" w:themeTint="BF"/>
    </w:rPr>
  </w:style>
  <w:style w:type="character" w:customStyle="1" w:styleId="157">
    <w:name w:val="标题 8 字符"/>
    <w:basedOn w:val="134"/>
    <w:link w:val="10"/>
    <w:semiHidden/>
    <w:uiPriority w:val="9"/>
    <w:rPr>
      <w:rFonts w:asciiTheme="majorHAnsi" w:hAnsiTheme="majorHAnsi" w:eastAsiaTheme="majorEastAsia" w:cstheme="majorBidi"/>
      <w:color w:val="4F81BD" w:themeColor="accent1"/>
      <w:sz w:val="20"/>
      <w:szCs w:val="20"/>
    </w:rPr>
  </w:style>
  <w:style w:type="character" w:customStyle="1" w:styleId="158">
    <w:name w:val="标题 9 字符"/>
    <w:basedOn w:val="134"/>
    <w:link w:val="11"/>
    <w:semiHidden/>
    <w:uiPriority w:val="9"/>
    <w:rPr>
      <w:rFonts w:asciiTheme="majorHAnsi" w:hAnsiTheme="majorHAnsi" w:eastAsiaTheme="majorEastAsia" w:cstheme="majorBidi"/>
      <w:i/>
      <w:iCs/>
      <w:color w:val="3F3F3F" w:themeColor="text1" w:themeTint="BF"/>
      <w:sz w:val="20"/>
      <w:szCs w:val="20"/>
    </w:rPr>
  </w:style>
  <w:style w:type="paragraph" w:styleId="159">
    <w:name w:val="Intense Quote"/>
    <w:basedOn w:val="1"/>
    <w:next w:val="1"/>
    <w:link w:val="160"/>
    <w:qFormat/>
    <w:uiPriority w:val="30"/>
    <w:pPr>
      <w:pBdr>
        <w:bottom w:val="single" w:color="4F81BD" w:themeColor="accent1" w:sz="4" w:space="4"/>
      </w:pBdr>
      <w:spacing w:before="200" w:after="280"/>
      <w:ind w:left="936" w:right="936"/>
    </w:pPr>
    <w:rPr>
      <w:b/>
      <w:bCs/>
      <w:i/>
      <w:iCs/>
      <w:color w:val="4F81BD" w:themeColor="accent1"/>
    </w:rPr>
  </w:style>
  <w:style w:type="character" w:customStyle="1" w:styleId="160">
    <w:name w:val="明显引用 字符"/>
    <w:basedOn w:val="134"/>
    <w:link w:val="159"/>
    <w:uiPriority w:val="30"/>
    <w:rPr>
      <w:b/>
      <w:bCs/>
      <w:i/>
      <w:iCs/>
      <w:color w:val="4F81BD" w:themeColor="accent1"/>
    </w:rPr>
  </w:style>
  <w:style w:type="character" w:customStyle="1" w:styleId="161">
    <w:name w:val="不明显强调1"/>
    <w:basedOn w:val="134"/>
    <w:qFormat/>
    <w:uiPriority w:val="19"/>
    <w:rPr>
      <w:i/>
      <w:iCs/>
      <w:color w:val="7F7F7F" w:themeColor="text1" w:themeTint="7F"/>
    </w:rPr>
  </w:style>
  <w:style w:type="character" w:customStyle="1" w:styleId="162">
    <w:name w:val="明显强调1"/>
    <w:basedOn w:val="134"/>
    <w:qFormat/>
    <w:uiPriority w:val="21"/>
    <w:rPr>
      <w:b/>
      <w:bCs/>
      <w:i/>
      <w:iCs/>
      <w:color w:val="4F81BD" w:themeColor="accent1"/>
    </w:rPr>
  </w:style>
  <w:style w:type="character" w:customStyle="1" w:styleId="163">
    <w:name w:val="不明显参考1"/>
    <w:basedOn w:val="134"/>
    <w:qFormat/>
    <w:uiPriority w:val="31"/>
    <w:rPr>
      <w:smallCaps/>
      <w:color w:val="C0504D" w:themeColor="accent2"/>
      <w:u w:val="single"/>
    </w:rPr>
  </w:style>
  <w:style w:type="character" w:customStyle="1" w:styleId="164">
    <w:name w:val="明显参考1"/>
    <w:basedOn w:val="134"/>
    <w:qFormat/>
    <w:uiPriority w:val="32"/>
    <w:rPr>
      <w:b/>
      <w:bCs/>
      <w:smallCaps/>
      <w:color w:val="C0504D" w:themeColor="accent2"/>
      <w:spacing w:val="5"/>
      <w:u w:val="single"/>
    </w:rPr>
  </w:style>
  <w:style w:type="character" w:customStyle="1" w:styleId="165">
    <w:name w:val="书籍标题1"/>
    <w:basedOn w:val="134"/>
    <w:qFormat/>
    <w:uiPriority w:val="33"/>
    <w:rPr>
      <w:b/>
      <w:bCs/>
      <w:smallCaps/>
      <w:spacing w:val="5"/>
    </w:rPr>
  </w:style>
  <w:style w:type="paragraph" w:customStyle="1" w:styleId="166">
    <w:name w:val="TOC 标题1"/>
    <w:basedOn w:val="3"/>
    <w:next w:val="1"/>
    <w:semiHidden/>
    <w:unhideWhenUsed/>
    <w:qFormat/>
    <w:uiPriority w:val="39"/>
    <w:pPr>
      <w:outlineLvl w:val="9"/>
    </w:pPr>
  </w:style>
  <w:style w:type="paragraph" w:customStyle="1" w:styleId="167">
    <w:name w:val="修订1"/>
    <w:hidden/>
    <w:unhideWhenUsed/>
    <w:uiPriority w:val="99"/>
    <w:rPr>
      <w:rFonts w:ascii="Times New Roman" w:hAnsi="Times New Roman" w:eastAsia="仿宋_GB2312" w:cstheme="minorBidi"/>
      <w:sz w:val="32"/>
      <w:szCs w:val="22"/>
      <w:lang w:val="en-US" w:eastAsia="en-US" w:bidi="ar-SA"/>
    </w:rPr>
  </w:style>
  <w:style w:type="character" w:customStyle="1" w:styleId="168">
    <w:name w:val="批注文字 字符"/>
    <w:basedOn w:val="134"/>
    <w:link w:val="17"/>
    <w:semiHidden/>
    <w:uiPriority w:val="99"/>
    <w:rPr>
      <w:rFonts w:ascii="Times New Roman" w:hAnsi="Times New Roman" w:eastAsia="仿宋_GB2312"/>
      <w:sz w:val="32"/>
      <w:szCs w:val="22"/>
      <w:lang w:eastAsia="en-US"/>
    </w:rPr>
  </w:style>
  <w:style w:type="character" w:customStyle="1" w:styleId="169">
    <w:name w:val="批注主题 字符"/>
    <w:basedOn w:val="168"/>
    <w:link w:val="33"/>
    <w:semiHidden/>
    <w:uiPriority w:val="99"/>
    <w:rPr>
      <w:rFonts w:ascii="Times New Roman" w:hAnsi="Times New Roman" w:eastAsia="仿宋_GB2312"/>
      <w:b/>
      <w:bCs/>
      <w:sz w:val="32"/>
      <w:szCs w:val="22"/>
      <w:lang w:eastAsia="en-US"/>
    </w:rPr>
  </w:style>
  <w:style w:type="paragraph" w:customStyle="1" w:styleId="170">
    <w:name w:val="修订2"/>
    <w:hidden/>
    <w:unhideWhenUsed/>
    <w:uiPriority w:val="99"/>
    <w:rPr>
      <w:rFonts w:ascii="Times New Roman" w:hAnsi="Times New Roman" w:eastAsia="仿宋_GB2312" w:cstheme="minorBidi"/>
      <w:sz w:val="3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60"/>
    <customShpInfo spid="_x0000_s2059"/>
    <customShpInfo spid="_x0000_s2058"/>
    <customShpInfo spid="_x0000_s2057"/>
    <customShpInfo spid="_x0000_s2056"/>
    <customShpInfo spid="_x0000_s2055"/>
    <customShpInfo spid="_x0000_s2054"/>
    <customShpInfo spid="_x0000_s2053"/>
    <customShpInfo spid="_x0000_s2052"/>
    <customShpInfo spid="_x0000_s2051"/>
    <customShpInfo spid="_x0000_s2049"/>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732</Words>
  <Characters>4176</Characters>
  <Lines>34</Lines>
  <Paragraphs>9</Paragraphs>
  <TotalTime>7</TotalTime>
  <ScaleCrop>false</ScaleCrop>
  <LinksUpToDate>false</LinksUpToDate>
  <CharactersWithSpaces>4899</CharactersWithSpaces>
  <Application>WPS Office_11.8.2.10170_F1E327BC-269C-435d-A152-05C5408002CA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2026-09-28T18:24:00Z</dcterms:created>
  <dc:creator>python-docx</dc:creator>
  <cp:lastModifiedBy>root</cp:lastModifiedBy>
  <dcterms:modified xsi:type="dcterms:W3CDTF">2026-09-29T10:02:35Z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2052-11.8.2.10170</vt:lpwstr>
  </property>
  <property fmtid="{D5CDD505-2E9C-101B-9397-08002B2CF9AE}" pid="3" name="ICV">
    <vt:lpwstr>507F4FBE625F40B98BE6E4EBAEC77C5B</vt:lpwstr>
  </property>
  <property fmtid="{D5CDD505-2E9C-101B-9397-08002B2CF9AE}" pid="4" name="KSOTemplateDocerSaveRecord">
    <vt:lpwstr>eyJoZGlkIjoiMzEwNTM5NzYwMDRjMzkwZTVkZjY2ODkwMGIxNGU0OTUiLCJ1c2VySWQiOiIyMDIyNjc2MjEifQ==</vt:lpwstr>
  </property>
</Properties>
</file>