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20"/>
        <w:rPr>
          <w:rFonts w:ascii="宋体" w:hAnsi="宋体" w:eastAsia="宋体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宋体" w:hAnsi="宋体" w:eastAsia="宋体"/>
          <w:sz w:val="28"/>
          <w:szCs w:val="28"/>
          <w:lang w:eastAsia="zh-CN"/>
        </w:rPr>
        <w:t>附件1-</w:t>
      </w:r>
      <w:r>
        <w:rPr>
          <w:rFonts w:ascii="宋体" w:hAnsi="宋体" w:eastAsia="宋体"/>
          <w:sz w:val="28"/>
          <w:szCs w:val="28"/>
          <w:lang w:eastAsia="zh-CN"/>
        </w:rPr>
        <w:t>2</w:t>
      </w:r>
    </w:p>
    <w:p>
      <w:pPr>
        <w:spacing w:after="120" w:line="560" w:lineRule="exact"/>
        <w:jc w:val="center"/>
        <w:rPr>
          <w:rFonts w:ascii="方正小标宋_GBK" w:eastAsia="方正小标宋_GBK"/>
          <w:sz w:val="44"/>
          <w:szCs w:val="44"/>
          <w:lang w:eastAsia="zh-CN"/>
        </w:rPr>
      </w:pPr>
      <w:r>
        <w:rPr>
          <w:rFonts w:hint="eastAsia" w:ascii="方正小标宋_GBK" w:hAnsi="Times New Roman" w:eastAsia="方正小标宋_GBK"/>
          <w:b/>
          <w:sz w:val="44"/>
          <w:szCs w:val="44"/>
          <w:lang w:eastAsia="zh-CN"/>
        </w:rPr>
        <w:t>增城区校园餐智慧监管平台建设合作银行公开比选评分表</w:t>
      </w:r>
    </w:p>
    <w:p>
      <w:pPr>
        <w:spacing w:after="120" w:line="288" w:lineRule="auto"/>
        <w:jc w:val="both"/>
        <w:rPr>
          <w:lang w:eastAsia="zh-CN"/>
        </w:rPr>
      </w:pPr>
      <w:r>
        <w:rPr>
          <w:rFonts w:ascii="Times New Roman" w:hAnsi="Times New Roman" w:eastAsia="仿宋"/>
          <w:sz w:val="21"/>
          <w:lang w:eastAsia="zh-CN"/>
        </w:rPr>
        <w:t>评分说明：总分100分，各评委独立打分，取算术平均值为最终得分。除“同类项目业绩情况”按固定计分规则评定外，其余各评分项目由评委根据参选方案的科学性、完整性、针对性、可行性和可落地性，结合现场陈述与答疑情况，在本项分值区间内综合评定、自主赋分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851"/>
        <w:gridCol w:w="75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黑体"/>
                <w:b/>
              </w:rPr>
              <w:t>评分项目</w:t>
            </w:r>
          </w:p>
        </w:tc>
        <w:tc>
          <w:tcPr>
            <w:tcW w:w="851" w:type="dxa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黑体"/>
                <w:b/>
              </w:rPr>
              <w:t>分值</w:t>
            </w:r>
          </w:p>
        </w:tc>
        <w:tc>
          <w:tcPr>
            <w:tcW w:w="7511" w:type="dxa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黑体"/>
                <w:b/>
              </w:rPr>
              <w:t>评审要点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>
            <w:pPr>
              <w:spacing w:after="0" w:line="276" w:lineRule="auto"/>
              <w:jc w:val="center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平台软件系统投资建设方案</w:t>
            </w:r>
          </w:p>
        </w:tc>
        <w:tc>
          <w:tcPr>
            <w:tcW w:w="851" w:type="dxa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15分</w:t>
            </w:r>
          </w:p>
        </w:tc>
        <w:tc>
          <w:tcPr>
            <w:tcW w:w="7511" w:type="dxa"/>
            <w:vAlign w:val="center"/>
          </w:tcPr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主要考察：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① 软件系统投资承诺。是否书面承诺全额出资，投资总额是否明确（含软件采购/许可、二次开发及后续运维费用）。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② 系统功能完整性。对照《增城区校园餐智慧监管平台功能说明》，对监管端、学校端等各端功能的覆盖是否完整、设计是否合理。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③ 省市级技术标准符合性。是否符合《广东省学校食堂智慧监管系统建设参考指南》《广州市学校食材采购监管平台接口文档》《广州市学校食材品类库编码规范》等相关技术标准与接口规范。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评委结合方案完整性、承诺明确程度与标准符合性，在本项0—15分区间内自主赋分。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>
            <w:pPr>
              <w:spacing w:after="0" w:line="276" w:lineRule="auto"/>
              <w:jc w:val="center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智能硬件设施投资建设方案</w:t>
            </w:r>
          </w:p>
        </w:tc>
        <w:tc>
          <w:tcPr>
            <w:tcW w:w="851" w:type="dxa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15分</w:t>
            </w:r>
          </w:p>
        </w:tc>
        <w:tc>
          <w:tcPr>
            <w:tcW w:w="7511" w:type="dxa"/>
            <w:vAlign w:val="center"/>
          </w:tcPr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主要考察：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① 硬件投资与覆盖范围。是否为全区有自营食堂的学校配齐电子秤、留样柜、晨检机（自动体检仪）、消费终端等智能硬件，出资方式及金额明细是否清晰。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② 配备数量与质量规格。设备数量是否满足全区学校（食堂）实际需求，是否符合国家标准、行业标准及食品安全要求，品牌、型号及技术参数是否明确。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③ 后续运维保障。故障响应、备机替换、定期巡检、质保期限等运维承诺是否到位。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评委结合方案完整性、针对性及可落地性，在本项0—15分区间内自主赋分。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>
            <w:pPr>
              <w:spacing w:after="0" w:line="276" w:lineRule="auto"/>
              <w:jc w:val="center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校园餐资金账户开立与管理、代收代付与结算服务及资金存放收益方案</w:t>
            </w:r>
          </w:p>
        </w:tc>
        <w:tc>
          <w:tcPr>
            <w:tcW w:w="851" w:type="dxa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10分</w:t>
            </w:r>
          </w:p>
        </w:tc>
        <w:tc>
          <w:tcPr>
            <w:tcW w:w="7511" w:type="dxa"/>
            <w:vAlign w:val="center"/>
          </w:tcPr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主要考察：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① 专户管理与专款专用。是否承诺实行“一家银行、分账管理、统一监管”，专户独立核算、不得挪用，定期出具资金监管报告。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② 代收代付与结算便捷性。资金结算时效、缴费渠道、对账自动化等方面的便利程度。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③ 资金安全保障。资金存管、账户隔离、异常交易监控及对账差错控制等风控措施。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④ 资金存放收益。校园餐资金按活期存款管理、随收随付，资金存放收益按照国家利率政策执行；本项不设利率高低要求、不作竞价导向，重点考察资金安全保障、结算便利与对账服务。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评委结合方案完整性、安全性及结算便利性，在本项0—10分区间内自主赋分。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>
            <w:pPr>
              <w:spacing w:after="0" w:line="276" w:lineRule="auto"/>
              <w:jc w:val="center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数据、网络安全与个人信息保护方案</w:t>
            </w:r>
          </w:p>
        </w:tc>
        <w:tc>
          <w:tcPr>
            <w:tcW w:w="851" w:type="dxa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10分</w:t>
            </w:r>
          </w:p>
        </w:tc>
        <w:tc>
          <w:tcPr>
            <w:tcW w:w="7511" w:type="dxa"/>
            <w:vAlign w:val="center"/>
          </w:tcPr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主要考察：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① 等保与商用密码符合性。是否承诺信创云部署、满足网络安全等级保护三级要求并通过测评，同步落实商用密码应用“三同步一评估”。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② 数据安全措施。传输存储加密、备份频率、异地灾备、访问最小权限、审计日志留存等措施。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③ 个人信息保护。是否开展个人信息保护影响评估、对不满十四周岁未成年人信息取得监护人单独同意、数据不超范围采集及权属安排等。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评委结合方案完整性及合规性，在本项0—10分区间内自主赋分。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>
            <w:pPr>
              <w:spacing w:after="0" w:line="276" w:lineRule="auto"/>
              <w:jc w:val="center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本地服务能力与售后运维方案</w:t>
            </w:r>
          </w:p>
        </w:tc>
        <w:tc>
          <w:tcPr>
            <w:tcW w:w="851" w:type="dxa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10分</w:t>
            </w:r>
          </w:p>
        </w:tc>
        <w:tc>
          <w:tcPr>
            <w:tcW w:w="7511" w:type="dxa"/>
            <w:vAlign w:val="center"/>
          </w:tcPr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主要考察：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① 线下服务网点覆盖。增城区内自有服务网点数量及校园餐专项服务团队驻点安排。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② 专人对接机制。是否指定专属客户经理及技术联系人，服务热线时长安排。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③ 售后服务响应。一般问题与重大故障的响应、解决时限及是否提供书面承诺。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评委结合网点覆盖、对接机制及响应保障，在本项0—10分区间内自主赋分。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>
            <w:pPr>
              <w:spacing w:after="0" w:line="276" w:lineRule="auto"/>
              <w:jc w:val="center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配合资金监管要求提供的支付监控、异常预警、风险提示等增值服务方案</w:t>
            </w:r>
          </w:p>
        </w:tc>
        <w:tc>
          <w:tcPr>
            <w:tcW w:w="851" w:type="dxa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5分</w:t>
            </w:r>
          </w:p>
        </w:tc>
        <w:tc>
          <w:tcPr>
            <w:tcW w:w="7511" w:type="dxa"/>
            <w:vAlign w:val="center"/>
          </w:tcPr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主要考察：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① 支付监控与异常预警。实时资金流水监控、异常规则设置、预警触达能力。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② 风险提示与闭环衔接。与平台预警闭环功能的衔接及定期风险报告机制。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评委结合方案完整性与实用性，在本项0—5分区间内自主赋分。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>
            <w:pPr>
              <w:spacing w:after="0" w:line="276" w:lineRule="auto"/>
              <w:jc w:val="center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应急保障（灾备、业务连续性、数据备份恢复）方案</w:t>
            </w:r>
          </w:p>
        </w:tc>
        <w:tc>
          <w:tcPr>
            <w:tcW w:w="851" w:type="dxa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10分</w:t>
            </w:r>
          </w:p>
        </w:tc>
        <w:tc>
          <w:tcPr>
            <w:tcW w:w="7511" w:type="dxa"/>
            <w:vAlign w:val="center"/>
          </w:tcPr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主要考察：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① 灾备方案。异地灾备能力及RPO（恢复点目标）、RTO（恢复时间目标）等指标。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② 业务连续性。断网、断电、系统故障等情况下的备用手段，能否保障正常就餐与结算。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③ 数据备份恢复。备份频率、可恢复性演练及数据完整性保障。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评委结合方案完整性与可靠性，在本项0—10分区间内自主赋分。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仿宋"/>
                <w:sz w:val="21"/>
              </w:rPr>
              <w:t>同类项目业绩情况</w:t>
            </w:r>
          </w:p>
        </w:tc>
        <w:tc>
          <w:tcPr>
            <w:tcW w:w="851" w:type="dxa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10分</w:t>
            </w:r>
          </w:p>
        </w:tc>
        <w:tc>
          <w:tcPr>
            <w:tcW w:w="7511" w:type="dxa"/>
            <w:vAlign w:val="center"/>
          </w:tcPr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【分值区间：0–10分；计分规则：每个有效项目1分，最高10分】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① 业绩范围与时限。自公开比选公告发布之日起倒推3年内，由参与比选银行（增城区分支机构）或其省、市上级行承接的区（县）级及以上校园餐或政务资金监管类项目。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eastAsia="zh-CN"/>
              </w:rPr>
              <w:t>②</w:t>
            </w:r>
            <w:r>
              <w:rPr>
                <w:rFonts w:ascii="Times New Roman" w:hAnsi="Times New Roman" w:eastAsia="仿宋"/>
                <w:sz w:val="21"/>
                <w:lang w:eastAsia="zh-CN"/>
              </w:rPr>
              <w:t xml:space="preserve"> 计分与判定。须同时提供合作合同/协议复印件＋用户验收合格或评价良好及以上证明文件，缺一计0分；用户评价“良好及以上”得1分/项目，“合格”得0.5分/项目，无评价证明不计分；同一项目不重复计分；非校园餐/政务资金监管类项目不计分；本项满分10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仿宋"/>
                <w:sz w:val="21"/>
              </w:rPr>
              <w:t>方案答辩</w:t>
            </w:r>
          </w:p>
        </w:tc>
        <w:tc>
          <w:tcPr>
            <w:tcW w:w="851" w:type="dxa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15分</w:t>
            </w:r>
          </w:p>
        </w:tc>
        <w:tc>
          <w:tcPr>
            <w:tcW w:w="7511" w:type="dxa"/>
            <w:vAlign w:val="center"/>
          </w:tcPr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主要考察：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① 陈述内容。陈述逻辑是否清晰、重点是否突出，对投资建设、硬件、账户与结算、安全、服务、应急、业绩等核心要素的覆盖及与需求的契合程度。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② 答疑准确性。对评委会提问的回应是否准确，有无数据或方案支撑，是否回避问题。</w:t>
            </w:r>
          </w:p>
          <w:p>
            <w:pPr>
              <w:spacing w:after="0" w:line="276" w:lineRule="auto"/>
              <w:rPr>
                <w:lang w:eastAsia="zh-CN"/>
              </w:rPr>
            </w:pPr>
            <w:r>
              <w:rPr>
                <w:rFonts w:ascii="Times New Roman" w:hAnsi="Times New Roman" w:eastAsia="仿宋"/>
                <w:sz w:val="21"/>
                <w:lang w:eastAsia="zh-CN"/>
              </w:rPr>
              <w:t>评委结合陈述质量与答辩表现，在本项0—15分区间内自主赋分。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合计</w:t>
            </w:r>
          </w:p>
        </w:tc>
        <w:tc>
          <w:tcPr>
            <w:tcW w:w="851" w:type="dxa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100分</w:t>
            </w:r>
          </w:p>
        </w:tc>
        <w:tc>
          <w:tcPr>
            <w:tcW w:w="7511" w:type="dxa"/>
            <w:vAlign w:val="center"/>
          </w:tcPr>
          <w:p>
            <w:pPr>
              <w:spacing w:after="0" w:line="276" w:lineRule="auto"/>
            </w:pPr>
          </w:p>
        </w:tc>
      </w:tr>
    </w:tbl>
    <w:p/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247" w:right="1134" w:bottom="1134" w:left="1134" w:header="851" w:footer="1417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ＭＳ 明朝">
    <w:altName w:val="MS Gothi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ＭＳ 明朝">
    <w:altName w:val="MS Goth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4"/>
      </w:rPr>
      <w:pict>
        <v:shape id="_x0000_s2049" o:spid="_x0000_s2049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16pt,0mm,16pt,0mm" style="mso-fit-shape-to-text:t;">
            <w:txbxContent>
              <w:p>
                <w:pPr>
                  <w:rPr>
                    <w:rFonts w:ascii="宋体" w:hAnsi="宋体" w:eastAsia="宋体"/>
                    <w:sz w:val="28"/>
                  </w:rPr>
                </w:pPr>
                <w:r>
                  <w:rPr>
                    <w:rFonts w:ascii="宋体" w:hAnsi="宋体" w:eastAsia="宋体"/>
                    <w:sz w:val="28"/>
                  </w:rPr>
                  <w:t>—</w:t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</w:rPr>
                  <w:instrText xml:space="preserve"> PAGE  \* MERGEFORMAT </w:instrText>
                </w:r>
                <w:r>
                  <w:rPr>
                    <w:rFonts w:ascii="宋体" w:hAnsi="宋体" w:eastAsia="宋体"/>
                    <w:sz w:val="28"/>
                  </w:rPr>
                  <w:fldChar w:fldCharType="separate"/>
                </w:r>
                <w:r>
                  <w:rPr>
                    <w:rFonts w:ascii="宋体" w:hAnsi="宋体" w:eastAsia="宋体"/>
                    <w:sz w:val="28"/>
                  </w:rPr>
                  <w:t>1</w:t>
                </w:r>
                <w:r>
                  <w:rPr>
                    <w:rFonts w:ascii="宋体" w:hAnsi="宋体" w:eastAsia="宋体"/>
                    <w:sz w:val="28"/>
                  </w:rPr>
                  <w:fldChar w:fldCharType="end"/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4"/>
      </w:rPr>
      <w:pict>
        <v:shape id="_x0000_s2050" o:spid="_x0000_s2050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16pt,0mm,16pt,0mm" style="mso-fit-shape-to-text:t;">
            <w:txbxContent>
              <w:p>
                <w:pPr>
                  <w:rPr>
                    <w:rFonts w:ascii="宋体" w:hAnsi="宋体" w:eastAsia="宋体"/>
                    <w:sz w:val="28"/>
                  </w:rPr>
                </w:pPr>
                <w:r>
                  <w:rPr>
                    <w:rFonts w:ascii="宋体" w:hAnsi="宋体" w:eastAsia="宋体"/>
                    <w:sz w:val="28"/>
                  </w:rPr>
                  <w:t>—</w:t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</w:rPr>
                  <w:instrText xml:space="preserve"> PAGE  \* MERGEFORMAT </w:instrText>
                </w:r>
                <w:r>
                  <w:rPr>
                    <w:rFonts w:ascii="宋体" w:hAnsi="宋体" w:eastAsia="宋体"/>
                    <w:sz w:val="28"/>
                  </w:rPr>
                  <w:fldChar w:fldCharType="separate"/>
                </w:r>
                <w:r>
                  <w:rPr>
                    <w:rFonts w:ascii="宋体" w:hAnsi="宋体" w:eastAsia="宋体"/>
                    <w:sz w:val="28"/>
                  </w:rPr>
                  <w:t>2</w:t>
                </w:r>
                <w:r>
                  <w:rPr>
                    <w:rFonts w:ascii="宋体" w:hAnsi="宋体" w:eastAsia="宋体"/>
                    <w:sz w:val="28"/>
                  </w:rPr>
                  <w:fldChar w:fldCharType="end"/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</w:pPr>
    <w:r>
      <w:rPr>
        <w:sz w:val="22"/>
      </w:rPr>
      <w:pict>
        <v:shape id="PowerPlusWaterMarkObject3468869" o:spid="_x0000_s2060" o:spt="136" type="#_x0000_t136" style="position:absolute;left:0pt;margin-left:442.75pt;margin-top:441.65pt;height:35pt;width:124pt;mso-position-horizontal-relative:margin;mso-position-vertical-relative:margin;rotation:-2949120f;z-index:-25164595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3123350" o:spid="_x0000_s2059" o:spt="136" type="#_x0000_t136" style="position:absolute;left:0pt;margin-left:270.2pt;margin-top:614.2pt;height:35pt;width:124pt;mso-position-horizontal-relative:margin;mso-position-vertical-relative:margin;rotation:-2949120f;z-index:-25164697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3074299" o:spid="_x0000_s2058" o:spt="136" type="#_x0000_t136" style="position:absolute;left:0pt;margin-left:97.65pt;margin-top:786.75pt;height:35pt;width:124pt;mso-position-horizontal-relative:margin;mso-position-vertical-relative:margin;rotation:-2949120f;z-index:-25164800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3021616" o:spid="_x0000_s2057" o:spt="136" type="#_x0000_t136" style="position:absolute;left:0pt;margin-left:442.75pt;margin-top:82.35pt;height:35pt;width:124pt;mso-position-horizontal-relative:margin;mso-position-vertical-relative:margin;rotation:-2949120f;z-index:-25164902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2669693" o:spid="_x0000_s2056" o:spt="136" type="#_x0000_t136" style="position:absolute;left:0pt;margin-left:270.2pt;margin-top:254.9pt;height:35pt;width:124pt;mso-position-horizontal-relative:margin;mso-position-vertical-relative:margin;rotation:-2949120f;z-index:-25165004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1952337" o:spid="_x0000_s2055" o:spt="136" type="#_x0000_t136" style="position:absolute;left:0pt;margin-left:97.65pt;margin-top:427.45pt;height:35pt;width:124pt;mso-position-horizontal-relative:margin;mso-position-vertical-relative:margin;rotation:-2949120f;z-index:-25165107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1747841" o:spid="_x0000_s2054" o:spt="136" type="#_x0000_t136" style="position:absolute;left:0pt;margin-left:-74.85pt;margin-top:599.95pt;height:35pt;width:124pt;mso-position-horizontal-relative:margin;mso-position-vertical-relative:margin;rotation:-2949120f;z-index:-25165209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1433188" o:spid="_x0000_s2053" o:spt="136" type="#_x0000_t136" style="position:absolute;left:0pt;margin-left:270.2pt;margin-top:-104.4pt;height:35pt;width:124pt;mso-position-horizontal-relative:margin;mso-position-vertical-relative:margin;rotation:-2949120f;z-index:-25165312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1120726" o:spid="_x0000_s2052" o:spt="136" type="#_x0000_t136" style="position:absolute;left:0pt;margin-left:97.65pt;margin-top:68.15pt;height:35pt;width:124pt;mso-position-horizontal-relative:margin;mso-position-vertical-relative:margin;rotation:-2949120f;z-index:-25165414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283364" o:spid="_x0000_s2051" o:spt="136" type="#_x0000_t136" style="position:absolute;left:0pt;margin-left:-74.85pt;margin-top:240.65pt;height:35pt;width:124pt;mso-position-horizontal-relative:margin;mso-position-vertical-relative:margin;rotation:-2949120f;z-index:-25165516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</w:pPr>
    <w:r>
      <w:rPr>
        <w:sz w:val="22"/>
      </w:rPr>
      <w:pict>
        <v:shape id="PowerPlusWaterMarkObject7376382" o:spid="_x0000_s2070" o:spt="136" type="#_x0000_t136" style="position:absolute;left:0pt;margin-left:442.75pt;margin-top:441.65pt;height:35pt;width:124pt;mso-position-horizontal-relative:margin;mso-position-vertical-relative:margin;rotation:-2949120f;z-index:-25163571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7267857" o:spid="_x0000_s2069" o:spt="136" type="#_x0000_t136" style="position:absolute;left:0pt;margin-left:270.2pt;margin-top:614.2pt;height:35pt;width:124pt;mso-position-horizontal-relative:margin;mso-position-vertical-relative:margin;rotation:-2949120f;z-index:-25163673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7210100" o:spid="_x0000_s2068" o:spt="136" type="#_x0000_t136" style="position:absolute;left:0pt;margin-left:97.65pt;margin-top:786.75pt;height:35pt;width:124pt;mso-position-horizontal-relative:margin;mso-position-vertical-relative:margin;rotation:-2949120f;z-index:-25163776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6588716" o:spid="_x0000_s2067" o:spt="136" type="#_x0000_t136" style="position:absolute;left:0pt;margin-left:442.75pt;margin-top:82.35pt;height:35pt;width:124pt;mso-position-horizontal-relative:margin;mso-position-vertical-relative:margin;rotation:-2949120f;z-index:-25163878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6430557" o:spid="_x0000_s2066" o:spt="136" type="#_x0000_t136" style="position:absolute;left:0pt;margin-left:270.2pt;margin-top:254.9pt;height:35pt;width:124pt;mso-position-horizontal-relative:margin;mso-position-vertical-relative:margin;rotation:-2949120f;z-index:-25163980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5767017" o:spid="_x0000_s2065" o:spt="136" type="#_x0000_t136" style="position:absolute;left:0pt;margin-left:97.65pt;margin-top:427.45pt;height:35pt;width:124pt;mso-position-horizontal-relative:margin;mso-position-vertical-relative:margin;rotation:-2949120f;z-index:-25164083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5643568" o:spid="_x0000_s2064" o:spt="136" type="#_x0000_t136" style="position:absolute;left:0pt;margin-left:-74.85pt;margin-top:599.95pt;height:35pt;width:124pt;mso-position-horizontal-relative:margin;mso-position-vertical-relative:margin;rotation:-2949120f;z-index:-25164185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4818477" o:spid="_x0000_s2063" o:spt="136" type="#_x0000_t136" style="position:absolute;left:0pt;margin-left:270.2pt;margin-top:-104.4pt;height:35pt;width:124pt;mso-position-horizontal-relative:margin;mso-position-vertical-relative:margin;rotation:-2949120f;z-index:-25164288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4546317" o:spid="_x0000_s2062" o:spt="136" type="#_x0000_t136" style="position:absolute;left:0pt;margin-left:97.65pt;margin-top:68.15pt;height:35pt;width:124pt;mso-position-horizontal-relative:margin;mso-position-vertical-relative:margin;rotation:-2949120f;z-index:-25164390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2"/>
      </w:rPr>
      <w:pict>
        <v:shape id="PowerPlusWaterMarkObject4293569" o:spid="_x0000_s2061" o:spt="136" type="#_x0000_t136" style="position:absolute;left:0pt;margin-left:-74.85pt;margin-top:240.65pt;height:35pt;width:124pt;mso-position-horizontal-relative:margin;mso-position-vertical-relative:margin;rotation:-2949120f;z-index:-25164492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720"/>
  <w:evenAndOddHeaders w:val="true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7CB0"/>
    <w:rsid w:val="0015074B"/>
    <w:rsid w:val="00165B50"/>
    <w:rsid w:val="00267C6F"/>
    <w:rsid w:val="0029639D"/>
    <w:rsid w:val="00326F90"/>
    <w:rsid w:val="006A3D16"/>
    <w:rsid w:val="00731519"/>
    <w:rsid w:val="007B19CD"/>
    <w:rsid w:val="00825BF3"/>
    <w:rsid w:val="00900623"/>
    <w:rsid w:val="00AA1D8D"/>
    <w:rsid w:val="00AE318F"/>
    <w:rsid w:val="00B47730"/>
    <w:rsid w:val="00CB0664"/>
    <w:rsid w:val="00F30505"/>
    <w:rsid w:val="00F54703"/>
    <w:rsid w:val="00FC693F"/>
    <w:rsid w:val="FBFBD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60"/>
    <customShpInfo spid="_x0000_s2059"/>
    <customShpInfo spid="_x0000_s2058"/>
    <customShpInfo spid="_x0000_s2057"/>
    <customShpInfo spid="_x0000_s2056"/>
    <customShpInfo spid="_x0000_s2055"/>
    <customShpInfo spid="_x0000_s2054"/>
    <customShpInfo spid="_x0000_s2053"/>
    <customShpInfo spid="_x0000_s2052"/>
    <customShpInfo spid="_x0000_s2051"/>
    <customShpInfo spid="_x0000_s2070"/>
    <customShpInfo spid="_x0000_s2069"/>
    <customShpInfo spid="_x0000_s2068"/>
    <customShpInfo spid="_x0000_s2067"/>
    <customShpInfo spid="_x0000_s2066"/>
    <customShpInfo spid="_x0000_s2065"/>
    <customShpInfo spid="_x0000_s2064"/>
    <customShpInfo spid="_x0000_s2063"/>
    <customShpInfo spid="_x0000_s2062"/>
    <customShpInfo spid="_x0000_s2061"/>
    <customShpInfo spid="_x0000_s2049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315</Words>
  <Characters>1802</Characters>
  <Lines>15</Lines>
  <Paragraphs>4</Paragraphs>
  <TotalTime>3</TotalTime>
  <ScaleCrop>false</ScaleCrop>
  <LinksUpToDate>false</LinksUpToDate>
  <CharactersWithSpaces>2113</CharactersWithSpaces>
  <Application>WPS Office_11.8.2.10170_F1E327BC-269C-435d-A152-05C5408002CA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root</cp:lastModifiedBy>
  <dcterms:modified xsi:type="dcterms:W3CDTF">2026-09-29T10:02:37Z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2052-11.8.2.10170</vt:lpwstr>
  </property>
</Properties>
</file>