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color w:val="auto"/>
          <w:sz w:val="28"/>
          <w:szCs w:val="28"/>
          <w:lang w:eastAsia="zh-CN"/>
        </w:rPr>
      </w:pPr>
      <w:bookmarkStart w:id="20" w:name="_GoBack"/>
      <w:bookmarkEnd w:id="20"/>
      <w:r>
        <w:rPr>
          <w:rFonts w:hint="eastAsia" w:ascii="仿宋_GB2312" w:hAnsi="仿宋_GB2312" w:eastAsia="仿宋_GB2312"/>
          <w:color w:val="auto"/>
          <w:sz w:val="28"/>
          <w:szCs w:val="28"/>
          <w:lang w:eastAsia="zh-CN"/>
        </w:rPr>
        <w:t>附件1-4</w:t>
      </w:r>
    </w:p>
    <w:p>
      <w:pPr>
        <w:rPr>
          <w:rFonts w:ascii="宋体" w:hAnsi="宋体" w:eastAsia="宋体"/>
          <w:color w:val="auto"/>
          <w:sz w:val="28"/>
          <w:szCs w:val="28"/>
          <w:lang w:eastAsia="zh-CN"/>
        </w:rPr>
      </w:pPr>
    </w:p>
    <w:p>
      <w:pPr>
        <w:pStyle w:val="3"/>
        <w:spacing w:after="220" w:line="336" w:lineRule="auto"/>
        <w:jc w:val="center"/>
        <w:rPr>
          <w:rFonts w:ascii="微软雅黑" w:hAnsi="微软雅黑" w:eastAsia="微软雅黑" w:cs="微软雅黑"/>
          <w:b w:val="0"/>
          <w:color w:val="auto"/>
          <w:sz w:val="44"/>
          <w:lang w:eastAsia="zh-CN"/>
        </w:rPr>
      </w:pPr>
      <w:r>
        <w:rPr>
          <w:rFonts w:hint="eastAsia" w:ascii="方正小标宋简体" w:hAnsi="方正小标宋简体" w:eastAsia="方正小标宋简体" w:cs="微软雅黑"/>
          <w:b w:val="0"/>
          <w:color w:val="auto"/>
          <w:sz w:val="44"/>
          <w:lang w:eastAsia="zh-CN"/>
        </w:rPr>
        <w:t>增城区校园餐智慧监管平台功能说明</w:t>
      </w:r>
    </w:p>
    <w:p>
      <w:pPr>
        <w:spacing w:after="720"/>
        <w:jc w:val="center"/>
        <w:rPr>
          <w:color w:val="auto"/>
          <w:lang w:eastAsia="zh-CN"/>
        </w:rPr>
      </w:pPr>
    </w:p>
    <w:p>
      <w:pPr>
        <w:jc w:val="center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编制单位：广州市增城区教育局（基建装备和信息化中心）</w:t>
      </w:r>
    </w:p>
    <w:p>
      <w:pPr>
        <w:jc w:val="center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版本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 V1.0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　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>·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　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2026 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 9 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月</w:t>
      </w:r>
    </w:p>
    <w:p>
      <w:pPr>
        <w:spacing w:before="320"/>
        <w:jc w:val="center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编制依据：粤教后勤函〔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>2026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〕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4 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号附件《广东省学校食堂智慧监管系统数据规范（参考）》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br w:type="textWrapping"/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《广州市学校食材采购监管平台建设指南》（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2025 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color w:val="auto"/>
          <w:sz w:val="24"/>
          <w:lang w:eastAsia="zh-CN"/>
        </w:rPr>
        <w:t xml:space="preserve"> 8 </w:t>
      </w:r>
      <w:r>
        <w:rPr>
          <w:rFonts w:hint="eastAsia" w:ascii="仿宋_GB2312" w:hAnsi="仿宋_GB2312" w:eastAsia="仿宋_GB2312" w:cs="微软雅黑"/>
          <w:color w:val="auto"/>
          <w:sz w:val="24"/>
          <w:lang w:eastAsia="zh-CN"/>
        </w:rPr>
        <w:t>月）</w:t>
      </w:r>
    </w:p>
    <w:p>
      <w:pPr>
        <w:rPr>
          <w:color w:val="auto"/>
          <w:lang w:eastAsia="zh-CN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2098" w:right="1474" w:bottom="1984" w:left="1587" w:header="720" w:footer="1418" w:gutter="0"/>
          <w:cols w:space="720" w:num="1"/>
        </w:sectPr>
      </w:pPr>
    </w:p>
    <w:p>
      <w:pPr>
        <w:spacing w:after="100"/>
        <w:rPr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sz w:val="24"/>
          <w:lang w:eastAsia="zh-CN"/>
        </w:rPr>
        <w:t>目 录</w:t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"_Toc_section_1" \h </w:instrText>
      </w:r>
      <w:r>
        <w:fldChar w:fldCharType="separate"/>
      </w:r>
      <w:r>
        <w:rPr>
          <w:rFonts w:hint="eastAsia"/>
          <w:color w:val="auto"/>
          <w:lang w:eastAsia="zh-CN"/>
        </w:rPr>
        <w:t>一、总述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"_Toc_section_2" \h </w:instrText>
      </w:r>
      <w:r>
        <w:fldChar w:fldCharType="separate"/>
      </w:r>
      <w:r>
        <w:rPr>
          <w:rFonts w:hint="eastAsia"/>
          <w:color w:val="auto"/>
          <w:lang w:eastAsia="zh-CN"/>
        </w:rPr>
        <w:t>二、区教育局端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"_Toc_section_3" \h </w:instrText>
      </w:r>
      <w:r>
        <w:fldChar w:fldCharType="separate"/>
      </w:r>
      <w:r>
        <w:rPr>
          <w:rFonts w:hint="eastAsia"/>
          <w:color w:val="auto"/>
          <w:lang w:eastAsia="zh-CN"/>
        </w:rPr>
        <w:t>三、自营食堂学校端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"_Toc_section_4" \h </w:instrText>
      </w:r>
      <w:r>
        <w:fldChar w:fldCharType="separate"/>
      </w:r>
      <w:r>
        <w:rPr>
          <w:rFonts w:hint="eastAsia"/>
          <w:color w:val="auto"/>
          <w:lang w:eastAsia="zh-CN"/>
        </w:rPr>
        <w:t>四、食材配送供应商端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"_Toc_section_5" \h </w:instrText>
      </w:r>
      <w:r>
        <w:fldChar w:fldCharType="separate"/>
      </w:r>
      <w:r>
        <w:rPr>
          <w:rFonts w:hint="eastAsia"/>
          <w:color w:val="auto"/>
          <w:lang w:eastAsia="zh-CN"/>
        </w:rPr>
        <w:t>五、校外供餐学校端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"_Toc_section_6" \h </w:instrText>
      </w:r>
      <w:r>
        <w:fldChar w:fldCharType="separate"/>
      </w:r>
      <w:r>
        <w:rPr>
          <w:rFonts w:hint="eastAsia"/>
          <w:color w:val="auto"/>
          <w:lang w:eastAsia="zh-CN"/>
        </w:rPr>
        <w:t>六、校外供餐供应商端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"_Toc_section_7" \h </w:instrText>
      </w:r>
      <w:r>
        <w:fldChar w:fldCharType="separate"/>
      </w:r>
      <w:r>
        <w:rPr>
          <w:rFonts w:hint="eastAsia"/>
          <w:color w:val="auto"/>
          <w:lang w:eastAsia="zh-CN"/>
        </w:rPr>
        <w:t>七、家长端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"_Toc_section_8" \h </w:instrText>
      </w:r>
      <w:r>
        <w:fldChar w:fldCharType="separate"/>
      </w:r>
      <w:r>
        <w:rPr>
          <w:rFonts w:hint="eastAsia"/>
          <w:color w:val="auto"/>
          <w:lang w:eastAsia="zh-CN"/>
        </w:rPr>
        <w:t>八、银行端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"_Toc_section_9" \h </w:instrText>
      </w:r>
      <w:r>
        <w:fldChar w:fldCharType="separate"/>
      </w:r>
      <w:r>
        <w:rPr>
          <w:rFonts w:hint="eastAsia"/>
          <w:color w:val="auto"/>
          <w:lang w:eastAsia="zh-CN"/>
        </w:rPr>
        <w:t>九、硬件设备汇总与建设节奏</w:t>
      </w:r>
      <w:r>
        <w:rPr>
          <w:rFonts w:hint="eastAsia"/>
          <w:color w:val="auto"/>
          <w:lang w:eastAsia="zh-CN"/>
        </w:rPr>
        <w:fldChar w:fldCharType="end"/>
      </w:r>
    </w:p>
    <w:p>
      <w:pPr>
        <w:rPr>
          <w:color w:val="auto"/>
          <w:lang w:eastAsia="zh-CN"/>
        </w:rPr>
      </w:pPr>
      <w:r>
        <w:fldChar w:fldCharType="begin"/>
      </w:r>
      <w:r>
        <w:instrText xml:space="preserve"> HYPERLINK \l "_Toc_section_10" \h </w:instrText>
      </w:r>
      <w:r>
        <w:fldChar w:fldCharType="separate"/>
      </w:r>
      <w:r>
        <w:rPr>
          <w:rFonts w:hint="eastAsia"/>
          <w:color w:val="auto"/>
          <w:lang w:eastAsia="zh-CN"/>
        </w:rPr>
        <w:t>附录A：端—核心功能—硬件—省数据表映射总表</w:t>
      </w:r>
      <w:r>
        <w:rPr>
          <w:rFonts w:hint="eastAsia"/>
          <w:color w:val="auto"/>
          <w:lang w:eastAsia="zh-CN"/>
        </w:rPr>
        <w:fldChar w:fldCharType="end"/>
      </w:r>
    </w:p>
    <w:p>
      <w:pPr>
        <w:pStyle w:val="4"/>
        <w:spacing w:before="0"/>
        <w:rPr>
          <w:color w:val="auto"/>
          <w:lang w:eastAsia="zh-CN"/>
        </w:rPr>
      </w:pPr>
      <w:r>
        <w:rPr>
          <w:rFonts w:hint="eastAsia" w:ascii="黑体" w:hAnsi="黑体" w:eastAsia="黑体" w:cs="微软雅黑"/>
          <w:b w:val="0"/>
          <w:color w:val="auto"/>
          <w:sz w:val="28"/>
          <w:lang w:eastAsia="zh-CN"/>
        </w:rPr>
        <w:t>执行摘要</w:t>
      </w:r>
    </w:p>
    <w:p>
      <w:pPr>
        <w:ind w:firstLine="480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本说明依据广东省学校食堂智慧监管系统数据规范（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37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张业务数据表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+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附表码表），按七个使用端逐一阐述校园餐监管平台的核心功能、业务流程与所需硬件。</w:t>
      </w:r>
    </w:p>
    <w:p>
      <w:pPr>
        <w:ind w:firstLine="480"/>
        <w:rPr>
          <w:rFonts w:cs="微软雅黑"/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平台采用“一个平台、七端协同、角色分权、全链监管”的一体化建设模式，七个端（区教育局端、自营食堂学校端、食材配送供应商端、校外供餐学校端、校外供餐供应商端、家长端、银行端）是同一平台的七类使用视图，覆盖区级监管、自营食堂、校外配餐、食材配送、家长服务与银行资金监管全场景。</w:t>
      </w:r>
    </w:p>
    <w:p>
      <w:pPr>
        <w:spacing w:after="200" w:line="276" w:lineRule="auto"/>
        <w:jc w:val="left"/>
        <w:rPr>
          <w:rFonts w:cs="微软雅黑"/>
          <w:color w:val="auto"/>
          <w:lang w:eastAsia="zh-CN"/>
        </w:rPr>
      </w:pPr>
      <w:r>
        <w:rPr>
          <w:rFonts w:cs="微软雅黑"/>
          <w:color w:val="auto"/>
          <w:lang w:eastAsia="zh-CN"/>
        </w:rPr>
        <w:br w:type="page"/>
      </w:r>
    </w:p>
    <w:p>
      <w:pPr>
        <w:pStyle w:val="4"/>
        <w:rPr>
          <w:color w:val="auto"/>
          <w:lang w:eastAsia="zh-CN"/>
        </w:rPr>
      </w:pPr>
      <w:bookmarkStart w:id="0" w:name="section-1"/>
      <w:bookmarkEnd w:id="0"/>
      <w:bookmarkStart w:id="1" w:name="_Toc_section_1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一、总述</w:t>
      </w:r>
      <w:bookmarkEnd w:id="1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本章说明本说明的编制目的与依据、平台定位与七端架构，并对七端数据关系与全文术语作统一约定。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1.1 编制目的与依据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说明用于明确增城区校园餐智慧监管平台七个使用端（区教育局端、自营食堂学校端、食材配送供应商端、校外供餐学校端、校外供餐供应商端、家长端、银行端）各自的核心功能、业务流程及所需硬件设备，作为平台开发、采购选型、分角色培训与测试验收的依据。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主要编制依据：《广东省学校食堂智慧监管系统建设参考指南》（粤教后勤函〔</w:t>
      </w:r>
      <w:r>
        <w:rPr>
          <w:rFonts w:hint="eastAsia" w:ascii="仿宋_GB2312" w:hAnsi="仿宋_GB2312" w:eastAsia="仿宋_GB2312"/>
          <w:color w:val="auto"/>
          <w:lang w:eastAsia="zh-CN"/>
        </w:rPr>
        <w:t>2026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〕</w:t>
      </w:r>
      <w:r>
        <w:rPr>
          <w:rFonts w:hint="eastAsia" w:ascii="仿宋_GB2312" w:hAnsi="仿宋_GB2312" w:eastAsia="仿宋_GB2312"/>
          <w:color w:val="auto"/>
          <w:lang w:eastAsia="zh-CN"/>
        </w:rPr>
        <w:t>4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号）及其附件《广东省学校食堂智慧监管系统数据规范（参考）》（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37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张业务数据表及附表码表）；《广州市学校食材采购监管平台接口文档》《广州市学校食材品类库编码规范》；增城区校园餐监管工作实际。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1.2 平台定位与七端架构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本平台采取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一个平台、七端协同、角色分权、全链监管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的建设模式：区级监管、校级应用、企业协作、家长服务、银行资金监管均部署于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同一平台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，通过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RBAC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角色与数据范围权限区分使用边界，避免重复建设。七个端是同一平台的七类使用视图，由角色路由决定。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271"/>
        <w:gridCol w:w="2271"/>
        <w:gridCol w:w="22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使用主体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接入形态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角色定位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区教育局（基装中心、财审、结算、体卫艺科等）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监管驾驶舱（ PC 大屏）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全区汇聚、资质审核、预警处置、账号授权、统计公示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自营食堂学校（食安总监 / 管理员、验收、库管、财务）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校务端（ PC/ 移动 H5 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自营食堂 “ 食谱 — 采购 — 验收 — 出入库 — 消费 — 财务 — 食安台账 ” 全链操作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食材配送供应商端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食材配送单位（供应商）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企业端（ PC/ 小程序）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向自营食堂学校供货：商品价格维护、接单配送、索证索票、结算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校外供餐学校端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校外配餐制学校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校务端（ PC/ 移动 H5 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配餐制学校：学生管理、订餐扣费核查、陪餐、台账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校外供餐供应商端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校外供餐单位（配餐企业）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企业端（ PC/ 小程序）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向学校供餐：菜谱、配餐核销、每日结算、食材溯源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家长端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学生家长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APP/</w:t>
            </w:r>
            <w:r>
              <w:rPr>
                <w:rFonts w:hint="eastAsia" w:ascii="仿宋_GB2312" w:hAnsi="仿宋_GB2312" w:eastAsia="仿宋_GB2312"/>
                <w:color w:val="auto"/>
              </w:rPr>
              <w:t>微信小程序 /H5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订餐缴费退费、消费查询、测评、陪餐预约、公示查看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银行端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合作银行（政银合作）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接口对接</w:t>
            </w:r>
          </w:p>
        </w:tc>
        <w:tc>
          <w:tcPr>
            <w:tcW w:w="21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校园餐资金账户、缴费退费归集、结算划付、对账</w:t>
            </w:r>
          </w:p>
        </w:tc>
      </w:tr>
    </w:tbl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1.3 七端数据关系概览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区教育局端是数据汇聚与监管中枢，向下审核并授权其余各端；自营食堂学校端与食材配送供应商端构成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自营食堂链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；校外供餐学校端、校外供餐供应商端与家长端构成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校外配餐链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；银行端横向支撑两条链的资金归集、结算与监管。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1.4 术语与缩略语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72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术语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明厨亮灶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通过视频监控公开食品加工过程（省数据规范表 32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索证索票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食品经营许可证、检验检疫合格证明、进货票据等凭证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餐费入口率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食材支出占餐费收入比例（市指南预警指标）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电子秤验收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数据规范表 19/20 验收方式 “1- 电子秤验收 ” ，硬件联动自动采集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按次扣费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校外配餐按 “ 实际用餐一次扣费一次 ” 结算，区别于预收整月一次扣费模式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RBAC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基于角色的访问控制（ Role-Based Access Control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汇聚编号 (HJBH)</w:t>
            </w:r>
          </w:p>
        </w:tc>
        <w:tc>
          <w:tcPr>
            <w:tcW w:w="726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省数据规范各表通用字段，值为教育局行政区划代码（增城区为  440118 ）</w:t>
            </w:r>
          </w:p>
        </w:tc>
      </w:tr>
    </w:tbl>
    <w:p>
      <w:pPr>
        <w:pStyle w:val="4"/>
        <w:rPr>
          <w:color w:val="auto"/>
          <w:lang w:eastAsia="zh-CN"/>
        </w:rPr>
      </w:pPr>
      <w:bookmarkStart w:id="2" w:name="section-2"/>
      <w:bookmarkEnd w:id="2"/>
      <w:bookmarkStart w:id="3" w:name="_Toc_section_2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二、区教育局端</w:t>
      </w:r>
      <w:bookmarkEnd w:id="3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本端是平台的监管中枢与数据汇聚中心，承载全区数据汇聚、资质审核、预警处置、账号授权与统计公示职能，功能如下。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2.1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区教育局端是平台的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监管中枢与数据汇聚中心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，承载区级教育行政部门对全区校园餐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底数清、过程明、资金安、风险控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的监管职能。使用主体为基装中心、财审、督导等区级角色，接入形态为监管驾驶舱（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PC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大屏）。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2.2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5387"/>
        <w:gridCol w:w="17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全区数据汇聚与一屏统览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 “ 学校 — 校区 — 食堂 ” 树状汇总全区学校数、食堂数、供餐方式分布、用餐人数、当日食谱、采购验收笔数与金额、食安台账完成率、视频在线率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综合表 1~37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学校 / 校区 / 食堂档案审核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建立学校台账（机构编码、办学类型），审核校区供餐方式（校内供餐 / 校外配餐 / 不供餐）与食堂食品经营许可证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1~4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校外供餐单位审核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供餐企业资质在线审核、派发  LSJY  临时编号、绑定服务校区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食材配送单位审核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供应商资质审核、黑白名单拦截、供应商 — 学校配对与品类授权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7~8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码表与字典管理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内置省规范全部码表（行政区划、餐次、证件类型、配送品类等），按省更新同步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码表 6.1~6.10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学校管理员账号创建与权限授权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创建校级账号、实名、按最小必要授权（数据范围 = 本校）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2~3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数据质量管理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对汇聚数据做完整性、准确性、一致性校验，异常生成清补采任务下发学校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全表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风险预警与闭环处置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预警规则引擎：价格异常、采购量异常、餐费入口率偏低、证照临期、留样缺漏、视频离线等，分级派发、整改复核、销号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全表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全区供餐数据统计分析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供餐学校数、就餐学生数、订餐量、缴费额、退费额、供应商履约率等统计分析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14/15/28  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信息公示与报表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自定义生成食堂经营数据公示报表，统筹全区公示口径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12/26/36  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审计日志</w:t>
            </w:r>
          </w:p>
        </w:tc>
        <w:tc>
          <w:tcPr>
            <w:tcW w:w="538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全量操作日志留存不少于 3年，支撑审计追溯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平台公共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2.3 业务流程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建档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：录入学校、校区、食堂基础档案，导入省码表字典；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审核授权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：审核供餐单位、配送单位资质，完成供应商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学校配对与品类授权，创建学校管理员账号并授权；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数据汇聚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：自动汇聚全区校级业务数据与硬件采集数据；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质量校验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：对汇聚数据做完整性与逻辑性校验，异常下发清补采任务；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预警处置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：识别风险生成预警单</w:t>
      </w:r>
      <w:r>
        <w:rPr>
          <w:rFonts w:hint="eastAsia" w:ascii="仿宋_GB2312" w:hAnsi="仿宋_GB2312" w:eastAsia="仿宋_GB2312"/>
          <w:color w:val="auto"/>
          <w:lang w:eastAsia="zh-CN"/>
        </w:rPr>
        <w:t>→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派发</w:t>
      </w:r>
      <w:r>
        <w:rPr>
          <w:rFonts w:hint="eastAsia" w:ascii="仿宋_GB2312" w:hAnsi="仿宋_GB2312" w:eastAsia="仿宋_GB2312"/>
          <w:color w:val="auto"/>
          <w:lang w:eastAsia="zh-CN"/>
        </w:rPr>
        <w:t>→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学校整改</w:t>
      </w:r>
      <w:r>
        <w:rPr>
          <w:rFonts w:hint="eastAsia" w:ascii="仿宋_GB2312" w:hAnsi="仿宋_GB2312" w:eastAsia="仿宋_GB2312"/>
          <w:color w:val="auto"/>
          <w:lang w:eastAsia="zh-CN"/>
        </w:rPr>
        <w:t>→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区级复核</w:t>
      </w:r>
      <w:r>
        <w:rPr>
          <w:rFonts w:hint="eastAsia" w:ascii="仿宋_GB2312" w:hAnsi="仿宋_GB2312" w:eastAsia="仿宋_GB2312"/>
          <w:color w:val="auto"/>
          <w:lang w:eastAsia="zh-CN"/>
        </w:rPr>
        <w:t>→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销号，全流程留痕；</w:t>
      </w:r>
    </w:p>
    <w:p>
      <w:pPr>
        <w:pStyle w:val="14"/>
        <w:numPr>
          <w:ilvl w:val="0"/>
          <w:numId w:val="7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统计公示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：生成全区统计分析报表与公示内容，支撑监管决策与阳光共治。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2.4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3686"/>
        <w:gridCol w:w="28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监管驾驶舱大屏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全区数据一屏统览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LED/ 拼接屏或桌面大屏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云服务器集群 / 政务云资源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应用、数据库、缓存、消息队列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高可用，支撑  5000+  并发、 32.4  万学生规模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对象 / 块存储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业务数据存储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业务数据在线保留  ≥5  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接口网关与专线 / 政务外网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对接市级平台、银行、市场监管、发改价格源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上行带宽建议  1000Mbps 、不低于  500Mbps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安全设备与等保配套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防火墙、 WAF 、堡垒机、日志审计、数据库审计、密钥管理、 MFA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信创云环境、</w:t>
            </w:r>
            <w:r>
              <w:rPr>
                <w:rFonts w:hint="eastAsia" w:ascii="仿宋_GB2312" w:hAnsi="仿宋_GB2312" w:eastAsia="仿宋_GB2312"/>
                <w:color w:val="auto"/>
              </w:rPr>
              <w:t>等保三级，商密  SM2/SM3/SM4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数据备份与容灾</w:t>
            </w:r>
          </w:p>
        </w:tc>
        <w:tc>
          <w:tcPr>
            <w:tcW w:w="368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异地备份、恢复演练</w:t>
            </w:r>
          </w:p>
        </w:tc>
        <w:tc>
          <w:tcPr>
            <w:tcW w:w="286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定期恢复演练</w:t>
            </w:r>
          </w:p>
        </w:tc>
      </w:tr>
    </w:tbl>
    <w:p>
      <w:pPr>
        <w:pStyle w:val="4"/>
        <w:rPr>
          <w:color w:val="auto"/>
        </w:rPr>
      </w:pPr>
      <w:bookmarkStart w:id="4" w:name="section-3"/>
      <w:bookmarkEnd w:id="4"/>
      <w:bookmarkStart w:id="5" w:name="_Toc_section_3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三、自营食堂学校端</w:t>
      </w:r>
      <w:bookmarkEnd w:id="5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本端面向自办食堂的学校，贯通食谱、采购、验收、出入库、消费、财务与食安台账全业务链，功能如下。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3.1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自营食堂学校端面向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自办食堂的学校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，是学校日常食堂业务的操作入口，贯通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食谱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采购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验收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出入库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加工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消费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财务</w:t>
      </w:r>
      <w:r>
        <w:rPr>
          <w:rFonts w:hint="eastAsia" w:ascii="仿宋_GB2312" w:hAnsi="仿宋_GB2312" w:eastAsia="仿宋_GB2312"/>
          <w:color w:val="auto"/>
          <w:lang w:eastAsia="zh-CN"/>
        </w:rPr>
        <w:t>—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食安台账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全业务链。使用主体为食堂负责人（食安总监）、食安管理员、采购验收员、库管员、学校财务等校级角色。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3.2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5244"/>
        <w:gridCol w:w="15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学校 / 校区 / 食堂档案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维护本校校区、食堂（食品经营许可证）、员工与健康证档案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2~5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菜品 / 主料 / 套餐 / 食谱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菜品库与营养参数、主料配比、套餐、按日餐次排食谱并发布公示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9~12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餐费充值与消费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家长 / 学生充值登记（现金 / 补贴钱包分账）、 POS  消费扣费记录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14~15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采购订单管理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按食谱分解食材需求生成采购单，推送供应商，人工确认下单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17~18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到货验收管理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按订单逐项验收（电子秤联动自动采集），记录退货与验收图片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19~20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出入库与盘点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入库 / 出库 / 月度盘存，批次号与先进先出管理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21~25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财务收支与资金流水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月度收支盈亏表编制、资金流水登记与银行对账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26~27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食品安全台账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明厨亮灶、留样、晨检、消毒、陪餐、废弃物记录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32~37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满意度测评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发起测评并汇总结果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学校招标管理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学校自行招标项目、评标专家、中标信息登记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29~31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3.3 业务流程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建档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：维护食堂档案、从业人员及健康证；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排食谱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：制定每日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每周食谱并发布；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采购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：由食谱分解食材需求生成采购订单并推送给供应商；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验收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：到货后电子秤逐项验收，自动回填验收单，异常退货留痕；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出入库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：验收通过自动入库，按先进先出领用出库，月度盘点；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消费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：师生通过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POS/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人脸终端按餐消费扣费；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财务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：按月编制收支盈亏表，核对资金流水；</w:t>
      </w:r>
    </w:p>
    <w:p>
      <w:pPr>
        <w:pStyle w:val="14"/>
        <w:numPr>
          <w:ilvl w:val="0"/>
          <w:numId w:val="8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食安台账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：逐日完成留样、晨检、消毒、陪餐、废弃物记录。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3.4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2"/>
        <w:gridCol w:w="3385"/>
        <w:gridCol w:w="30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智能电子秤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验收称重、识别食材与价格、回填验收单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称量精度  ≤50g ，支持条码 / 秤盘联动、 4G/ 有线上传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消费终端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人脸 /POS  一体机扣费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支持人脸 / 刷卡 / 扫码、离线容灾、流水自动上传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晨检机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健康证比对、测温、自动生成晨检记录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人脸识别比对健康证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智能留样柜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留样定时提醒、重量图片自动采集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保障  48h  留样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扫码枪 / 手持盘点终端（可选）</w:t>
            </w:r>
          </w:p>
        </w:tc>
        <w:tc>
          <w:tcPr>
            <w:tcW w:w="338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出入库扫码、移动盘点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库管  1~2  台</w:t>
            </w:r>
          </w:p>
        </w:tc>
      </w:tr>
    </w:tbl>
    <w:p>
      <w:pPr>
        <w:pStyle w:val="4"/>
        <w:rPr>
          <w:color w:val="auto"/>
          <w:lang w:eastAsia="zh-CN"/>
        </w:rPr>
      </w:pPr>
      <w:bookmarkStart w:id="6" w:name="section-4"/>
      <w:bookmarkEnd w:id="6"/>
      <w:bookmarkStart w:id="7" w:name="_Toc_section_4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四、食材配送供应商端</w:t>
      </w:r>
      <w:bookmarkEnd w:id="7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本端面向向自营食堂学校配送食材的企业，承接商品价格维护、接单配送、索证索票与结算对账，功能如下。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4.1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食材配送供应商端面向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向自营食堂学校配送食材的企业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，是供应商承接订单、维护商品价格、上传索证索票与结算对账的企业入口。学校下单后，供应商据此分拣备货、配送并完成溯源凭证归集。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4.2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4961"/>
        <w:gridCol w:w="21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资质注册申报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在线注册，上传统一社会信用代码、食品经营许可证、单位性质、负责人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商品 / 食材信息维护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维护所供食材目录（名称、分类、品牌、规格、计量单位）、报价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接单配送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接收学校采购订单、确认、分拣备货、配送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17~18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索证索票上传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上传检验检疫合格证明、进货票据等凭证照片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17~18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结算对账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与学校按验收单对账、生成结算数据</w:t>
            </w:r>
          </w:p>
        </w:tc>
        <w:tc>
          <w:tcPr>
            <w:tcW w:w="21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19~20 、 26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4.3 业务流程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注册审核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：提交资质，区教育局端审核入库（黑名单拦截）；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维护商品价格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：维护食材目录与报价，供学校下单选择；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接单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：接收学校采购订单并确认；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分拣配送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：按订单分拣备货、配送到校；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凭证归集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：上传索证索票，支撑食材溯源；</w:t>
      </w:r>
    </w:p>
    <w:p>
      <w:pPr>
        <w:pStyle w:val="14"/>
        <w:numPr>
          <w:ilvl w:val="0"/>
          <w:numId w:val="9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结算对账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：以学校验收单为依据对账结算。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4.4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4"/>
        <w:gridCol w:w="2409"/>
        <w:gridCol w:w="38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240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386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扫码 / 打码设备</w:t>
            </w:r>
          </w:p>
        </w:tc>
        <w:tc>
          <w:tcPr>
            <w:tcW w:w="240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配送称重、标签打印</w:t>
            </w:r>
          </w:p>
        </w:tc>
        <w:tc>
          <w:tcPr>
            <w:tcW w:w="386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支持称重计价与条码打印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冷链温控（冷链食材）</w:t>
            </w:r>
          </w:p>
        </w:tc>
        <w:tc>
          <w:tcPr>
            <w:tcW w:w="240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冷链运输温度记录</w:t>
            </w:r>
          </w:p>
        </w:tc>
        <w:tc>
          <w:tcPr>
            <w:tcW w:w="386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温度记录仪可上传，保障冷链不断链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配送车辆定位（可选）</w:t>
            </w:r>
          </w:p>
        </w:tc>
        <w:tc>
          <w:tcPr>
            <w:tcW w:w="240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配送轨迹追踪</w:t>
            </w:r>
          </w:p>
        </w:tc>
        <w:tc>
          <w:tcPr>
            <w:tcW w:w="386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对接平台供学校查看送达状态</w:t>
            </w:r>
          </w:p>
        </w:tc>
      </w:tr>
    </w:tbl>
    <w:p>
      <w:pPr>
        <w:pStyle w:val="4"/>
        <w:rPr>
          <w:color w:val="auto"/>
          <w:lang w:eastAsia="zh-CN"/>
        </w:rPr>
      </w:pPr>
      <w:bookmarkStart w:id="8" w:name="section-5"/>
      <w:bookmarkEnd w:id="8"/>
      <w:bookmarkStart w:id="9" w:name="_Toc_section_5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五、校外供餐学校端</w:t>
      </w:r>
      <w:bookmarkEnd w:id="9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本端面向采用校外配餐的学校，承担就餐学生管理、供应商绑定、订餐消费核查与陪餐台账等职责，功能如下。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5.1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校外供餐学校端面向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采用校外配餐（非自营）的学校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，学校不设食堂加工，由配餐企业供餐。学校端承担就餐学生管理、供应商绑定、订餐与消费核查、陪餐与台账等职责。增城区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76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所中小学属此模式，配餐人数超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5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万。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5.2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5103"/>
        <w:gridCol w:w="17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学校 / 校区档案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维护本校校区供餐方式（校外配餐）、用膳人数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2~3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就餐学生信息录入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批量导入 / 维护就餐学生名单（姓名、学籍号、年级班级、供餐周期）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供应商信息录入与绑定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录入并绑定服务本校的供餐供应商（须区级已审核通过）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订餐查询与消费金额核查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按日 / 周 / 月 / 学期查询订餐明细、消费汇总、退费明细，核查金额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14~15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食谱公示查看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查看配餐企业发布的周菜谱并向家长公示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伙食费收支台账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登记代收银行账户与伙食费收支、余额，代收代付监管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满意度测评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发起本校满意度测评并汇总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陪餐管理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登记校领导 / 教师 / 家长陪餐记录并公示</w:t>
            </w:r>
          </w:p>
        </w:tc>
        <w:tc>
          <w:tcPr>
            <w:tcW w:w="173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36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5.3 业务流程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建档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：维护校区供餐方式与用膳人数；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录学生绑供应商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：批量导入就餐学生名单，绑定区级已审核的供餐供应商；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订餐扣费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：家长订餐缴费，学生按次消费扣费；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核查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：按日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周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月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学期核查订餐量与消费金额，标记异常推供应商处理；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月对账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：以结算单为依据确认供餐金额，进入伙食费收支台账；</w:t>
      </w:r>
    </w:p>
    <w:p>
      <w:pPr>
        <w:pStyle w:val="14"/>
        <w:numPr>
          <w:ilvl w:val="0"/>
          <w:numId w:val="10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陪餐测评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：组织陪餐、发起满意度测评。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5.4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9"/>
        <w:gridCol w:w="3028"/>
        <w:gridCol w:w="30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自备电脑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登录系统完成各项操作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</w:p>
        </w:tc>
      </w:tr>
    </w:tbl>
    <w:p>
      <w:pPr>
        <w:pStyle w:val="4"/>
        <w:rPr>
          <w:color w:val="auto"/>
          <w:lang w:eastAsia="zh-CN"/>
        </w:rPr>
      </w:pPr>
      <w:bookmarkStart w:id="10" w:name="section-6"/>
      <w:bookmarkEnd w:id="10"/>
      <w:bookmarkStart w:id="11" w:name="_Toc_section_6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六、校外供餐供应商端</w:t>
      </w:r>
      <w:bookmarkEnd w:id="11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本端面向向学校直接供餐的配餐企业，承担每周菜谱发布、配餐核销、每日消费结算与食材溯源，功能如下。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6.1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校外供餐供应商端面向</w:t>
      </w: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向学校直接供餐（配餐）的企业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，承担每周菜谱发布、配餐核销、每日消费结算与食材溯源等职责，是校外配餐链的核心供给方。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6.2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5103"/>
        <w:gridCol w:w="20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资质注册申报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在线注册申报，上传信用代码、食品经营 / 生产许可证，区级审核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每周菜谱录入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按周录入并发布菜谱（日期、餐次、菜品 / 套餐、营养标注）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配餐核销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配餐送达后扫码 / 刷码核销，触发按次扣费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每日消费结算与对账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按日统计供餐人次生成结算单，与平台扣费流水、学校三方对账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15 、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食材采购溯源管理</w:t>
            </w:r>
          </w:p>
        </w:tc>
        <w:tc>
          <w:tcPr>
            <w:tcW w:w="510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录入食材采购来源、索证索票、批次追溯信息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16 、表 6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6.3 业务流程</w:t>
      </w:r>
    </w:p>
    <w:p>
      <w:pPr>
        <w:pStyle w:val="14"/>
        <w:numPr>
          <w:ilvl w:val="0"/>
          <w:numId w:val="11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注册审核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：提交资质，区教育局端审核并派发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LSJY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临时编号；</w:t>
      </w:r>
    </w:p>
    <w:p>
      <w:pPr>
        <w:pStyle w:val="14"/>
        <w:numPr>
          <w:ilvl w:val="0"/>
          <w:numId w:val="11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录菜谱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：每周于订餐截单前发布并锁定菜谱；</w:t>
      </w:r>
    </w:p>
    <w:p>
      <w:pPr>
        <w:pStyle w:val="14"/>
        <w:numPr>
          <w:ilvl w:val="0"/>
          <w:numId w:val="11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配餐核销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：按订单配餐送达，学校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学生核销触发按次扣费；</w:t>
      </w:r>
    </w:p>
    <w:p>
      <w:pPr>
        <w:pStyle w:val="14"/>
        <w:numPr>
          <w:ilvl w:val="0"/>
          <w:numId w:val="11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日结算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：按日统计实际供餐人次生成结算单，与平台、学校三方对账确认；</w:t>
      </w:r>
    </w:p>
    <w:p>
      <w:pPr>
        <w:pStyle w:val="14"/>
        <w:numPr>
          <w:ilvl w:val="0"/>
          <w:numId w:val="11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食材溯源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：录入配餐食材采购来源与索证索票，全程可溯。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6.4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5"/>
        <w:gridCol w:w="3102"/>
        <w:gridCol w:w="30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310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冷链温控</w:t>
            </w:r>
          </w:p>
        </w:tc>
        <w:tc>
          <w:tcPr>
            <w:tcW w:w="310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配餐保温 / 冷链运输温度记录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温度记录可上传，保障供餐安全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中央厨房明厨亮灶（可选）</w:t>
            </w:r>
          </w:p>
        </w:tc>
        <w:tc>
          <w:tcPr>
            <w:tcW w:w="3102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供餐企业生产环节视频监控</w:t>
            </w:r>
          </w:p>
        </w:tc>
        <w:tc>
          <w:tcPr>
            <w:tcW w:w="302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对接平台供区级巡查</w:t>
            </w:r>
          </w:p>
        </w:tc>
      </w:tr>
    </w:tbl>
    <w:p>
      <w:pPr>
        <w:pStyle w:val="4"/>
        <w:rPr>
          <w:color w:val="auto"/>
        </w:rPr>
      </w:pPr>
      <w:bookmarkStart w:id="12" w:name="section-7"/>
      <w:bookmarkEnd w:id="12"/>
      <w:bookmarkStart w:id="13" w:name="_Toc_section_7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七、家长端</w:t>
      </w:r>
      <w:bookmarkEnd w:id="13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本端面向学生家长，以微信小程序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/H5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提供订餐缴费退费、消费查询、测评、陪餐预约与公示查看服务，功能如下。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7.1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家长端面向学生家长，以微信小程序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/H5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形态提供服务，是校外配餐链的消费入口与社会共治窗口，无需家长自备专用硬件（智能手机即可）。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7.2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4961"/>
        <w:gridCol w:w="20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数据依据 / 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订餐与取消订餐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浏览周菜谱按日 / 周订餐，当日  22:00  前可取消次日及之后订单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3 、 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在线缴费与退费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按订单在线缴费（预充值 + 按次扣费），支持原路退回退费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按次消费扣费与查询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实际用餐一次扣费一次，查询消费明细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食谱查看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查看配餐企业发布的周菜谱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满意度测评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在线提交满意度评价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陪餐预约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家长陪餐预约入口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公示查看</w:t>
            </w:r>
          </w:p>
        </w:tc>
        <w:tc>
          <w:tcPr>
            <w:tcW w:w="496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查看学校食堂经营信息公示</w:t>
            </w:r>
          </w:p>
        </w:tc>
        <w:tc>
          <w:tcPr>
            <w:tcW w:w="2019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26/36  等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7.3 业务流程</w:t>
      </w:r>
    </w:p>
    <w:p>
      <w:pPr>
        <w:pStyle w:val="14"/>
        <w:numPr>
          <w:ilvl w:val="0"/>
          <w:numId w:val="12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实名绑定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：家长实名并核验学籍关系，绑定学生（支持多子女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多家长）；</w:t>
      </w:r>
    </w:p>
    <w:p>
      <w:pPr>
        <w:pStyle w:val="14"/>
        <w:numPr>
          <w:ilvl w:val="0"/>
          <w:numId w:val="12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订餐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：浏览菜谱按日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周订餐，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22:00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前可取消次日及之后订单；</w:t>
      </w:r>
    </w:p>
    <w:p>
      <w:pPr>
        <w:pStyle w:val="14"/>
        <w:numPr>
          <w:ilvl w:val="0"/>
          <w:numId w:val="12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缴费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：在线缴费，资金进入校园餐资金账户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钱包分账；</w:t>
      </w:r>
    </w:p>
    <w:p>
      <w:pPr>
        <w:pStyle w:val="14"/>
        <w:numPr>
          <w:ilvl w:val="0"/>
          <w:numId w:val="12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按次扣费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：学生实际用餐一次扣费一次，未用餐不扣；</w:t>
      </w:r>
    </w:p>
    <w:p>
      <w:pPr>
        <w:pStyle w:val="14"/>
        <w:numPr>
          <w:ilvl w:val="0"/>
          <w:numId w:val="12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查询反馈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：查询消费记录、参与测评、预约陪餐、查看公示。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7.4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8"/>
        <w:gridCol w:w="3028"/>
        <w:gridCol w:w="30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智能手机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家长自备，运行微信小程序 /H5</w:t>
            </w:r>
          </w:p>
        </w:tc>
        <w:tc>
          <w:tcPr>
            <w:tcW w:w="288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无需平台另行采购</w:t>
            </w:r>
          </w:p>
        </w:tc>
      </w:tr>
    </w:tbl>
    <w:p>
      <w:pPr>
        <w:pStyle w:val="4"/>
        <w:rPr>
          <w:color w:val="auto"/>
        </w:rPr>
      </w:pPr>
      <w:bookmarkStart w:id="14" w:name="section-8"/>
      <w:bookmarkEnd w:id="14"/>
      <w:bookmarkStart w:id="15" w:name="_Toc_section_8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八、银行端</w:t>
      </w:r>
      <w:bookmarkEnd w:id="15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本端为合作银行方，承担校园餐资金账户托管、缴费退费归集、按确认结算单划付与对账职责，功能如下。</w:t>
      </w:r>
    </w:p>
    <w:p>
      <w:pPr>
        <w:pStyle w:val="5"/>
        <w:rPr>
          <w:color w:val="auto"/>
          <w:lang w:eastAsia="zh-CN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8.1 端定位与职责</w:t>
      </w:r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银行端为政银合作方，承担校园餐资金账户托管、缴费退费资金归集、按确认结算单划付与对账职责，横向支撑自营食堂链与校外配餐链的资金安全与廉政合规。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8.2 核心功能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5244"/>
        <w:gridCol w:w="15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功能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说明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关联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校园餐资金账户开立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为学校开立校园餐资金账户，实现专款专用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缴费 / 退费资金归集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归集家长在线缴费资金，执行原路退回退费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按确认结算单划付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依据平台三方确认的结算单向供餐 / 配送企业划付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15 、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对账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与平台扣费流水按日 / 月对账，出具对账数据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15 、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余额监管预警</w:t>
            </w:r>
          </w:p>
        </w:tc>
        <w:tc>
          <w:tcPr>
            <w:tcW w:w="524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对余额长期滞留、异常划转输出预警</w:t>
            </w:r>
          </w:p>
        </w:tc>
        <w:tc>
          <w:tcPr>
            <w:tcW w:w="15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28</w:t>
            </w:r>
          </w:p>
        </w:tc>
      </w:tr>
    </w:tbl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8.3 业务流程</w:t>
      </w:r>
    </w:p>
    <w:p>
      <w:pPr>
        <w:pStyle w:val="14"/>
        <w:numPr>
          <w:ilvl w:val="0"/>
          <w:numId w:val="13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开立专户：由学校（幼儿园）作为开户主体，有自营食堂的在合作银行开立食堂专用账户，有校外配餐的统一基本存款账户的开户银行；</w:t>
      </w:r>
    </w:p>
    <w:p>
      <w:pPr>
        <w:pStyle w:val="14"/>
        <w:numPr>
          <w:ilvl w:val="0"/>
          <w:numId w:val="13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资金归集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：归集家长缴费与充值资金，执行退费原路退回；</w:t>
      </w:r>
    </w:p>
    <w:p>
      <w:pPr>
        <w:pStyle w:val="14"/>
        <w:numPr>
          <w:ilvl w:val="0"/>
          <w:numId w:val="13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结算划付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：收到平台确认的结算单后向企业划付，杜绝学校与供应商现金往来；</w:t>
      </w:r>
    </w:p>
    <w:p>
      <w:pPr>
        <w:pStyle w:val="14"/>
        <w:numPr>
          <w:ilvl w:val="0"/>
          <w:numId w:val="13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b/>
          <w:color w:val="auto"/>
          <w:lang w:eastAsia="zh-CN"/>
        </w:rPr>
        <w:t>对账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：与平台按日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月对账，异常预警。</w:t>
      </w:r>
    </w:p>
    <w:p>
      <w:pPr>
        <w:pStyle w:val="14"/>
        <w:numPr>
          <w:ilvl w:val="0"/>
          <w:numId w:val="13"/>
        </w:numPr>
        <w:spacing w:after="72"/>
        <w:rPr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专项资金监管与功能扩展：如区教育局汇聚新设专项资金，合作银行须对该项目资金实行专项监管，并按区教育局要求提供平台功能扩展。</w:t>
      </w:r>
    </w:p>
    <w:p>
      <w:pPr>
        <w:pStyle w:val="5"/>
        <w:rPr>
          <w:color w:val="auto"/>
        </w:rPr>
      </w:pPr>
      <w:r>
        <w:rPr>
          <w:rFonts w:hint="eastAsia" w:ascii="楷体_GB2312" w:hAnsi="楷体_GB2312" w:eastAsia="楷体_GB2312" w:cs="微软雅黑"/>
          <w:b w:val="0"/>
          <w:color w:val="auto"/>
          <w:sz w:val="24"/>
          <w:lang w:eastAsia="zh-CN"/>
        </w:rPr>
        <w:t>8.4 硬件设备清单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3260"/>
        <w:gridCol w:w="3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32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用途</w:t>
            </w:r>
          </w:p>
        </w:tc>
        <w:tc>
          <w:tcPr>
            <w:tcW w:w="37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配置要点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5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银行侧系统与专线</w:t>
            </w:r>
          </w:p>
        </w:tc>
        <w:tc>
          <w:tcPr>
            <w:tcW w:w="32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银行核心系统与平台接口对接</w:t>
            </w:r>
          </w:p>
        </w:tc>
        <w:tc>
          <w:tcPr>
            <w:tcW w:w="372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银行自建，区级仅需接口网关与专线对接（ H-12 ）</w:t>
            </w:r>
          </w:p>
        </w:tc>
      </w:tr>
    </w:tbl>
    <w:p>
      <w:pPr>
        <w:pStyle w:val="4"/>
        <w:rPr>
          <w:color w:val="auto"/>
          <w:lang w:eastAsia="zh-CN"/>
        </w:rPr>
      </w:pPr>
      <w:bookmarkStart w:id="16" w:name="section-9"/>
      <w:bookmarkEnd w:id="16"/>
      <w:bookmarkStart w:id="17" w:name="_Toc_section_9"/>
      <w:r>
        <w:rPr>
          <w:rFonts w:hint="eastAsia" w:ascii="黑体" w:hAnsi="黑体" w:eastAsia="黑体" w:cs="微软雅黑"/>
          <w:b w:val="0"/>
          <w:color w:val="auto"/>
          <w:sz w:val="32"/>
          <w:lang w:eastAsia="zh-CN"/>
        </w:rPr>
        <w:t>九、硬件设备汇总与建设节奏</w:t>
      </w:r>
      <w:bookmarkEnd w:id="17"/>
    </w:p>
    <w:p>
      <w:pPr>
        <w:rPr>
          <w:color w:val="auto"/>
          <w:lang w:eastAsia="zh-CN"/>
        </w:rPr>
      </w:pPr>
      <w:r>
        <w:rPr>
          <w:rFonts w:hint="eastAsia" w:ascii="仿宋_GB2312" w:hAnsi="仿宋_GB2312" w:eastAsia="仿宋_GB2312" w:cs="微软雅黑"/>
          <w:color w:val="auto"/>
          <w:lang w:eastAsia="zh-CN"/>
        </w:rPr>
        <w:t>七端硬件按</w:t>
      </w:r>
      <w:r>
        <w:rPr>
          <w:rFonts w:hint="eastAsia" w:ascii="仿宋_GB2312" w:hAnsi="仿宋_GB2312" w:eastAsia="仿宋_GB2312"/>
          <w:color w:val="auto"/>
          <w:lang w:eastAsia="zh-CN"/>
        </w:rPr>
        <w:t>“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校级数据采集前端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+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区级平台承载底座</w:t>
      </w:r>
      <w:r>
        <w:rPr>
          <w:rFonts w:hint="eastAsia" w:ascii="仿宋_GB2312" w:hAnsi="仿宋_GB2312" w:eastAsia="仿宋_GB2312"/>
          <w:color w:val="auto"/>
          <w:lang w:eastAsia="zh-CN"/>
        </w:rPr>
        <w:t xml:space="preserve"> + 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企业</w:t>
      </w:r>
      <w:r>
        <w:rPr>
          <w:rFonts w:hint="eastAsia" w:ascii="仿宋_GB2312" w:hAnsi="仿宋_GB2312" w:eastAsia="仿宋_GB2312"/>
          <w:color w:val="auto"/>
          <w:lang w:eastAsia="zh-CN"/>
        </w:rPr>
        <w:t>/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银行协作终端</w:t>
      </w:r>
      <w:r>
        <w:rPr>
          <w:rFonts w:hint="eastAsia" w:ascii="仿宋_GB2312" w:hAnsi="仿宋_GB2312" w:eastAsia="仿宋_GB2312"/>
          <w:color w:val="auto"/>
          <w:lang w:eastAsia="zh-CN"/>
        </w:rPr>
        <w:t>”</w:t>
      </w:r>
      <w:r>
        <w:rPr>
          <w:rFonts w:hint="eastAsia" w:ascii="仿宋_GB2312" w:hAnsi="仿宋_GB2312" w:eastAsia="仿宋_GB2312" w:cs="微软雅黑"/>
          <w:color w:val="auto"/>
          <w:lang w:eastAsia="zh-CN"/>
        </w:rPr>
        <w:t>三类汇总如下：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2410"/>
        <w:gridCol w:w="2070"/>
        <w:gridCol w:w="1817"/>
        <w:gridCol w:w="18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序号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设备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归属端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关联功能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建设节奏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H-01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智能电子秤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电子秤验收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H-04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消费终端（人脸 /POS ）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消费扣费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H-06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晨检机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晨检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H-07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智能留样柜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留样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H-08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扫码枪 / 手持盘点终端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出入库盘点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供应商自备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H-10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云服务器集群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平台承载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H-11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对象 / 块存储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数据</w:t>
            </w: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存储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H-12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接口网关与专线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区教育局端、银行端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跨系统对接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H-13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安全设备与等保配套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安全合规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H-14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监管驾驶舱大屏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一屏统览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H-15</w:t>
            </w:r>
          </w:p>
        </w:tc>
        <w:tc>
          <w:tcPr>
            <w:tcW w:w="241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数据备份与容灾</w:t>
            </w:r>
          </w:p>
        </w:tc>
        <w:tc>
          <w:tcPr>
            <w:tcW w:w="207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备份容灾</w:t>
            </w:r>
          </w:p>
        </w:tc>
        <w:tc>
          <w:tcPr>
            <w:tcW w:w="181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一期</w:t>
            </w:r>
          </w:p>
        </w:tc>
      </w:tr>
    </w:tbl>
    <w:p>
      <w:pPr>
        <w:pBdr>
          <w:left w:val="single" w:color="1565C0" w:sz="18" w:space="0"/>
        </w:pBdr>
        <w:shd w:val="clear" w:color="auto" w:fill="F5F7FA"/>
        <w:ind w:firstLine="480"/>
        <w:rPr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建设节奏说明：H-01、H-04、H-06、H-07以及H-10至H-15为一期必配（对应优先归集数据与核心业务）；H-08由供应商自备。家长端无专用硬件（智能手机自备），银行端硬件由银行侧自建、区级仅需接口网关与专线对接。</w:t>
      </w:r>
    </w:p>
    <w:p>
      <w:pPr>
        <w:pStyle w:val="4"/>
        <w:rPr>
          <w:color w:val="auto"/>
          <w:lang w:eastAsia="zh-CN"/>
        </w:rPr>
      </w:pPr>
      <w:bookmarkStart w:id="18" w:name="section-10"/>
      <w:bookmarkEnd w:id="18"/>
      <w:bookmarkStart w:id="19" w:name="_Toc_section_10"/>
      <w:r>
        <w:rPr>
          <w:rFonts w:hint="eastAsia" w:ascii="黑体" w:hAnsi="黑体" w:eastAsia="黑体" w:cs="微软雅黑"/>
          <w:b w:val="0"/>
          <w:color w:val="auto"/>
          <w:sz w:val="28"/>
          <w:lang w:eastAsia="zh-CN"/>
        </w:rPr>
        <w:t>附录A：端—核心功能—硬件—省数据表映射总表</w:t>
      </w:r>
      <w:bookmarkEnd w:id="19"/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977"/>
        <w:gridCol w:w="2268"/>
        <w:gridCol w:w="18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核心功能（编号）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关键硬件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b/>
                <w:color w:val="auto"/>
              </w:rPr>
              <w:t>关联省数据表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区教育局端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数据汇聚、资质审核、预警处置、账号授权、统计分析（ F-01~F-08 、 F-35~F-41 、 F-48~F-49 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H-10~H-15 、办公电脑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1~8 、码表 6.1~6.10 、全表汇总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自营食堂学校端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档案、食谱、采购、验收、出入库、消费、财务、食安台账（ F-02~F-04 、 F-09~F-24 、 F-26~F-34 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H-01、H-04、H-06、H-07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2~5 、 9~27 、 29~37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食材配送供应商端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资质、商品价格、接单配送、索证索票、结算（ F-06 、 F-16 、 F-17  对接）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办公电脑、扫码打码、冷链温控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7~8 、 16~20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校外供餐学校端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学生录入、供应商绑定、订餐消费核查、台账、陪餐（ F-02 、 F-13 、 F-25 、 F-33 、 F-46~F-47 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办公电脑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2~3 、 6 、 12~15 、 28 、 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校外供餐供应商端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菜谱、配餐核销、每日结算、食材溯源（ F-05 、 F-50~F-52 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办公电脑、冷链温控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6 、 12 、 15 、 16 、 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家长端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订餐、缴费退费、按次扣费查询、测评、陪餐预约、公示（ F-12~F-15 、 F-33 、 F-43~F-45 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智能手机（自备）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12~15 、 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银行端</w:t>
            </w:r>
          </w:p>
        </w:tc>
        <w:tc>
          <w:tcPr>
            <w:tcW w:w="29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lang w:eastAsia="zh-CN"/>
              </w:rPr>
              <w:t>校园餐资金账户、资金归集、结算划付、对账（ F-25/F-51  衔接）</w:t>
            </w:r>
          </w:p>
        </w:tc>
        <w:tc>
          <w:tcPr>
            <w:tcW w:w="226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银行侧系统 + 专线</w:t>
            </w:r>
          </w:p>
        </w:tc>
        <w:tc>
          <w:tcPr>
            <w:tcW w:w="1877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</w:tcPr>
          <w:p>
            <w:pPr>
              <w:spacing w:before="45" w:after="45" w:line="240" w:lineRule="auto"/>
              <w:jc w:val="left"/>
              <w:rPr>
                <w:color w:val="auto"/>
              </w:rPr>
            </w:pPr>
            <w:r>
              <w:rPr>
                <w:rFonts w:hint="eastAsia" w:ascii="仿宋_GB2312" w:hAnsi="仿宋_GB2312" w:eastAsia="仿宋_GB2312"/>
                <w:color w:val="auto"/>
              </w:rPr>
              <w:t>表 14 、 15 、 28</w:t>
            </w:r>
          </w:p>
        </w:tc>
      </w:tr>
    </w:tbl>
    <w:p>
      <w:pPr>
        <w:rPr>
          <w:color w:val="auto"/>
        </w:rPr>
      </w:pPr>
    </w:p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440" w:right="1474" w:bottom="1440" w:left="1587" w:header="720" w:footer="1418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ＭＳ 明朝">
    <w:altName w:val="MS Gothi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2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7216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AalSs7WAAAABgEAAA8AAAAAAAAAAQAgAAAAOAAAAGRycy9kb3ducmV2LnhtbFBLAQIU&#10;ABQAAAAIAIdO4kBc9DM5GAIAACMEAAAOAAAAAAAAAAEAIAAAADs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2"/>
        <w:lang w:eastAsia="zh-CN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6192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AGpUrO1gAAAAYBAAAPAAAAAAAAAAEAIAAAADgAAABkcnMvZG93bnJldi54bWxQSwEC&#10;FAAUAAAACACHTuJAuDFq5hkCAAAjBAAADgAAAAAAAAABACAAAAA7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2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AGpUrO1gAAAAYBAAAPAAAAAAAAAAEAIAAAADgAAABkcnMvZG93bnJldi54bWxQSwEC&#10;FAAUAAAACACHTuJA23ByGhkCAAAjBAAADgAAAAAAAAABACAAAAA7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2"/>
        <w:lang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AalSs7WAAAABgEAAA8AAAAAAAAAAQAgAAAAOAAAAGRycy9kb3ducmV2LnhtbFBL&#10;AQIUABQAAAAIAIdO4kAxvKiDGwIAACMEAAAOAAAAAAAAAAEAIAAAADs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  <w:r>
      <w:rPr>
        <w:sz w:val="24"/>
      </w:rPr>
      <w:pict>
        <v:shape id="PowerPlusWaterMarkObject4486231" o:spid="_x0000_s2058" o:spt="136" type="#_x0000_t136" style="position:absolute;left:0pt;margin-left:420.1pt;margin-top:399.1pt;height:35pt;width:124pt;mso-position-horizontal-relative:margin;mso-position-vertical-relative:margin;rotation:-2949120f;z-index:-25164697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3615410" o:spid="_x0000_s2057" o:spt="136" type="#_x0000_t136" style="position:absolute;left:0pt;margin-left:247.55pt;margin-top:571.65pt;height:35pt;width:124pt;mso-position-horizontal-relative:margin;mso-position-vertical-relative:margin;rotation:-2949120f;z-index:-25164800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3155598" o:spid="_x0000_s2056" o:spt="136" type="#_x0000_t136" style="position:absolute;left:0pt;margin-left:75pt;margin-top:744.2pt;height:35pt;width:124pt;mso-position-horizontal-relative:margin;mso-position-vertical-relative:margin;rotation:-2949120f;z-index:-2516490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2993599" o:spid="_x0000_s2055" o:spt="136" type="#_x0000_t136" style="position:absolute;left:0pt;margin-left:420.1pt;margin-top:39.8pt;height:35pt;width:124pt;mso-position-horizontal-relative:margin;mso-position-vertical-relative:margin;rotation:-2949120f;z-index:-2516500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2828589" o:spid="_x0000_s2054" o:spt="136" type="#_x0000_t136" style="position:absolute;left:0pt;margin-left:247.55pt;margin-top:212.35pt;height:35pt;width:124pt;mso-position-horizontal-relative:margin;mso-position-vertical-relative:margin;rotation:-2949120f;z-index:-2516510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2663818" o:spid="_x0000_s2053" o:spt="136" type="#_x0000_t136" style="position:absolute;left:0pt;margin-left:75pt;margin-top:384.9pt;height:35pt;width:124pt;mso-position-horizontal-relative:margin;mso-position-vertical-relative:margin;rotation:-2949120f;z-index:-2516520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2378327" o:spid="_x0000_s2052" o:spt="136" type="#_x0000_t136" style="position:absolute;left:0pt;margin-left:-97.5pt;margin-top:557.4pt;height:35pt;width:124pt;mso-position-horizontal-relative:margin;mso-position-vertical-relative:margin;rotation:-2949120f;z-index:-2516531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491567" o:spid="_x0000_s2051" o:spt="136" type="#_x0000_t136" style="position:absolute;left:0pt;margin-left:247.55pt;margin-top:-146.95pt;height:35pt;width:124pt;mso-position-horizontal-relative:margin;mso-position-vertical-relative:margin;rotation:-2949120f;z-index:-2516541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957462" o:spid="_x0000_s2050" o:spt="136" type="#_x0000_t136" style="position:absolute;left:0pt;margin-left:75pt;margin-top:25.6pt;height:35pt;width:124pt;mso-position-horizontal-relative:margin;mso-position-vertical-relative:margin;rotation:-2949120f;z-index:-2516551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677063" o:spid="_x0000_s2049" o:spt="136" type="#_x0000_t136" style="position:absolute;left:0pt;margin-left:-97.5pt;margin-top:198.1pt;height:35pt;width:124pt;mso-position-horizontal-relative:margin;mso-position-vertical-relative:margin;rotation:-2949120f;z-index:-25165619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  <w:r>
      <w:rPr>
        <w:sz w:val="24"/>
      </w:rPr>
      <w:pict>
        <v:shape id="PowerPlusWaterMarkObject10269181" o:spid="_x0000_s2068" o:spt="136" type="#_x0000_t136" style="position:absolute;left:0pt;margin-left:420.1pt;margin-top:399.1pt;height:35pt;width:124pt;mso-position-horizontal-relative:margin;mso-position-vertical-relative:margin;rotation:-2949120f;z-index:-25163673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9453331" o:spid="_x0000_s2067" o:spt="136" type="#_x0000_t136" style="position:absolute;left:0pt;margin-left:247.55pt;margin-top:571.65pt;height:35pt;width:124pt;mso-position-horizontal-relative:margin;mso-position-vertical-relative:margin;rotation:-2949120f;z-index:-25163776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8581901" o:spid="_x0000_s2066" o:spt="136" type="#_x0000_t136" style="position:absolute;left:0pt;margin-left:75pt;margin-top:744.2pt;height:35pt;width:124pt;mso-position-horizontal-relative:margin;mso-position-vertical-relative:margin;rotation:-2949120f;z-index:-25163878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8527678" o:spid="_x0000_s2065" o:spt="136" type="#_x0000_t136" style="position:absolute;left:0pt;margin-left:420.1pt;margin-top:39.8pt;height:35pt;width:124pt;mso-position-horizontal-relative:margin;mso-position-vertical-relative:margin;rotation:-2949120f;z-index:-25163980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7666681" o:spid="_x0000_s2064" o:spt="136" type="#_x0000_t136" style="position:absolute;left:0pt;margin-left:247.55pt;margin-top:212.35pt;height:35pt;width:124pt;mso-position-horizontal-relative:margin;mso-position-vertical-relative:margin;rotation:-2949120f;z-index:-25164083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7459016" o:spid="_x0000_s2063" o:spt="136" type="#_x0000_t136" style="position:absolute;left:0pt;margin-left:75pt;margin-top:384.9pt;height:35pt;width:124pt;mso-position-horizontal-relative:margin;mso-position-vertical-relative:margin;rotation:-2949120f;z-index:-25164185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6597670" o:spid="_x0000_s2062" o:spt="136" type="#_x0000_t136" style="position:absolute;left:0pt;margin-left:-97.5pt;margin-top:557.4pt;height:35pt;width:124pt;mso-position-horizontal-relative:margin;mso-position-vertical-relative:margin;rotation:-2949120f;z-index:-25164288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5802564" o:spid="_x0000_s2061" o:spt="136" type="#_x0000_t136" style="position:absolute;left:0pt;margin-left:247.55pt;margin-top:-146.95pt;height:35pt;width:124pt;mso-position-horizontal-relative:margin;mso-position-vertical-relative:margin;rotation:-2949120f;z-index:-25164390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5473784" o:spid="_x0000_s2060" o:spt="136" type="#_x0000_t136" style="position:absolute;left:0pt;margin-left:75pt;margin-top:25.6pt;height:35pt;width:124pt;mso-position-horizontal-relative:margin;mso-position-vertical-relative:margin;rotation:-2949120f;z-index:-25164492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5334619" o:spid="_x0000_s2059" o:spt="136" type="#_x0000_t136" style="position:absolute;left:0pt;margin-left:-97.5pt;margin-top:198.1pt;height:35pt;width:124pt;mso-position-horizontal-relative:margin;mso-position-vertical-relative:margin;rotation:-2949120f;z-index:-25164595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</w:pPr>
    <w:r>
      <w:rPr>
        <w:sz w:val="24"/>
      </w:rPr>
      <w:pict>
        <v:shape id="PowerPlusWaterMarkObject15578397" o:spid="_x0000_s2078" o:spt="136" type="#_x0000_t136" style="position:absolute;left:0pt;margin-left:420.1pt;margin-top:432pt;height:35pt;width:124pt;mso-position-horizontal-relative:margin;mso-position-vertical-relative:margin;rotation:-2949120f;z-index:-25162649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4642889" o:spid="_x0000_s2077" o:spt="136" type="#_x0000_t136" style="position:absolute;left:0pt;margin-left:247.55pt;margin-top:604.55pt;height:35pt;width:124pt;mso-position-horizontal-relative:margin;mso-position-vertical-relative:margin;rotation:-2949120f;z-index:-25162752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4452191" o:spid="_x0000_s2076" o:spt="136" type="#_x0000_t136" style="position:absolute;left:0pt;margin-left:75pt;margin-top:777.1pt;height:35pt;width:124pt;mso-position-horizontal-relative:margin;mso-position-vertical-relative:margin;rotation:-2949120f;z-index:-25162854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4315836" o:spid="_x0000_s2075" o:spt="136" type="#_x0000_t136" style="position:absolute;left:0pt;margin-left:420.1pt;margin-top:72.7pt;height:35pt;width:124pt;mso-position-horizontal-relative:margin;mso-position-vertical-relative:margin;rotation:-2949120f;z-index:-25162956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3808930" o:spid="_x0000_s2074" o:spt="136" type="#_x0000_t136" style="position:absolute;left:0pt;margin-left:247.55pt;margin-top:245.25pt;height:35pt;width:124pt;mso-position-horizontal-relative:margin;mso-position-vertical-relative:margin;rotation:-2949120f;z-index:-25163059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3402880" o:spid="_x0000_s2073" o:spt="136" type="#_x0000_t136" style="position:absolute;left:0pt;margin-left:75pt;margin-top:417.8pt;height:35pt;width:124pt;mso-position-horizontal-relative:margin;mso-position-vertical-relative:margin;rotation:-2949120f;z-index:-25163161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2469427" o:spid="_x0000_s2072" o:spt="136" type="#_x0000_t136" style="position:absolute;left:0pt;margin-left:-97.5pt;margin-top:590.3pt;height:35pt;width:124pt;mso-position-horizontal-relative:margin;mso-position-vertical-relative:margin;rotation:-2949120f;z-index:-25163264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2372964" o:spid="_x0000_s2071" o:spt="136" type="#_x0000_t136" style="position:absolute;left:0pt;margin-left:247.55pt;margin-top:-114.05pt;height:35pt;width:124pt;mso-position-horizontal-relative:margin;mso-position-vertical-relative:margin;rotation:-2949120f;z-index:-25163366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1733765" o:spid="_x0000_s2070" o:spt="136" type="#_x0000_t136" style="position:absolute;left:0pt;margin-left:75pt;margin-top:58.5pt;height:35pt;width:124pt;mso-position-horizontal-relative:margin;mso-position-vertical-relative:margin;rotation:-2949120f;z-index:-25163468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1173758" o:spid="_x0000_s2069" o:spt="136" type="#_x0000_t136" style="position:absolute;left:0pt;margin-left:-97.5pt;margin-top:231pt;height:35pt;width:124pt;mso-position-horizontal-relative:margin;mso-position-vertical-relative:margin;rotation:-2949120f;z-index:-25163571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</w:pPr>
    <w:r>
      <w:rPr>
        <w:sz w:val="24"/>
      </w:rPr>
      <w:pict>
        <v:shape id="PowerPlusWaterMarkObject21117443" o:spid="_x0000_s2088" o:spt="136" type="#_x0000_t136" style="position:absolute;left:0pt;margin-left:420.1pt;margin-top:432pt;height:35pt;width:124pt;mso-position-horizontal-relative:margin;mso-position-vertical-relative:margin;rotation:-2949120f;z-index:-25161625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20236470" o:spid="_x0000_s2087" o:spt="136" type="#_x0000_t136" style="position:absolute;left:0pt;margin-left:247.55pt;margin-top:604.55pt;height:35pt;width:124pt;mso-position-horizontal-relative:margin;mso-position-vertical-relative:margin;rotation:-2949120f;z-index:-25161728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9559106" o:spid="_x0000_s2086" o:spt="136" type="#_x0000_t136" style="position:absolute;left:0pt;margin-left:75pt;margin-top:777.1pt;height:35pt;width:124pt;mso-position-horizontal-relative:margin;mso-position-vertical-relative:margin;rotation:-2949120f;z-index:-25161830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9485683" o:spid="_x0000_s2085" o:spt="136" type="#_x0000_t136" style="position:absolute;left:0pt;margin-left:420.1pt;margin-top:72.7pt;height:35pt;width:124pt;mso-position-horizontal-relative:margin;mso-position-vertical-relative:margin;rotation:-2949120f;z-index:-25161932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9322796" o:spid="_x0000_s2084" o:spt="136" type="#_x0000_t136" style="position:absolute;left:0pt;margin-left:247.55pt;margin-top:245.25pt;height:35pt;width:124pt;mso-position-horizontal-relative:margin;mso-position-vertical-relative:margin;rotation:-2949120f;z-index:-25162035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9259857" o:spid="_x0000_s2083" o:spt="136" type="#_x0000_t136" style="position:absolute;left:0pt;margin-left:75pt;margin-top:417.8pt;height:35pt;width:124pt;mso-position-horizontal-relative:margin;mso-position-vertical-relative:margin;rotation:-2949120f;z-index:-251621376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8311200" o:spid="_x0000_s2082" o:spt="136" type="#_x0000_t136" style="position:absolute;left:0pt;margin-left:-97.5pt;margin-top:590.3pt;height:35pt;width:124pt;mso-position-horizontal-relative:margin;mso-position-vertical-relative:margin;rotation:-2949120f;z-index:-251622400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7937832" o:spid="_x0000_s2081" o:spt="136" type="#_x0000_t136" style="position:absolute;left:0pt;margin-left:247.55pt;margin-top:-114.05pt;height:35pt;width:124pt;mso-position-horizontal-relative:margin;mso-position-vertical-relative:margin;rotation:-2949120f;z-index:-251623424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7434963" o:spid="_x0000_s2080" o:spt="136" type="#_x0000_t136" style="position:absolute;left:0pt;margin-left:75pt;margin-top:58.5pt;height:35pt;width:124pt;mso-position-horizontal-relative:margin;mso-position-vertical-relative:margin;rotation:-2949120f;z-index:-251624448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  <w:r>
      <w:rPr>
        <w:sz w:val="24"/>
      </w:rPr>
      <w:pict>
        <v:shape id="PowerPlusWaterMarkObject16522329" o:spid="_x0000_s2079" o:spt="136" type="#_x0000_t136" style="position:absolute;left:0pt;margin-left:-97.5pt;margin-top:231pt;height:35pt;width:124pt;mso-position-horizontal-relative:margin;mso-position-vertical-relative:margin;rotation:-2949120f;z-index:-251625472;mso-width-relative:page;mso-height-relative:page;" fillcolor="#C0C0C0" filled="t" stroked="f" coordsize="21600,21600" adj="10800">
          <v:path/>
          <v:fill on="t" opacity="19660f" focussize="0,0"/>
          <v:stroke on="f"/>
          <v:imagedata o:title=""/>
          <o:lock v:ext="edit" aspectratio="t"/>
          <v:textpath on="t" fitpath="t" trim="t" xscale="f" string="区教育局" style="font-family:FangSong;font-size:3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720"/>
  <w:evenAndOddHeaders w:val="true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247F"/>
    <w:rsid w:val="0006063C"/>
    <w:rsid w:val="00071C61"/>
    <w:rsid w:val="00096B8F"/>
    <w:rsid w:val="000F545C"/>
    <w:rsid w:val="0015074B"/>
    <w:rsid w:val="001F4903"/>
    <w:rsid w:val="0024538B"/>
    <w:rsid w:val="0029639D"/>
    <w:rsid w:val="002B0870"/>
    <w:rsid w:val="00326F90"/>
    <w:rsid w:val="00387892"/>
    <w:rsid w:val="00405B60"/>
    <w:rsid w:val="0043032A"/>
    <w:rsid w:val="00476078"/>
    <w:rsid w:val="00520CB1"/>
    <w:rsid w:val="0059306B"/>
    <w:rsid w:val="007B396D"/>
    <w:rsid w:val="008132A7"/>
    <w:rsid w:val="009531C3"/>
    <w:rsid w:val="009733E5"/>
    <w:rsid w:val="00A51B62"/>
    <w:rsid w:val="00AA1D8D"/>
    <w:rsid w:val="00B47730"/>
    <w:rsid w:val="00B73CA4"/>
    <w:rsid w:val="00BA7B6C"/>
    <w:rsid w:val="00C00191"/>
    <w:rsid w:val="00C30B5A"/>
    <w:rsid w:val="00CB0664"/>
    <w:rsid w:val="00D129F2"/>
    <w:rsid w:val="00D41CCB"/>
    <w:rsid w:val="00D61A3E"/>
    <w:rsid w:val="00DE451B"/>
    <w:rsid w:val="00DF0710"/>
    <w:rsid w:val="00E733B9"/>
    <w:rsid w:val="00E91EA3"/>
    <w:rsid w:val="00ED6035"/>
    <w:rsid w:val="00F262D5"/>
    <w:rsid w:val="00F72B01"/>
    <w:rsid w:val="00FC693F"/>
    <w:rsid w:val="24480435"/>
    <w:rsid w:val="2A284723"/>
    <w:rsid w:val="3E5A671F"/>
    <w:rsid w:val="EF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80" w:line="326" w:lineRule="auto"/>
      <w:jc w:val="both"/>
    </w:pPr>
    <w:rPr>
      <w:rFonts w:ascii="仿宋_GB2312" w:hAnsi="仿宋_GB2312" w:eastAsia="仿宋_GB2312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="黑体" w:hAnsi="黑体" w:eastAsia="黑体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600"/>
      <w:outlineLvl w:val="1"/>
    </w:pPr>
    <w:rPr>
      <w:rFonts w:ascii="黑体" w:hAnsi="黑体" w:eastAsia="黑体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360"/>
      <w:outlineLvl w:val="2"/>
    </w:pPr>
    <w:rPr>
      <w:rFonts w:ascii="楷体_GB2312" w:hAnsi="楷体_GB2312" w:eastAsia="楷体_GB2312"/>
      <w:b/>
      <w:bCs/>
      <w:color w:val="000000"/>
      <w:sz w:val="24"/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36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widowControl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仿宋_GB2312" w:hAnsi="仿宋_GB2312" w:eastAsia="仿宋_GB2312"/>
      <w:color w:val="000000"/>
      <w:sz w:val="24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Balloon Text"/>
    <w:basedOn w:val="1"/>
    <w:link w:val="165"/>
    <w:semiHidden/>
    <w:unhideWhenUsed/>
    <w:uiPriority w:val="99"/>
    <w:pPr>
      <w:spacing w:after="0" w:line="240" w:lineRule="auto"/>
    </w:pPr>
    <w:rPr>
      <w:szCs w:val="18"/>
    </w:rPr>
  </w:style>
  <w:style w:type="paragraph" w:styleId="25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pPr>
      <w:widowControl w:val="0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widowControl w:val="0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widowControl w:val="0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widowControl w:val="0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widowControl w:val="0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widowControl w:val="0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widowControl w:val="0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widowControl w:val="0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widowControl w:val="0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widowControl w:val="0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widowControl w:val="0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widowControl w:val="0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widowControl w:val="0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widowControl w:val="0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widowControl w:val="0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widowControl w:val="0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widowControl w:val="0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widowControl w:val="0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widowControl w:val="0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widowControl w:val="0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widowControl w:val="0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widowControl w:val="0"/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widowControl w:val="0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widowControl w:val="0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widowControl w:val="0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widowControl w:val="0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widowControl w:val="0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widowControl w:val="0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widowControl w:val="0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widowControl w:val="0"/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widowControl w:val="0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widowControl w:val="0"/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widowControl w:val="0"/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widowControl w:val="0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widowControl w:val="0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widowControl w:val="0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widowControl w:val="0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widowControl w:val="0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widowControl w:val="0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widowControl w:val="0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widowControl w:val="0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widowControl w:val="0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widowControl w:val="0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widowControl w:val="0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6"/>
    <w:uiPriority w:val="99"/>
  </w:style>
  <w:style w:type="character" w:customStyle="1" w:styleId="137">
    <w:name w:val="页脚 字符"/>
    <w:basedOn w:val="133"/>
    <w:link w:val="25"/>
    <w:uiPriority w:val="99"/>
  </w:style>
  <w:style w:type="paragraph" w:styleId="138">
    <w:name w:val="No Spacing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19"/>
    <w:uiPriority w:val="99"/>
  </w:style>
  <w:style w:type="character" w:customStyle="1" w:styleId="146">
    <w:name w:val="正文文本 2 字符"/>
    <w:basedOn w:val="133"/>
    <w:link w:val="29"/>
    <w:uiPriority w:val="99"/>
  </w:style>
  <w:style w:type="character" w:customStyle="1" w:styleId="147">
    <w:name w:val="正文文本 3 字符"/>
    <w:basedOn w:val="133"/>
    <w:link w:val="17"/>
    <w:uiPriority w:val="99"/>
    <w:rPr>
      <w:sz w:val="16"/>
      <w:szCs w:val="16"/>
    </w:rPr>
  </w:style>
  <w:style w:type="character" w:customStyle="1" w:styleId="148">
    <w:name w:val="宏文本 字符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批注框文本 字符"/>
    <w:basedOn w:val="133"/>
    <w:link w:val="24"/>
    <w:semiHidden/>
    <w:uiPriority w:val="99"/>
    <w:rPr>
      <w:rFonts w:ascii="微软雅黑" w:hAnsi="微软雅黑" w:eastAsia="微软雅黑"/>
      <w:color w:val="212121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  <customShpInfo spid="_x0000_s204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1026" textRotate="1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88"/>
    <customShpInfo spid="_x0000_s2087"/>
    <customShpInfo spid="_x0000_s2086"/>
    <customShpInfo spid="_x0000_s2085"/>
    <customShpInfo spid="_x0000_s2084"/>
    <customShpInfo spid="_x0000_s2083"/>
    <customShpInfo spid="_x0000_s2082"/>
    <customShpInfo spid="_x0000_s2081"/>
    <customShpInfo spid="_x0000_s2080"/>
    <customShpInfo spid="_x0000_s207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16</Pages>
  <Words>1358</Words>
  <Characters>7742</Characters>
  <Lines>64</Lines>
  <Paragraphs>18</Paragraphs>
  <TotalTime>21</TotalTime>
  <ScaleCrop>false</ScaleCrop>
  <LinksUpToDate>false</LinksUpToDate>
  <CharactersWithSpaces>9082</CharactersWithSpaces>
  <Application>WPS Office_11.8.2.10170_F1E327BC-269C-435d-A152-05C5408002CA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2026-09-11T08:50:00Z</dcterms:created>
  <dc:creator>python-docx</dc:creator>
  <dc:description>generated by python-docx</dc:description>
  <cp:lastModifiedBy>root</cp:lastModifiedBy>
  <cp:lastPrinted>2026-09-23T17:35:00Z</cp:lastPrinted>
  <dcterms:modified xsi:type="dcterms:W3CDTF">2026-09-29T10:02:40Z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2052-11.8.2.10170</vt:lpwstr>
  </property>
  <property fmtid="{D5CDD505-2E9C-101B-9397-08002B2CF9AE}" pid="3" name="ICV">
    <vt:lpwstr>B08E9674C6934FCAA3EFF6AF10A4FB8B</vt:lpwstr>
  </property>
</Properties>
</file>