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rPr>
          <w:rFonts w:ascii="宋体" w:hAnsi="宋体" w:eastAsia="宋体" w:cs="宋体"/>
          <w:sz w:val="28"/>
          <w:szCs w:val="28"/>
          <w:lang w:eastAsia="zh-CN"/>
        </w:rPr>
      </w:pPr>
      <w:bookmarkStart w:id="2" w:name="_GoBack"/>
      <w:bookmarkEnd w:id="2"/>
      <w:r>
        <w:rPr>
          <w:rFonts w:hint="eastAsia" w:ascii="仿宋_GB2312" w:hAnsi="仿宋_GB2312" w:cs="宋体"/>
          <w:sz w:val="28"/>
          <w:szCs w:val="28"/>
          <w:lang w:eastAsia="zh-CN"/>
        </w:rPr>
        <w:t>附件1-5</w:t>
      </w:r>
    </w:p>
    <w:p>
      <w:pPr>
        <w:spacing w:line="720" w:lineRule="exact"/>
        <w:rPr>
          <w:rFonts w:ascii="宋体" w:hAnsi="宋体" w:eastAsia="宋体" w:cs="宋体"/>
          <w:sz w:val="28"/>
          <w:szCs w:val="28"/>
          <w:lang w:eastAsia="zh-CN"/>
        </w:rPr>
      </w:pPr>
    </w:p>
    <w:p>
      <w:pPr>
        <w:spacing w:line="720" w:lineRule="exact"/>
        <w:jc w:val="center"/>
        <w:rPr>
          <w:lang w:eastAsia="zh-CN"/>
        </w:rPr>
      </w:pPr>
      <w:r>
        <w:rPr>
          <w:rFonts w:eastAsia="方正小标宋简体" w:cs="Times New Roman"/>
          <w:sz w:val="44"/>
          <w:lang w:eastAsia="zh-CN"/>
        </w:rPr>
        <w:t>增城区校园餐智慧监管平台建设与运营合作协议（草案）</w:t>
      </w:r>
    </w:p>
    <w:p>
      <w:pPr>
        <w:rPr>
          <w:rFonts w:cs="Times New Roman"/>
          <w:lang w:eastAsia="zh-CN"/>
        </w:rPr>
      </w:pPr>
    </w:p>
    <w:p>
      <w:pPr>
        <w:rPr>
          <w:lang w:eastAsia="zh-CN"/>
        </w:rPr>
      </w:pPr>
      <w:r>
        <w:rPr>
          <w:rFonts w:cs="Times New Roman"/>
          <w:lang w:eastAsia="zh-CN"/>
        </w:rPr>
        <w:t>甲方：广州市增城区教育局</w:t>
      </w:r>
    </w:p>
    <w:p>
      <w:pPr>
        <w:rPr>
          <w:lang w:eastAsia="zh-CN"/>
        </w:rPr>
      </w:pPr>
      <w:r>
        <w:rPr>
          <w:rFonts w:cs="Times New Roman"/>
          <w:lang w:eastAsia="zh-CN"/>
        </w:rPr>
        <w:t>乙方：（合作银行全称）</w:t>
      </w:r>
    </w:p>
    <w:p>
      <w:pPr>
        <w:ind w:firstLine="640" w:firstLineChars="200"/>
        <w:jc w:val="both"/>
        <w:rPr>
          <w:lang w:eastAsia="zh-CN"/>
        </w:rPr>
      </w:pPr>
      <w:r>
        <w:rPr>
          <w:rFonts w:cs="Times New Roman"/>
          <w:lang w:eastAsia="zh-CN"/>
        </w:rPr>
        <w:t>为深化“校园餐”集中整治，加强校园食品安全和膳食经费管理，根据《中共中央办公厅　国务院办公厅关于进一步强化食品安全全链条监管的意见》《广东省学校食堂智慧监管系统建设参考指南》（粤教后勤函〔2026〕4号）等文件精神，按照《增城区校园餐智慧监管平台建设工作方案》《增城区校园餐智慧监管平台</w:t>
      </w:r>
      <w:r>
        <w:rPr>
          <w:rFonts w:hint="eastAsia" w:cs="Times New Roman"/>
          <w:lang w:eastAsia="zh-CN"/>
        </w:rPr>
        <w:t>建设</w:t>
      </w:r>
      <w:r>
        <w:rPr>
          <w:rFonts w:cs="Times New Roman"/>
          <w:lang w:eastAsia="zh-CN"/>
        </w:rPr>
        <w:t>合作银行</w:t>
      </w:r>
      <w:r>
        <w:rPr>
          <w:rFonts w:hint="eastAsia" w:cs="Times New Roman"/>
          <w:lang w:eastAsia="zh-CN"/>
        </w:rPr>
        <w:t>公开比选</w:t>
      </w:r>
      <w:r>
        <w:rPr>
          <w:rFonts w:cs="Times New Roman"/>
          <w:lang w:eastAsia="zh-CN"/>
        </w:rPr>
        <w:t>工作方案》，经公开</w:t>
      </w:r>
      <w:r>
        <w:rPr>
          <w:rFonts w:hint="eastAsia" w:cs="Times New Roman"/>
          <w:lang w:eastAsia="zh-CN"/>
        </w:rPr>
        <w:t>比选</w:t>
      </w:r>
      <w:r>
        <w:rPr>
          <w:rFonts w:cs="Times New Roman"/>
          <w:lang w:eastAsia="zh-CN"/>
        </w:rPr>
        <w:t>，甲方确定乙方为增城区校园餐智慧监管平台合作银行。现就双方合作事宜订立本协议。</w:t>
      </w:r>
    </w:p>
    <w:p>
      <w:pPr>
        <w:ind w:firstLine="640" w:firstLineChars="200"/>
        <w:jc w:val="both"/>
        <w:outlineLvl w:val="0"/>
        <w:rPr>
          <w:lang w:eastAsia="zh-CN"/>
        </w:rPr>
      </w:pPr>
      <w:r>
        <w:rPr>
          <w:rFonts w:eastAsia="黑体" w:cs="Times New Roman"/>
          <w:lang w:eastAsia="zh-CN"/>
        </w:rPr>
        <w:t>一、合作内容</w:t>
      </w:r>
    </w:p>
    <w:p>
      <w:pPr>
        <w:ind w:firstLine="640" w:firstLineChars="200"/>
        <w:jc w:val="both"/>
        <w:rPr>
          <w:lang w:eastAsia="zh-CN"/>
        </w:rPr>
      </w:pPr>
      <w:r>
        <w:rPr>
          <w:rFonts w:hint="eastAsia" w:ascii="仿宋_GB2312" w:hAnsi="仿宋_GB2312" w:cs="Times New Roman"/>
          <w:lang w:eastAsia="zh-CN"/>
        </w:rPr>
        <w:t>（一）由乙方全额出资建设增城区校园餐智慧监管平台（含软件系统和配套智能硬件），并承担后续运维与二次开发费用。</w:t>
      </w:r>
    </w:p>
    <w:p>
      <w:pPr>
        <w:ind w:firstLine="640" w:firstLineChars="200"/>
        <w:jc w:val="both"/>
        <w:rPr>
          <w:lang w:eastAsia="zh-CN"/>
        </w:rPr>
      </w:pPr>
      <w:r>
        <w:rPr>
          <w:rFonts w:hint="eastAsia" w:ascii="仿宋_GB2312" w:hAnsi="仿宋_GB2312" w:cs="Times New Roman"/>
          <w:lang w:eastAsia="zh-CN"/>
        </w:rPr>
        <w:t>（二）乙方为甲方及全区学校（幼儿园）提供平台服务，甲方、学校（幼儿园）、食材配送和校外供餐供应商、家长均免费使用。</w:t>
      </w:r>
    </w:p>
    <w:p>
      <w:pPr>
        <w:ind w:firstLine="640" w:firstLineChars="200"/>
        <w:jc w:val="both"/>
        <w:rPr>
          <w:lang w:eastAsia="zh-CN"/>
        </w:rPr>
      </w:pPr>
      <w:r>
        <w:rPr>
          <w:rFonts w:hint="eastAsia" w:ascii="仿宋_GB2312" w:hAnsi="仿宋_GB2312" w:cs="Times New Roman"/>
          <w:lang w:eastAsia="zh-CN"/>
        </w:rPr>
        <w:t>（三）乙方为全区有自营食堂供餐的中小学（含中职学校、特殊学校）统一开设食堂专用账户，为有校外供餐的中小学统一开设基本存款账户，为幼儿园统一开设基本存款账户，并提供代收代付与结算服务。</w:t>
      </w:r>
    </w:p>
    <w:p>
      <w:pPr>
        <w:ind w:firstLine="640" w:firstLineChars="200"/>
        <w:jc w:val="both"/>
        <w:rPr>
          <w:lang w:eastAsia="zh-CN"/>
        </w:rPr>
      </w:pPr>
      <w:r>
        <w:rPr>
          <w:rFonts w:hint="eastAsia" w:ascii="仿宋_GB2312" w:hAnsi="仿宋_GB2312" w:cs="Times New Roman"/>
          <w:lang w:eastAsia="zh-CN"/>
        </w:rPr>
        <w:t>（四）双方共同推进平台与市级、省级平台的数据对接。</w:t>
      </w:r>
    </w:p>
    <w:p>
      <w:pPr>
        <w:ind w:firstLine="640" w:firstLineChars="200"/>
        <w:jc w:val="both"/>
        <w:outlineLvl w:val="0"/>
        <w:rPr>
          <w:rFonts w:eastAsia="黑体" w:cs="Times New Roman"/>
          <w:lang w:eastAsia="zh-CN"/>
        </w:rPr>
      </w:pPr>
      <w:r>
        <w:rPr>
          <w:rFonts w:eastAsia="黑体" w:cs="Times New Roman"/>
          <w:lang w:eastAsia="zh-CN"/>
        </w:rPr>
        <w:t>二、合作期限</w:t>
      </w:r>
    </w:p>
    <w:p>
      <w:pPr>
        <w:ind w:firstLine="640" w:firstLineChars="200"/>
        <w:jc w:val="both"/>
        <w:rPr>
          <w:lang w:eastAsia="zh-CN"/>
        </w:rPr>
      </w:pPr>
      <w:r>
        <w:rPr>
          <w:rFonts w:hint="eastAsia" w:ascii="仿宋_GB2312" w:hAnsi="仿宋_GB2312" w:cs="Times New Roman"/>
          <w:lang w:eastAsia="zh-CN"/>
        </w:rPr>
        <w:t>（一）首期合作期限为5年，自　　年　　月　　日起至　　年　　月　　日止。</w:t>
      </w:r>
    </w:p>
    <w:p>
      <w:pPr>
        <w:ind w:firstLine="640" w:firstLineChars="200"/>
        <w:jc w:val="both"/>
        <w:rPr>
          <w:lang w:eastAsia="zh-CN"/>
        </w:rPr>
      </w:pPr>
      <w:r>
        <w:rPr>
          <w:rFonts w:hint="eastAsia" w:ascii="仿宋_GB2312" w:hAnsi="仿宋_GB2312" w:cs="Times New Roman"/>
          <w:lang w:eastAsia="zh-CN"/>
        </w:rPr>
        <w:t>（二）合作期满前6个月，由增城区校园餐智慧监管平台建设工作领导小组（以下简称领导小组）组织综合评估；评估合格的，经双方协商一致可续签，每次续签期限原则上为3年，续签次数不超过2次；评估不合格的，重新组织竞争性选择。</w:t>
      </w:r>
    </w:p>
    <w:p>
      <w:pPr>
        <w:ind w:firstLine="640" w:firstLineChars="200"/>
        <w:jc w:val="both"/>
        <w:outlineLvl w:val="0"/>
        <w:rPr>
          <w:rFonts w:eastAsia="黑体" w:cs="Times New Roman"/>
          <w:lang w:eastAsia="zh-CN"/>
        </w:rPr>
      </w:pPr>
      <w:r>
        <w:rPr>
          <w:rFonts w:eastAsia="黑体" w:cs="Times New Roman"/>
          <w:lang w:eastAsia="zh-CN"/>
        </w:rPr>
        <w:t>三、甲方的权利与义务</w:t>
      </w:r>
    </w:p>
    <w:p>
      <w:pPr>
        <w:ind w:firstLine="640" w:firstLineChars="200"/>
        <w:jc w:val="both"/>
        <w:rPr>
          <w:lang w:eastAsia="zh-CN"/>
        </w:rPr>
      </w:pPr>
      <w:r>
        <w:rPr>
          <w:rFonts w:hint="eastAsia" w:ascii="仿宋_GB2312" w:hAnsi="仿宋_GB2312" w:cs="Times New Roman"/>
          <w:lang w:eastAsia="zh-CN"/>
        </w:rPr>
        <w:t>（一）负责统筹推进平台建设，指导学校（幼儿园）做好数据录入、系统对接和账户开立等工作。</w:t>
      </w:r>
    </w:p>
    <w:p>
      <w:pPr>
        <w:ind w:firstLine="640" w:firstLineChars="200"/>
        <w:jc w:val="both"/>
        <w:rPr>
          <w:lang w:eastAsia="zh-CN"/>
        </w:rPr>
      </w:pPr>
      <w:r>
        <w:rPr>
          <w:rFonts w:hint="eastAsia" w:ascii="仿宋_GB2312" w:hAnsi="仿宋_GB2312" w:cs="Times New Roman"/>
          <w:lang w:eastAsia="zh-CN"/>
        </w:rPr>
        <w:t>（二）对平台建设进度、质量和服务水平进行监督，组织验收和年度评估。</w:t>
      </w:r>
    </w:p>
    <w:p>
      <w:pPr>
        <w:ind w:firstLine="640" w:firstLineChars="200"/>
        <w:jc w:val="both"/>
        <w:rPr>
          <w:lang w:eastAsia="zh-CN"/>
        </w:rPr>
      </w:pPr>
      <w:r>
        <w:rPr>
          <w:rFonts w:hint="eastAsia" w:ascii="仿宋_GB2312" w:hAnsi="仿宋_GB2312" w:cs="Times New Roman"/>
          <w:lang w:eastAsia="zh-CN"/>
        </w:rPr>
        <w:t>（三）依法依规提出数据安全和个人信息保护要求，并对乙方执行情况进行监督。</w:t>
      </w:r>
    </w:p>
    <w:p>
      <w:pPr>
        <w:ind w:firstLine="640" w:firstLineChars="200"/>
        <w:jc w:val="both"/>
        <w:rPr>
          <w:lang w:eastAsia="zh-CN"/>
        </w:rPr>
      </w:pPr>
      <w:r>
        <w:rPr>
          <w:rFonts w:hint="eastAsia" w:ascii="仿宋_GB2312" w:hAnsi="仿宋_GB2312" w:cs="Times New Roman"/>
          <w:lang w:eastAsia="zh-CN"/>
        </w:rPr>
        <w:t>（四）负责协调区财政局、区市场监管局等部门支持配合。</w:t>
      </w:r>
    </w:p>
    <w:p>
      <w:pPr>
        <w:ind w:firstLine="640" w:firstLineChars="200"/>
        <w:jc w:val="both"/>
        <w:rPr>
          <w:lang w:eastAsia="zh-CN"/>
        </w:rPr>
      </w:pPr>
      <w:r>
        <w:rPr>
          <w:rFonts w:hint="eastAsia" w:ascii="仿宋_GB2312" w:hAnsi="仿宋_GB2312" w:cs="Times New Roman"/>
          <w:lang w:eastAsia="zh-CN"/>
        </w:rPr>
        <w:t>（五）不向乙方提出与校园餐监管无关的要求，不向乙方转嫁应由甲方承担的费用。</w:t>
      </w:r>
    </w:p>
    <w:p>
      <w:pPr>
        <w:ind w:firstLine="640" w:firstLineChars="200"/>
        <w:jc w:val="both"/>
        <w:outlineLvl w:val="0"/>
        <w:rPr>
          <w:rFonts w:eastAsia="黑体" w:cs="Times New Roman"/>
          <w:lang w:eastAsia="zh-CN"/>
        </w:rPr>
      </w:pPr>
      <w:r>
        <w:rPr>
          <w:rFonts w:eastAsia="黑体" w:cs="Times New Roman"/>
          <w:lang w:eastAsia="zh-CN"/>
        </w:rPr>
        <w:t>四、乙方的权利与义务</w:t>
      </w:r>
    </w:p>
    <w:p>
      <w:pPr>
        <w:ind w:firstLine="640" w:firstLineChars="200"/>
        <w:jc w:val="both"/>
        <w:rPr>
          <w:lang w:eastAsia="zh-CN"/>
        </w:rPr>
      </w:pPr>
      <w:r>
        <w:rPr>
          <w:rFonts w:hint="eastAsia" w:ascii="仿宋_GB2312" w:hAnsi="仿宋_GB2312" w:cs="Times New Roman"/>
          <w:lang w:eastAsia="zh-CN"/>
        </w:rPr>
        <w:t>（一）按照本协议及附件约定，全额出资完成平台建设和智能硬件配备，保障系统稳定运行。</w:t>
      </w:r>
    </w:p>
    <w:p>
      <w:pPr>
        <w:ind w:firstLine="640" w:firstLineChars="200"/>
        <w:jc w:val="both"/>
        <w:rPr>
          <w:lang w:eastAsia="zh-CN"/>
        </w:rPr>
      </w:pPr>
      <w:r>
        <w:rPr>
          <w:rFonts w:hint="eastAsia" w:ascii="仿宋_GB2312" w:hAnsi="仿宋_GB2312" w:cs="Times New Roman"/>
          <w:lang w:eastAsia="zh-CN"/>
        </w:rPr>
        <w:t>（二）免费向甲方、学校（幼儿园）、供应商、家长提供平台服务，不收取或者变相收取平台建设、运营及使用费用，不将平台建设、运营、跨行缴费手续费等成本转嫁学校、学生、家长、供应商。乙方存在前述行为的，学校及家长有权向甲方投诉，甲方有权要求乙方立即退还违规收取的费用，并按本协议约定追究乙方违约责任；情节严重的，甲方有权单方面提前终止本协议。</w:t>
      </w:r>
    </w:p>
    <w:p>
      <w:pPr>
        <w:ind w:firstLine="640" w:firstLineChars="200"/>
        <w:jc w:val="both"/>
        <w:rPr>
          <w:lang w:eastAsia="zh-CN"/>
        </w:rPr>
      </w:pPr>
      <w:r>
        <w:rPr>
          <w:rFonts w:hint="eastAsia" w:ascii="仿宋_GB2312" w:hAnsi="仿宋_GB2312" w:cs="Times New Roman"/>
          <w:lang w:eastAsia="zh-CN"/>
        </w:rPr>
        <w:t>（三）依法合规开展资金存管、缴费结算等业务，提供便捷安全的结算服务，资金存放收益按照国家利率政策执行。</w:t>
      </w:r>
    </w:p>
    <w:p>
      <w:pPr>
        <w:ind w:firstLine="640" w:firstLineChars="200"/>
        <w:jc w:val="both"/>
        <w:rPr>
          <w:lang w:eastAsia="zh-CN"/>
        </w:rPr>
      </w:pPr>
      <w:r>
        <w:rPr>
          <w:rFonts w:hint="eastAsia" w:ascii="仿宋_GB2312" w:hAnsi="仿宋_GB2312" w:cs="Times New Roman"/>
          <w:lang w:eastAsia="zh-CN"/>
        </w:rPr>
        <w:t>（四）依法处理个人信息；涉及敏感个人信息的，依法取得单独同意；处理不满十四周岁未成年人个人信息的，取得其父母或者其他监护人同意；不得将数据用于营销推广、交叉销售等与本项目无关的用途。</w:t>
      </w:r>
    </w:p>
    <w:p>
      <w:pPr>
        <w:ind w:firstLine="640" w:firstLineChars="200"/>
        <w:jc w:val="both"/>
        <w:rPr>
          <w:rFonts w:cs="Times New Roman"/>
          <w:lang w:eastAsia="zh-CN"/>
        </w:rPr>
      </w:pPr>
      <w:r>
        <w:rPr>
          <w:rFonts w:hint="eastAsia" w:ascii="仿宋_GB2312" w:hAnsi="仿宋_GB2312" w:cs="Times New Roman"/>
          <w:lang w:eastAsia="zh-CN"/>
        </w:rPr>
        <w:t>（五）接受甲方及教育、财政、金融监管等部门的监督管理，配合监督检查。</w:t>
      </w:r>
    </w:p>
    <w:p>
      <w:pPr>
        <w:ind w:firstLine="640" w:firstLineChars="200"/>
        <w:jc w:val="both"/>
        <w:rPr>
          <w:rFonts w:cs="Times New Roman"/>
          <w:lang w:eastAsia="zh-CN"/>
        </w:rPr>
      </w:pPr>
      <w:r>
        <w:rPr>
          <w:rFonts w:hint="eastAsia" w:ascii="仿宋_GB2312" w:hAnsi="仿宋_GB2312" w:cs="Times New Roman"/>
          <w:lang w:eastAsia="zh-CN"/>
        </w:rPr>
        <w:t>（六）乙方须每季度向甲方提交平台运行、系统稳定、数据安全、运维服务情况的专项报告，遇到重大异常情况第一时间向甲方报备。</w:t>
      </w:r>
    </w:p>
    <w:p>
      <w:pPr>
        <w:ind w:firstLine="640" w:firstLineChars="200"/>
        <w:jc w:val="both"/>
        <w:rPr>
          <w:rFonts w:ascii="仿宋_GB2312" w:hAnsi="仿宋_GB2312" w:cs="Times New Roman"/>
          <w:lang w:eastAsia="zh-CN"/>
        </w:rPr>
      </w:pPr>
      <w:r>
        <w:rPr>
          <w:rFonts w:hint="eastAsia" w:ascii="仿宋_GB2312" w:hAnsi="仿宋_GB2312" w:cs="Times New Roman"/>
          <w:lang w:eastAsia="zh-CN"/>
        </w:rPr>
        <w:t>（七）违反承诺或者本协议约定的，承担相应法律责任。</w:t>
      </w:r>
    </w:p>
    <w:p>
      <w:pPr>
        <w:ind w:firstLine="640" w:firstLineChars="200"/>
        <w:jc w:val="both"/>
        <w:rPr>
          <w:lang w:eastAsia="zh-CN"/>
        </w:rPr>
      </w:pPr>
      <w:r>
        <w:rPr>
          <w:rFonts w:hint="eastAsia"/>
          <w:lang w:eastAsia="zh-CN"/>
        </w:rPr>
        <w:t>（八）双方倡导以本协议为基础，拓展教育公益领域合作，乙方可在自愿前提下，通过支持学校改善办学条件等形式，为增城区教育事业发展贡献力量。</w:t>
      </w:r>
    </w:p>
    <w:p>
      <w:pPr>
        <w:ind w:firstLine="640" w:firstLineChars="200"/>
        <w:jc w:val="both"/>
        <w:outlineLvl w:val="0"/>
        <w:rPr>
          <w:rFonts w:eastAsia="黑体" w:cs="Times New Roman"/>
          <w:lang w:eastAsia="zh-CN"/>
        </w:rPr>
      </w:pPr>
      <w:r>
        <w:rPr>
          <w:rFonts w:eastAsia="黑体" w:cs="Times New Roman"/>
          <w:lang w:eastAsia="zh-CN"/>
        </w:rPr>
        <w:t>五、平台建设与运维</w:t>
      </w:r>
    </w:p>
    <w:p>
      <w:pPr>
        <w:ind w:firstLine="640" w:firstLineChars="200"/>
        <w:jc w:val="both"/>
        <w:rPr>
          <w:lang w:eastAsia="zh-CN"/>
        </w:rPr>
      </w:pPr>
      <w:r>
        <w:rPr>
          <w:rFonts w:hint="eastAsia" w:ascii="仿宋_GB2312" w:hAnsi="仿宋_GB2312" w:cs="Times New Roman"/>
          <w:lang w:eastAsia="zh-CN"/>
        </w:rPr>
        <w:t>（一）平台功能须覆盖自营食堂、校外供餐两种运营模式，符合《广东省学校食堂智慧监管系统建设参考指南》《广州市学校食材采购监管平台接口文档》《广州市学校食材品类库编码规范》等技术标准要求。</w:t>
      </w:r>
    </w:p>
    <w:p>
      <w:pPr>
        <w:ind w:firstLine="640" w:firstLineChars="200"/>
        <w:jc w:val="both"/>
        <w:rPr>
          <w:lang w:eastAsia="zh-CN"/>
        </w:rPr>
      </w:pPr>
      <w:r>
        <w:rPr>
          <w:rFonts w:hint="eastAsia" w:ascii="仿宋_GB2312" w:hAnsi="仿宋_GB2312" w:cs="Times New Roman"/>
          <w:lang w:eastAsia="zh-CN"/>
        </w:rPr>
        <w:t>（二）平台须信创云环境部署、并满足国家信息安全等级保护三级要求，通过等级保护测评，并落实商用密码应用安全性评估要求。</w:t>
      </w:r>
    </w:p>
    <w:p>
      <w:pPr>
        <w:ind w:firstLine="640" w:firstLineChars="200"/>
        <w:jc w:val="both"/>
        <w:rPr>
          <w:lang w:eastAsia="zh-CN"/>
        </w:rPr>
      </w:pPr>
      <w:r>
        <w:rPr>
          <w:rFonts w:hint="eastAsia" w:ascii="仿宋_GB2312" w:hAnsi="仿宋_GB2312" w:cs="Times New Roman"/>
          <w:lang w:eastAsia="zh-CN"/>
        </w:rPr>
        <w:t>（三）乙方应当建立运维响应和故障处置机制，制定应急处置预案报甲方备案；发生断网、断电、系统故障等突发情形时，采取备用手段，确保学校正常就餐、费用结算和资金安全不受影响。</w:t>
      </w:r>
    </w:p>
    <w:p>
      <w:pPr>
        <w:ind w:firstLine="640" w:firstLineChars="200"/>
        <w:jc w:val="both"/>
        <w:outlineLvl w:val="0"/>
        <w:rPr>
          <w:rFonts w:eastAsia="黑体" w:cs="Times New Roman"/>
          <w:lang w:eastAsia="zh-CN"/>
        </w:rPr>
      </w:pPr>
      <w:r>
        <w:rPr>
          <w:rFonts w:eastAsia="黑体" w:cs="Times New Roman"/>
          <w:lang w:eastAsia="zh-CN"/>
        </w:rPr>
        <w:t>六、智能硬件</w:t>
      </w:r>
    </w:p>
    <w:p>
      <w:pPr>
        <w:ind w:firstLine="640" w:firstLineChars="200"/>
        <w:jc w:val="both"/>
        <w:rPr>
          <w:lang w:eastAsia="zh-CN"/>
        </w:rPr>
      </w:pPr>
      <w:r>
        <w:rPr>
          <w:rFonts w:hint="eastAsia" w:ascii="仿宋_GB2312" w:hAnsi="仿宋_GB2312" w:cs="Times New Roman"/>
          <w:lang w:eastAsia="zh-CN"/>
        </w:rPr>
        <w:t>（一）乙方为有自营食堂的学校（幼儿园）配备电子秤、留样柜、晨检机、消费终端等智能硬件，配备数量、质量及覆盖范围满足实际需要。</w:t>
      </w:r>
    </w:p>
    <w:p>
      <w:pPr>
        <w:ind w:firstLine="640" w:firstLineChars="200"/>
        <w:jc w:val="both"/>
        <w:rPr>
          <w:lang w:eastAsia="zh-CN"/>
        </w:rPr>
      </w:pPr>
      <w:r>
        <w:rPr>
          <w:rFonts w:hint="eastAsia" w:ascii="仿宋_GB2312" w:hAnsi="仿宋_GB2312" w:cs="Times New Roman"/>
          <w:lang w:eastAsia="zh-CN"/>
        </w:rPr>
        <w:t>（二）乙方负责智能硬件的安装、调试、培训和售后维护。</w:t>
      </w:r>
    </w:p>
    <w:p>
      <w:pPr>
        <w:ind w:firstLine="640" w:firstLineChars="200"/>
        <w:jc w:val="both"/>
        <w:rPr>
          <w:lang w:eastAsia="zh-CN"/>
        </w:rPr>
      </w:pPr>
      <w:r>
        <w:rPr>
          <w:rFonts w:hint="eastAsia" w:ascii="仿宋_GB2312" w:hAnsi="仿宋_GB2312" w:cs="Times New Roman"/>
          <w:lang w:eastAsia="zh-CN"/>
        </w:rPr>
        <w:t>（三）乙方投入的智能硬件，其所有权在合作期内归乙方所有，供学校（幼儿园）无偿使用，由乙方负责日常维护和更新；合作期满，智能硬件无偿移交学校（幼儿园），所有权归学校（幼儿园）所有，乙方不再收回；合作提前终止的，硬件所有权归乙方，由乙方收回，并由新确定的合作银行按本协议约定补充配备，保障学校正常使用不受影响。智能硬件的清单、编号、数量、规格由双方在设备交付时共同清点确认，作为本协议附件。</w:t>
      </w:r>
    </w:p>
    <w:p>
      <w:pPr>
        <w:ind w:firstLine="640" w:firstLineChars="200"/>
        <w:jc w:val="both"/>
        <w:rPr>
          <w:lang w:eastAsia="zh-CN"/>
        </w:rPr>
      </w:pPr>
      <w:r>
        <w:rPr>
          <w:rFonts w:hint="eastAsia" w:ascii="仿宋_GB2312" w:hAnsi="仿宋_GB2312" w:cs="Times New Roman"/>
          <w:lang w:eastAsia="zh-CN"/>
        </w:rPr>
        <w:t>（四）平台软件系统。乙方采购或者选用的平台软件系统，其知识产权归原权利人所有，甲方及学校（幼儿园）在合作期内享有免费使用权。合作期满或者提前终止的，乙方应当保证甲方及学校（幼儿园）继续使用平台软件系统的权利不受影响，并履行下列义务：1.协助甲方取得继续使用平台软件系统的合法授权；2.向甲方移交系统部署文档、接口文档、数据字典、操作手册等技术资料；3.配合完成全部业务数据的完整导出和迁移；4.按照甲方要求配合完成系统交接；5.如因原权利人拒绝授权或者其他原因导致甲方及学校（幼儿园）无法继续使用平台软件系统，乙方应当无偿提供各方面性能和安全要求不低于原系统的替代系统，保障平台业务连续、数据迁移完整和安全，直至甲方及学校（幼儿园）能够正常使用替代系统或者甲方确定的后续系统。</w:t>
      </w:r>
    </w:p>
    <w:p>
      <w:pPr>
        <w:ind w:firstLine="640" w:firstLineChars="200"/>
        <w:jc w:val="both"/>
        <w:outlineLvl w:val="0"/>
        <w:rPr>
          <w:rFonts w:eastAsia="黑体" w:cs="Times New Roman"/>
          <w:lang w:eastAsia="zh-CN"/>
        </w:rPr>
      </w:pPr>
      <w:r>
        <w:rPr>
          <w:rFonts w:eastAsia="黑体" w:cs="Times New Roman"/>
          <w:lang w:eastAsia="zh-CN"/>
        </w:rPr>
        <w:t>七、校园餐资金账户管理</w:t>
      </w:r>
    </w:p>
    <w:p>
      <w:pPr>
        <w:ind w:firstLine="640" w:firstLineChars="200"/>
        <w:jc w:val="both"/>
        <w:rPr>
          <w:lang w:eastAsia="zh-CN"/>
        </w:rPr>
      </w:pPr>
      <w:r>
        <w:rPr>
          <w:rFonts w:hint="eastAsia" w:ascii="仿宋_GB2312" w:hAnsi="仿宋_GB2312" w:cs="Times New Roman"/>
          <w:lang w:eastAsia="zh-CN"/>
        </w:rPr>
        <w:t>（一）全区有自营食堂供餐的中小学（含中职学校、特殊学校），在乙方开立食堂专用账户，实行“一家银行、分账管理、统一监管”；有校外供餐的中小学其校园餐资金在基本存款账户中核算，统一在乙方开立基本存款账户，幼儿园统一在乙方开立基本存款账户。</w:t>
      </w:r>
    </w:p>
    <w:p>
      <w:pPr>
        <w:ind w:firstLine="640" w:firstLineChars="200"/>
        <w:jc w:val="both"/>
        <w:rPr>
          <w:lang w:eastAsia="zh-CN"/>
        </w:rPr>
      </w:pPr>
      <w:r>
        <w:rPr>
          <w:rFonts w:hint="eastAsia" w:ascii="仿宋_GB2312" w:hAnsi="仿宋_GB2312" w:cs="Times New Roman"/>
          <w:lang w:eastAsia="zh-CN"/>
        </w:rPr>
        <w:t>（二）乙方按照财政部门关于预算单位资金存放管理和银行账户管理的规定办理开户手续，保障资金专款专用、流向清晰可溯。学校（幼儿园）开立或者变更银行账户，按照《广州市增城区财政局关于印发广州市增城区预算单位银行账户管理办法的通知》（增财〔2024〕137号）规定报区财政局审批。</w:t>
      </w:r>
    </w:p>
    <w:p>
      <w:pPr>
        <w:ind w:firstLine="640" w:firstLineChars="200"/>
        <w:jc w:val="both"/>
        <w:rPr>
          <w:lang w:eastAsia="zh-CN"/>
        </w:rPr>
      </w:pPr>
      <w:r>
        <w:rPr>
          <w:rFonts w:hint="eastAsia" w:ascii="仿宋_GB2312" w:hAnsi="仿宋_GB2312" w:cs="Times New Roman"/>
          <w:lang w:eastAsia="zh-CN"/>
        </w:rPr>
        <w:t>（三）已开立相关账户的学校（幼儿园），按照分批切换计划办理，原则上自甲方统一选定合作银行之日起1至3个月内完成切换，切换过程中产生的全部银行端手续费用由乙方承担。</w:t>
      </w:r>
    </w:p>
    <w:p>
      <w:pPr>
        <w:ind w:firstLine="640" w:firstLineChars="200"/>
        <w:jc w:val="both"/>
        <w:rPr>
          <w:rFonts w:cs="Times New Roman"/>
          <w:lang w:eastAsia="zh-CN"/>
        </w:rPr>
      </w:pPr>
      <w:r>
        <w:rPr>
          <w:rFonts w:hint="eastAsia" w:ascii="仿宋_GB2312" w:hAnsi="仿宋_GB2312" w:cs="Times New Roman"/>
          <w:lang w:eastAsia="zh-CN"/>
        </w:rPr>
        <w:t>（四）家长缴费坚持自愿原则，支持乙方银行卡、跨行缴费、数字人民币等多种缴费渠道；不得强制家长开立或者变更特定银行账户。</w:t>
      </w:r>
    </w:p>
    <w:p>
      <w:pPr>
        <w:ind w:firstLine="640" w:firstLineChars="200"/>
        <w:jc w:val="both"/>
        <w:rPr>
          <w:color w:val="FF0000"/>
          <w:lang w:eastAsia="zh-CN"/>
        </w:rPr>
      </w:pPr>
      <w:r>
        <w:rPr>
          <w:rFonts w:hint="eastAsia" w:ascii="仿宋_GB2312" w:hAnsi="仿宋_GB2312"/>
          <w:color w:val="000000"/>
          <w:lang w:eastAsia="zh-CN"/>
        </w:rPr>
        <w:t>（五）在后续工作中区教育局如汇聚新设专项资金，乙方须对该项目资金实行专项监管，并按区教育局要求提供平台功能扩展，相关费用纳入合作银行出资范围，不另行向学校、学生、家长收取。</w:t>
      </w:r>
    </w:p>
    <w:p>
      <w:pPr>
        <w:ind w:firstLine="640" w:firstLineChars="200"/>
        <w:jc w:val="both"/>
        <w:outlineLvl w:val="0"/>
        <w:rPr>
          <w:rFonts w:eastAsia="黑体" w:cs="Times New Roman"/>
          <w:lang w:eastAsia="zh-CN"/>
        </w:rPr>
      </w:pPr>
      <w:r>
        <w:rPr>
          <w:rFonts w:eastAsia="黑体" w:cs="Times New Roman"/>
          <w:lang w:eastAsia="zh-CN"/>
        </w:rPr>
        <w:t>八、数据与个人信息保护</w:t>
      </w:r>
    </w:p>
    <w:p>
      <w:pPr>
        <w:ind w:firstLine="640" w:firstLineChars="200"/>
        <w:jc w:val="both"/>
        <w:rPr>
          <w:rFonts w:cs="Times New Roman"/>
          <w:lang w:eastAsia="zh-CN"/>
        </w:rPr>
      </w:pPr>
      <w:r>
        <w:rPr>
          <w:rFonts w:hint="eastAsia" w:ascii="仿宋_GB2312" w:hAnsi="仿宋_GB2312" w:cs="Times New Roman"/>
          <w:lang w:eastAsia="zh-CN"/>
        </w:rPr>
        <w:t>（一）平台产生的全部业务数据及相关个人信息的所有权</w:t>
      </w:r>
    </w:p>
    <w:p>
      <w:pPr>
        <w:jc w:val="both"/>
        <w:rPr>
          <w:lang w:eastAsia="zh-CN"/>
        </w:rPr>
      </w:pPr>
      <w:r>
        <w:rPr>
          <w:rFonts w:hint="eastAsia" w:cs="Times New Roman"/>
          <w:lang w:eastAsia="zh-CN"/>
        </w:rPr>
        <w:t>和管理权均归</w:t>
      </w:r>
      <w:r>
        <w:rPr>
          <w:rFonts w:cs="Times New Roman"/>
          <w:lang w:eastAsia="zh-CN"/>
        </w:rPr>
        <w:t>甲方及</w:t>
      </w:r>
      <w:r>
        <w:rPr>
          <w:rFonts w:hint="eastAsia" w:cs="Times New Roman"/>
          <w:lang w:eastAsia="zh-CN"/>
        </w:rPr>
        <w:t>相关</w:t>
      </w:r>
      <w:r>
        <w:rPr>
          <w:rFonts w:cs="Times New Roman"/>
          <w:lang w:eastAsia="zh-CN"/>
        </w:rPr>
        <w:t>学校</w:t>
      </w:r>
      <w:r>
        <w:rPr>
          <w:rFonts w:hint="eastAsia" w:cs="Times New Roman"/>
          <w:lang w:eastAsia="zh-CN"/>
        </w:rPr>
        <w:t>所有</w:t>
      </w:r>
      <w:r>
        <w:rPr>
          <w:rFonts w:cs="Times New Roman"/>
          <w:lang w:eastAsia="zh-CN"/>
        </w:rPr>
        <w:t>，乙方未经</w:t>
      </w:r>
      <w:r>
        <w:rPr>
          <w:rFonts w:hint="eastAsia" w:cs="Times New Roman"/>
          <w:lang w:eastAsia="zh-CN"/>
        </w:rPr>
        <w:t>甲方书面</w:t>
      </w:r>
      <w:r>
        <w:rPr>
          <w:rFonts w:cs="Times New Roman"/>
          <w:lang w:eastAsia="zh-CN"/>
        </w:rPr>
        <w:t>授权不得留存、使用或者对外提供</w:t>
      </w:r>
      <w:r>
        <w:rPr>
          <w:rFonts w:hint="eastAsia" w:cs="Times New Roman"/>
          <w:lang w:eastAsia="zh-CN"/>
        </w:rPr>
        <w:t>任何数据</w:t>
      </w:r>
      <w:r>
        <w:rPr>
          <w:rFonts w:cs="Times New Roman"/>
          <w:lang w:eastAsia="zh-CN"/>
        </w:rPr>
        <w:t>。</w:t>
      </w:r>
    </w:p>
    <w:p>
      <w:pPr>
        <w:ind w:firstLine="640" w:firstLineChars="200"/>
        <w:jc w:val="both"/>
        <w:rPr>
          <w:lang w:eastAsia="zh-CN"/>
        </w:rPr>
      </w:pPr>
      <w:r>
        <w:rPr>
          <w:rFonts w:hint="eastAsia" w:ascii="仿宋_GB2312" w:hAnsi="仿宋_GB2312" w:cs="Times New Roman"/>
          <w:lang w:eastAsia="zh-CN"/>
        </w:rPr>
        <w:t>（二）乙方处理个人信息应当遵循合法、正当、必要、诚信原则，落实最小必要和用途限制要求。</w:t>
      </w:r>
    </w:p>
    <w:p>
      <w:pPr>
        <w:ind w:firstLine="640" w:firstLineChars="200"/>
        <w:jc w:val="both"/>
        <w:rPr>
          <w:lang w:eastAsia="zh-CN"/>
        </w:rPr>
      </w:pPr>
      <w:r>
        <w:rPr>
          <w:rFonts w:hint="eastAsia" w:ascii="仿宋_GB2312" w:hAnsi="仿宋_GB2312" w:cs="Times New Roman"/>
          <w:lang w:eastAsia="zh-CN"/>
        </w:rPr>
        <w:t>（三）乙方应当落实网络安全等级保护、数据分类分级、加密存储、操作日志留痕等要求。</w:t>
      </w:r>
    </w:p>
    <w:p>
      <w:pPr>
        <w:ind w:firstLine="640" w:firstLineChars="200"/>
        <w:jc w:val="both"/>
        <w:rPr>
          <w:lang w:eastAsia="zh-CN"/>
        </w:rPr>
      </w:pPr>
      <w:r>
        <w:rPr>
          <w:rFonts w:hint="eastAsia" w:ascii="仿宋_GB2312" w:hAnsi="仿宋_GB2312" w:cs="Times New Roman"/>
          <w:lang w:eastAsia="zh-CN"/>
        </w:rPr>
        <w:t>（四）发生或者可能发生数据泄露、篡改、丢失的，乙方应当立即采取补救措施，并及时通知甲方。</w:t>
      </w:r>
    </w:p>
    <w:p>
      <w:pPr>
        <w:ind w:firstLine="640" w:firstLineChars="200"/>
        <w:jc w:val="both"/>
        <w:rPr>
          <w:lang w:eastAsia="zh-CN"/>
        </w:rPr>
      </w:pPr>
      <w:r>
        <w:rPr>
          <w:rFonts w:hint="eastAsia" w:ascii="仿宋_GB2312" w:hAnsi="仿宋_GB2312" w:cs="Times New Roman"/>
          <w:lang w:eastAsia="zh-CN"/>
        </w:rPr>
        <w:t>（五）个人信息保护影响评估。乙方应当在平台上线前开展个人信息保护影响评估，形成评估报告并提交甲方；评估报告和处理情况记录应当至少保存三年，作为项目验收的必备材料。平台功能调整，或者个人信息处理目的、处理方式发生变更的，应当重新开展评估。</w:t>
      </w:r>
    </w:p>
    <w:p>
      <w:pPr>
        <w:ind w:firstLine="640" w:firstLineChars="200"/>
        <w:jc w:val="both"/>
        <w:outlineLvl w:val="0"/>
        <w:rPr>
          <w:rFonts w:eastAsia="黑体" w:cs="Times New Roman"/>
          <w:lang w:eastAsia="zh-CN"/>
        </w:rPr>
      </w:pPr>
      <w:r>
        <w:rPr>
          <w:rFonts w:eastAsia="黑体" w:cs="Times New Roman"/>
          <w:lang w:eastAsia="zh-CN"/>
        </w:rPr>
        <w:t>九、费用与成本</w:t>
      </w:r>
    </w:p>
    <w:p>
      <w:pPr>
        <w:ind w:firstLine="640" w:firstLineChars="200"/>
        <w:jc w:val="both"/>
        <w:rPr>
          <w:lang w:eastAsia="zh-CN"/>
        </w:rPr>
      </w:pPr>
      <w:r>
        <w:rPr>
          <w:rFonts w:hint="eastAsia" w:ascii="仿宋_GB2312" w:hAnsi="仿宋_GB2312" w:cs="Times New Roman"/>
          <w:lang w:eastAsia="zh-CN"/>
        </w:rPr>
        <w:t>（一）平台建设、智能硬件配备、运维、二次开发、数据迁移等费用，由乙方承担。</w:t>
      </w:r>
    </w:p>
    <w:p>
      <w:pPr>
        <w:ind w:firstLine="640" w:firstLineChars="200"/>
        <w:jc w:val="both"/>
        <w:rPr>
          <w:lang w:eastAsia="zh-CN"/>
        </w:rPr>
      </w:pPr>
      <w:r>
        <w:rPr>
          <w:rFonts w:hint="eastAsia" w:ascii="仿宋_GB2312" w:hAnsi="仿宋_GB2312" w:cs="Times New Roman"/>
          <w:lang w:eastAsia="zh-CN"/>
        </w:rPr>
        <w:t>（二）乙方不得向学校、学生、家长、供应商收取任何费用。</w:t>
      </w:r>
    </w:p>
    <w:p>
      <w:pPr>
        <w:ind w:firstLine="640" w:firstLineChars="200"/>
        <w:jc w:val="both"/>
        <w:rPr>
          <w:lang w:eastAsia="zh-CN"/>
        </w:rPr>
      </w:pPr>
      <w:r>
        <w:rPr>
          <w:rFonts w:hint="eastAsia" w:ascii="仿宋_GB2312" w:hAnsi="仿宋_GB2312" w:cs="Times New Roman"/>
          <w:lang w:eastAsia="zh-CN"/>
        </w:rPr>
        <w:t>（三）甲方不向乙方支付平台建设、运维费用。</w:t>
      </w:r>
    </w:p>
    <w:p>
      <w:pPr>
        <w:ind w:firstLine="640" w:firstLineChars="200"/>
        <w:jc w:val="both"/>
        <w:outlineLvl w:val="0"/>
        <w:rPr>
          <w:rFonts w:eastAsia="黑体" w:cs="Times New Roman"/>
          <w:lang w:eastAsia="zh-CN"/>
        </w:rPr>
      </w:pPr>
      <w:r>
        <w:rPr>
          <w:rFonts w:eastAsia="黑体" w:cs="Times New Roman"/>
          <w:lang w:eastAsia="zh-CN"/>
        </w:rPr>
        <w:t>十、期满评估与续约</w:t>
      </w:r>
    </w:p>
    <w:p>
      <w:pPr>
        <w:ind w:firstLine="640" w:firstLineChars="200"/>
        <w:jc w:val="both"/>
        <w:rPr>
          <w:lang w:eastAsia="zh-CN"/>
        </w:rPr>
      </w:pPr>
      <w:r>
        <w:rPr>
          <w:rFonts w:hint="eastAsia" w:ascii="仿宋_GB2312" w:hAnsi="仿宋_GB2312" w:cs="Times New Roman"/>
          <w:lang w:eastAsia="zh-CN"/>
        </w:rPr>
        <w:t>（一）综合评估坚持客观、量化、可查原则，主要包括：资金专户管理合规性、平台运行稳定性与数据质量、系统与硬件维护服务、个人信息保护与数据安全、投诉处理与服务质量、合规经营情况等。</w:t>
      </w:r>
    </w:p>
    <w:p>
      <w:pPr>
        <w:ind w:firstLine="640" w:firstLineChars="200"/>
        <w:jc w:val="both"/>
        <w:rPr>
          <w:lang w:eastAsia="zh-CN"/>
        </w:rPr>
      </w:pPr>
      <w:r>
        <w:rPr>
          <w:rFonts w:hint="eastAsia" w:ascii="仿宋_GB2312" w:hAnsi="仿宋_GB2312" w:cs="Times New Roman"/>
          <w:lang w:eastAsia="zh-CN"/>
        </w:rPr>
        <w:t>（二）评估可委托第三方机构出具意见，评估结果向乙方公开并接受社会监督。</w:t>
      </w:r>
    </w:p>
    <w:p>
      <w:pPr>
        <w:ind w:firstLine="640" w:firstLineChars="200"/>
        <w:jc w:val="both"/>
        <w:outlineLvl w:val="0"/>
        <w:rPr>
          <w:rFonts w:eastAsia="黑体" w:cs="Times New Roman"/>
          <w:lang w:eastAsia="zh-CN"/>
        </w:rPr>
      </w:pPr>
      <w:r>
        <w:rPr>
          <w:rFonts w:eastAsia="黑体" w:cs="Times New Roman"/>
          <w:lang w:eastAsia="zh-CN"/>
        </w:rPr>
        <w:t>十一、退出与移交</w:t>
      </w:r>
    </w:p>
    <w:p>
      <w:pPr>
        <w:ind w:firstLine="640" w:firstLineChars="200"/>
        <w:jc w:val="both"/>
        <w:rPr>
          <w:lang w:eastAsia="zh-CN"/>
        </w:rPr>
      </w:pPr>
      <w:r>
        <w:rPr>
          <w:rFonts w:hint="eastAsia" w:ascii="仿宋_GB2312" w:hAnsi="仿宋_GB2312" w:cs="Times New Roman"/>
          <w:lang w:eastAsia="zh-CN"/>
        </w:rPr>
        <w:t>（一）发生下列情形之一的，实行一票否决，甲方有权依约中止或者终止合作：发生重大数据、网络安全事故；发生重大个人信息泄露；受到金融监管重大行政处罚；未通过等级保护测评；严重违约或者不再具备履约能力。</w:t>
      </w:r>
    </w:p>
    <w:p>
      <w:pPr>
        <w:ind w:firstLine="640" w:firstLineChars="200"/>
        <w:jc w:val="both"/>
        <w:rPr>
          <w:rFonts w:cs="Times New Roman"/>
          <w:lang w:eastAsia="zh-CN"/>
        </w:rPr>
      </w:pPr>
      <w:r>
        <w:rPr>
          <w:rFonts w:hint="eastAsia" w:ascii="仿宋_GB2312" w:hAnsi="仿宋_GB2312" w:cs="Times New Roman"/>
          <w:lang w:eastAsia="zh-CN"/>
        </w:rPr>
        <w:t>（二）合作期满或者终止合作的，乙方应当按照甲方要求，</w:t>
      </w:r>
    </w:p>
    <w:p>
      <w:pPr>
        <w:jc w:val="both"/>
        <w:rPr>
          <w:rFonts w:cs="Times New Roman"/>
          <w:lang w:eastAsia="zh-CN"/>
        </w:rPr>
      </w:pPr>
      <w:r>
        <w:rPr>
          <w:rFonts w:hint="eastAsia" w:cs="Times New Roman"/>
          <w:lang w:eastAsia="zh-CN"/>
        </w:rPr>
        <w:t>在甲方指定期限内</w:t>
      </w:r>
      <w:r>
        <w:rPr>
          <w:rFonts w:cs="Times New Roman"/>
          <w:lang w:eastAsia="zh-CN"/>
        </w:rPr>
        <w:t>配合完成数据迁移</w:t>
      </w:r>
      <w:r>
        <w:rPr>
          <w:rFonts w:hint="eastAsia" w:cs="Times New Roman"/>
          <w:lang w:eastAsia="zh-CN"/>
        </w:rPr>
        <w:t>、</w:t>
      </w:r>
      <w:r>
        <w:rPr>
          <w:rFonts w:cs="Times New Roman"/>
          <w:lang w:eastAsia="zh-CN"/>
        </w:rPr>
        <w:t>系统交接</w:t>
      </w:r>
      <w:r>
        <w:rPr>
          <w:rFonts w:hint="eastAsia" w:cs="Times New Roman"/>
          <w:lang w:eastAsia="zh-CN"/>
        </w:rPr>
        <w:t>及资料移交</w:t>
      </w:r>
      <w:r>
        <w:rPr>
          <w:rFonts w:cs="Times New Roman"/>
          <w:lang w:eastAsia="zh-CN"/>
        </w:rPr>
        <w:t>，保障业务连续、数据</w:t>
      </w:r>
      <w:r>
        <w:rPr>
          <w:rFonts w:hint="eastAsia" w:cs="Times New Roman"/>
          <w:lang w:eastAsia="zh-CN"/>
        </w:rPr>
        <w:t>完整</w:t>
      </w:r>
      <w:r>
        <w:rPr>
          <w:rFonts w:cs="Times New Roman"/>
          <w:lang w:eastAsia="zh-CN"/>
        </w:rPr>
        <w:t>不流失</w:t>
      </w:r>
      <w:r>
        <w:rPr>
          <w:rFonts w:hint="eastAsia" w:cs="Times New Roman"/>
          <w:lang w:eastAsia="zh-CN"/>
        </w:rPr>
        <w:t>，期间产生的相关成本由乙方</w:t>
      </w:r>
    </w:p>
    <w:p>
      <w:pPr>
        <w:jc w:val="both"/>
        <w:rPr>
          <w:rFonts w:cs="Times New Roman"/>
          <w:lang w:eastAsia="zh-CN"/>
        </w:rPr>
      </w:pPr>
      <w:r>
        <w:rPr>
          <w:rFonts w:hint="eastAsia" w:cs="Times New Roman"/>
          <w:lang w:eastAsia="zh-CN"/>
        </w:rPr>
        <w:t>自行承担。</w:t>
      </w:r>
      <w:r>
        <w:rPr>
          <w:rFonts w:cs="Times New Roman"/>
          <w:lang w:eastAsia="zh-CN"/>
        </w:rPr>
        <w:t>涉及原有银行硬件回收的，由新确定的合作银行补充配备。</w:t>
      </w:r>
      <w:r>
        <w:rPr>
          <w:rFonts w:hint="eastAsia" w:cs="Times New Roman"/>
          <w:lang w:eastAsia="zh-CN"/>
        </w:rPr>
        <w:t>乙方未按期或者未按要求履行前述义务的，甲方有权要求乙方继续履行，并要求乙方赔偿因此给甲方造成的直接损失，乙方的违约情况可纳入后续合作评估考量。</w:t>
      </w:r>
    </w:p>
    <w:p>
      <w:pPr>
        <w:ind w:firstLine="640" w:firstLineChars="200"/>
        <w:jc w:val="both"/>
        <w:rPr>
          <w:rFonts w:cs="Times New Roman"/>
          <w:lang w:eastAsia="zh-CN"/>
        </w:rPr>
      </w:pPr>
      <w:r>
        <w:rPr>
          <w:rFonts w:hint="eastAsia" w:ascii="仿宋_GB2312" w:hAnsi="仿宋_GB2312" w:cs="Times New Roman"/>
          <w:lang w:eastAsia="zh-CN"/>
        </w:rPr>
        <w:t>（三）合作终止后，乙方应当在30日内完成全部数据向甲</w:t>
      </w:r>
    </w:p>
    <w:p>
      <w:pPr>
        <w:jc w:val="both"/>
        <w:rPr>
          <w:rFonts w:cs="Times New Roman"/>
          <w:lang w:eastAsia="zh-CN"/>
        </w:rPr>
      </w:pPr>
      <w:r>
        <w:rPr>
          <w:rFonts w:hint="eastAsia" w:cs="Times New Roman"/>
          <w:lang w:eastAsia="zh-CN"/>
        </w:rPr>
        <w:t>方指定主体的迁移，并永久删除自身存储的所有相关数据，向</w:t>
      </w:r>
    </w:p>
    <w:p>
      <w:pPr>
        <w:jc w:val="both"/>
        <w:rPr>
          <w:lang w:eastAsia="zh-CN"/>
        </w:rPr>
      </w:pPr>
      <w:r>
        <w:rPr>
          <w:rFonts w:hint="eastAsia" w:cs="Times New Roman"/>
          <w:lang w:eastAsia="zh-CN"/>
        </w:rPr>
        <w:t>甲方出具数据删除确认函。</w:t>
      </w:r>
    </w:p>
    <w:p>
      <w:pPr>
        <w:ind w:firstLine="640" w:firstLineChars="200"/>
        <w:jc w:val="both"/>
        <w:outlineLvl w:val="0"/>
        <w:rPr>
          <w:rFonts w:eastAsia="黑体" w:cs="Times New Roman"/>
          <w:lang w:eastAsia="zh-CN"/>
        </w:rPr>
      </w:pPr>
      <w:bookmarkStart w:id="0" w:name="OLE_LINK2"/>
      <w:bookmarkStart w:id="1" w:name="OLE_LINK1"/>
      <w:r>
        <w:rPr>
          <w:rFonts w:eastAsia="黑体" w:cs="Times New Roman"/>
          <w:lang w:eastAsia="zh-CN"/>
        </w:rPr>
        <w:t>十二、违约责任</w:t>
      </w:r>
    </w:p>
    <w:bookmarkEnd w:id="0"/>
    <w:bookmarkEnd w:id="1"/>
    <w:p>
      <w:pPr>
        <w:ind w:firstLine="640" w:firstLineChars="200"/>
        <w:jc w:val="both"/>
        <w:rPr>
          <w:lang w:eastAsia="zh-CN"/>
        </w:rPr>
      </w:pPr>
      <w:r>
        <w:rPr>
          <w:rFonts w:hint="eastAsia" w:ascii="仿宋_GB2312" w:hAnsi="仿宋_GB2312" w:cs="Times New Roman"/>
          <w:lang w:eastAsia="zh-CN"/>
        </w:rPr>
        <w:t>（一）乙方违反本协议约定义务或者承诺书承诺的，甲方有权要求乙方限期整改；逾期未整改、整改后仍不符合要求、或者情节严重的，甲方有权中止或者终止合作，并依法追究乙方相应责任，且乙方应赔偿因其违约给甲方造成的直接损失。</w:t>
      </w:r>
    </w:p>
    <w:p>
      <w:pPr>
        <w:ind w:firstLine="640" w:firstLineChars="200"/>
        <w:jc w:val="both"/>
        <w:rPr>
          <w:lang w:eastAsia="zh-CN"/>
        </w:rPr>
      </w:pPr>
      <w:r>
        <w:rPr>
          <w:rFonts w:hint="eastAsia" w:ascii="仿宋_GB2312" w:hAnsi="仿宋_GB2312" w:cs="Times New Roman"/>
          <w:lang w:eastAsia="zh-CN"/>
        </w:rPr>
        <w:t>（二）甲方违反本协议约定，给乙方造成损失的，依法承担相应责任。因法律法规、政策调整、上级机关决定、政府指令或者不可抗力等非因甲方原因，导致本协议无法履行、部分无法履行或者迟延履行的，甲方不承担违约责任；双方应根据影响程度协商采取变更、暂停或者终止合作等措施。</w:t>
      </w:r>
    </w:p>
    <w:p>
      <w:pPr>
        <w:ind w:firstLine="640" w:firstLineChars="200"/>
        <w:jc w:val="both"/>
        <w:outlineLvl w:val="0"/>
        <w:rPr>
          <w:rFonts w:eastAsia="黑体" w:cs="Times New Roman"/>
          <w:lang w:eastAsia="zh-CN"/>
        </w:rPr>
      </w:pPr>
      <w:r>
        <w:rPr>
          <w:rFonts w:eastAsia="黑体" w:cs="Times New Roman"/>
          <w:lang w:eastAsia="zh-CN"/>
        </w:rPr>
        <w:t>十三、争议解决</w:t>
      </w:r>
    </w:p>
    <w:p>
      <w:pPr>
        <w:ind w:firstLine="640" w:firstLineChars="200"/>
        <w:jc w:val="both"/>
        <w:rPr>
          <w:lang w:eastAsia="zh-CN"/>
        </w:rPr>
      </w:pPr>
      <w:r>
        <w:rPr>
          <w:rFonts w:cs="Times New Roman"/>
          <w:lang w:eastAsia="zh-CN"/>
        </w:rPr>
        <w:t>本协议履行过程中发生争议，双方应当友好协商解决；协商不成的，依法向甲方所在地人民法院提起诉讼。</w:t>
      </w:r>
    </w:p>
    <w:p>
      <w:pPr>
        <w:ind w:firstLine="640" w:firstLineChars="200"/>
        <w:jc w:val="both"/>
        <w:outlineLvl w:val="0"/>
        <w:rPr>
          <w:rFonts w:eastAsia="黑体" w:cs="Times New Roman"/>
          <w:lang w:eastAsia="zh-CN"/>
        </w:rPr>
      </w:pPr>
      <w:r>
        <w:rPr>
          <w:rFonts w:eastAsia="黑体" w:cs="Times New Roman"/>
          <w:lang w:eastAsia="zh-CN"/>
        </w:rPr>
        <w:t>十四、其他</w:t>
      </w:r>
    </w:p>
    <w:p>
      <w:pPr>
        <w:ind w:firstLine="640" w:firstLineChars="200"/>
        <w:jc w:val="both"/>
        <w:rPr>
          <w:lang w:eastAsia="zh-CN"/>
        </w:rPr>
      </w:pPr>
      <w:r>
        <w:rPr>
          <w:rFonts w:hint="eastAsia" w:ascii="仿宋_GB2312" w:hAnsi="仿宋_GB2312" w:cs="Times New Roman"/>
          <w:lang w:eastAsia="zh-CN"/>
        </w:rPr>
        <w:t>（一）本协议未尽事宜，双方可另行签订补充协议，补充协议与本协议具有同等效力。</w:t>
      </w:r>
    </w:p>
    <w:p>
      <w:pPr>
        <w:ind w:firstLine="640" w:firstLineChars="200"/>
        <w:jc w:val="both"/>
        <w:rPr>
          <w:lang w:eastAsia="zh-CN"/>
        </w:rPr>
      </w:pPr>
      <w:r>
        <w:rPr>
          <w:rFonts w:hint="eastAsia" w:ascii="仿宋_GB2312" w:hAnsi="仿宋_GB2312" w:cs="Times New Roman"/>
          <w:lang w:eastAsia="zh-CN"/>
        </w:rPr>
        <w:t>（二）本协议自双方签字盖章之日起生效。</w:t>
      </w:r>
    </w:p>
    <w:p>
      <w:pPr>
        <w:ind w:firstLine="640" w:firstLineChars="200"/>
        <w:jc w:val="both"/>
        <w:rPr>
          <w:rFonts w:cs="Times New Roman"/>
          <w:lang w:eastAsia="zh-CN"/>
        </w:rPr>
      </w:pPr>
      <w:r>
        <w:rPr>
          <w:rFonts w:hint="eastAsia" w:ascii="仿宋_GB2312" w:hAnsi="仿宋_GB2312" w:cs="Times New Roman"/>
          <w:lang w:eastAsia="zh-CN"/>
        </w:rPr>
        <w:t>（三）本协议一式肆份，甲乙双方各持贰份，具有同等法律效力。</w:t>
      </w:r>
    </w:p>
    <w:p>
      <w:pPr>
        <w:ind w:firstLine="640" w:firstLineChars="200"/>
        <w:jc w:val="both"/>
        <w:rPr>
          <w:rFonts w:cs="Times New Roman"/>
          <w:lang w:eastAsia="zh-CN"/>
        </w:rPr>
      </w:pPr>
    </w:p>
    <w:p>
      <w:pPr>
        <w:ind w:firstLine="640" w:firstLineChars="200"/>
        <w:jc w:val="both"/>
        <w:rPr>
          <w:lang w:eastAsia="zh-CN"/>
        </w:rPr>
      </w:pPr>
    </w:p>
    <w:p>
      <w:pPr>
        <w:ind w:firstLine="640" w:firstLineChars="200"/>
        <w:jc w:val="both"/>
        <w:rPr>
          <w:lang w:eastAsia="zh-CN"/>
        </w:rPr>
      </w:pPr>
      <w:r>
        <w:rPr>
          <w:rFonts w:cs="Times New Roman"/>
          <w:lang w:eastAsia="zh-CN"/>
        </w:rPr>
        <w:t>甲方（盖章）：广州市增城区教育局</w:t>
      </w:r>
    </w:p>
    <w:p>
      <w:pPr>
        <w:ind w:firstLine="640" w:firstLineChars="200"/>
        <w:jc w:val="both"/>
        <w:rPr>
          <w:lang w:eastAsia="zh-CN"/>
        </w:rPr>
      </w:pPr>
      <w:r>
        <w:rPr>
          <w:rFonts w:cs="Times New Roman"/>
          <w:lang w:eastAsia="zh-CN"/>
        </w:rPr>
        <w:t>法定代表人（或者授权代表）：</w:t>
      </w:r>
    </w:p>
    <w:p>
      <w:pPr>
        <w:ind w:firstLine="640" w:firstLineChars="200"/>
        <w:jc w:val="both"/>
      </w:pPr>
      <w:r>
        <w:rPr>
          <w:rFonts w:cs="Times New Roman"/>
        </w:rPr>
        <w:t>日　期：　　年　　月　　日</w:t>
      </w:r>
    </w:p>
    <w:p>
      <w:pPr>
        <w:ind w:firstLine="640" w:firstLineChars="200"/>
        <w:jc w:val="both"/>
        <w:rPr>
          <w:lang w:eastAsia="zh-CN"/>
        </w:rPr>
      </w:pPr>
      <w:r>
        <w:rPr>
          <w:rFonts w:cs="Times New Roman"/>
          <w:lang w:eastAsia="zh-CN"/>
        </w:rPr>
        <w:t>乙方（盖章）：</w:t>
      </w:r>
    </w:p>
    <w:p>
      <w:pPr>
        <w:ind w:firstLine="640" w:firstLineChars="200"/>
        <w:jc w:val="both"/>
        <w:rPr>
          <w:lang w:eastAsia="zh-CN"/>
        </w:rPr>
      </w:pPr>
      <w:r>
        <w:rPr>
          <w:rFonts w:cs="Times New Roman"/>
          <w:lang w:eastAsia="zh-CN"/>
        </w:rPr>
        <w:t>法定代表人（或者授权代表）：</w:t>
      </w:r>
    </w:p>
    <w:p>
      <w:pPr>
        <w:ind w:firstLine="640" w:firstLineChars="200"/>
        <w:jc w:val="both"/>
      </w:pPr>
      <w:r>
        <w:rPr>
          <w:rFonts w:cs="Times New Roman"/>
        </w:rPr>
        <w:t>日　期：　　年　　月　　日</w:t>
      </w:r>
    </w:p>
    <w:sectPr>
      <w:headerReference r:id="rId5" w:type="default"/>
      <w:footerReference r:id="rId6" w:type="default"/>
      <w:footerReference r:id="rId7" w:type="even"/>
      <w:pgSz w:w="11906" w:h="16838"/>
      <w:pgMar w:top="2098" w:right="1474" w:bottom="1984" w:left="1587" w:header="720" w:footer="1418" w:gutter="0"/>
      <w:cols w:space="720" w:num="1"/>
      <w:docGrid w:linePitch="57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Courier">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49" o:spid="_x0000_s2049" o:spt="202" type="#_x0000_t202" style="position:absolute;left:0pt;margin-top:1pt;height:144pt;width:144pt;mso-position-horizontal:outside;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">
          <v:path/>
          <v:fill on="f" focussize="0,0"/>
          <v:stroke on="f" weight="0.5pt" joinstyle="miter"/>
          <v:imagedata o:title=""/>
          <o:lock v:ext="edit"/>
          <v:textbox inset="16pt,0mm,16pt,0mm" style="mso-fit-shape-to-text:t;">
            <w:txbxContent>
              <w:p>
                <w:pPr>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w:instrText>
                </w:r>
                <w:r>
                  <w:rPr>
                    <w:rFonts w:ascii="宋体" w:hAnsi="宋体" w:eastAsia="宋体"/>
                    <w:sz w:val="28"/>
                  </w:rPr>
                  <w:fldChar w:fldCharType="separate"/>
                </w:r>
                <w:r>
                  <w:rPr>
                    <w:rFonts w:ascii="宋体" w:hAnsi="宋体" w:eastAsia="宋体"/>
                    <w:sz w:val="28"/>
                  </w:rPr>
                  <w:t>4</w:t>
                </w:r>
                <w:r>
                  <w:rPr>
                    <w:rFonts w:ascii="宋体" w:hAnsi="宋体" w:eastAsia="宋体"/>
                    <w:sz w:val="28"/>
                  </w:rPr>
                  <w:fldChar w:fldCharType="end"/>
                </w:r>
                <w:r>
                  <w:rPr>
                    <w:rFonts w:ascii="宋体" w:hAnsi="宋体" w:eastAsia="宋体"/>
                    <w:sz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50" o:spid="_x0000_s2050" o:spt="202" type="#_x0000_t202" style="position:absolute;left:0pt;margin-top:1pt;height:144pt;width:144pt;mso-position-horizontal:outside;mso-position-horizontal-relative:margin;mso-wrap-style:non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">
          <v:path/>
          <v:fill on="f" focussize="0,0"/>
          <v:stroke on="f" weight="0.5pt" joinstyle="miter"/>
          <v:imagedata o:title=""/>
          <o:lock v:ext="edit"/>
          <v:textbox inset="16pt,0mm,16pt,0mm" style="mso-fit-shape-to-text:t;">
            <w:txbxContent>
              <w:p>
                <w:pPr>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w:rPr>
        <w:sz w:val="32"/>
      </w:rPr>
      <w:pict>
        <v:shape id="PowerPlusWaterMarkObject5539722" o:spid="_x0000_s2060" o:spt="136" type="#_x0000_t136" style="position:absolute;left:0pt;margin-left:420.1pt;margin-top:399.1pt;height:35pt;width:124pt;mso-position-horizontal-relative:margin;mso-position-vertical-relative:margin;rotation:-2949120f;z-index:-251645952;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5014039" o:spid="_x0000_s2059" o:spt="136" type="#_x0000_t136" style="position:absolute;left:0pt;margin-left:247.55pt;margin-top:571.65pt;height:35pt;width:124pt;mso-position-horizontal-relative:margin;mso-position-vertical-relative:margin;rotation:-2949120f;z-index:-251646976;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4627479" o:spid="_x0000_s2058" o:spt="136" type="#_x0000_t136" style="position:absolute;left:0pt;margin-left:75pt;margin-top:744.2pt;height:35pt;width:124pt;mso-position-horizontal-relative:margin;mso-position-vertical-relative:margin;rotation:-2949120f;z-index:-251648000;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4404640" o:spid="_x0000_s2057" o:spt="136" type="#_x0000_t136" style="position:absolute;left:0pt;margin-left:420.1pt;margin-top:39.8pt;height:35pt;width:124pt;mso-position-horizontal-relative:margin;mso-position-vertical-relative:margin;rotation:-2949120f;z-index:-251649024;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3596525" o:spid="_x0000_s2056" o:spt="136" type="#_x0000_t136" style="position:absolute;left:0pt;margin-left:247.55pt;margin-top:212.35pt;height:35pt;width:124pt;mso-position-horizontal-relative:margin;mso-position-vertical-relative:margin;rotation:-2949120f;z-index:-251650048;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2980024" o:spid="_x0000_s2055" o:spt="136" type="#_x0000_t136" style="position:absolute;left:0pt;margin-left:75pt;margin-top:384.9pt;height:35pt;width:124pt;mso-position-horizontal-relative:margin;mso-position-vertical-relative:margin;rotation:-2949120f;z-index:-251651072;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2268265" o:spid="_x0000_s2054" o:spt="136" type="#_x0000_t136" style="position:absolute;left:0pt;margin-left:-97.5pt;margin-top:557.4pt;height:35pt;width:124pt;mso-position-horizontal-relative:margin;mso-position-vertical-relative:margin;rotation:-2949120f;z-index:-251652096;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1969480" o:spid="_x0000_s2053" o:spt="136" type="#_x0000_t136" style="position:absolute;left:0pt;margin-left:247.55pt;margin-top:-146.95pt;height:35pt;width:124pt;mso-position-horizontal-relative:margin;mso-position-vertical-relative:margin;rotation:-2949120f;z-index:-251653120;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1103492" o:spid="_x0000_s2052" o:spt="136" type="#_x0000_t136" style="position:absolute;left:0pt;margin-left:75pt;margin-top:25.6pt;height:35pt;width:124pt;mso-position-horizontal-relative:margin;mso-position-vertical-relative:margin;rotation:-2949120f;z-index:-251654144;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376774" o:spid="_x0000_s2051" o:spt="136" type="#_x0000_t136" style="position:absolute;left:0pt;margin-left:-97.5pt;margin-top:198.1pt;height:35pt;width:124pt;mso-position-horizontal-relative:margin;mso-position-vertical-relative:margin;rotation:-2949120f;z-index:-251655168;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isplayHorizontalDrawingGridEvery w:val="0"/>
  <w:displayVerticalDrawingGridEvery w:val="2"/>
  <w:characterSpacingControl w:val="doNotCompress"/>
  <w:hdrShapeDefaults>
    <o:shapelayout v:ext="edit">
      <o:idmap v:ext="edit" data="2"/>
    </o:shapelayout>
  </w:hdrShapeDefaults>
  <w:footnotePr>
    <w:footnote w:id="0"/>
    <w:footnote w:id="1"/>
  </w:footnotePr>
  <w:endnotePr>
    <w:endnote w:id="0"/>
    <w:endnote w:id="1"/>
  </w:endnotePr>
  <w:compat>
    <w:balanceSingleByteDoubleByteWidth/>
    <w:doNotExpandShiftReturn/>
    <w:adjustLineHeightInTable/>
    <w:useFELayout/>
    <w:doNotUseIndentAsNumberingTabStop/>
    <w:splitPgBreakAndParaMark/>
    <w:compatSetting w:name="compatibilityMode" w:uri="http://schemas.microsoft.com/office/word" w:val="12"/>
  </w:compat>
  <w:rsids>
    <w:rsidRoot w:val="00CA69CE"/>
    <w:rsid w:val="000B1A6B"/>
    <w:rsid w:val="002312FC"/>
    <w:rsid w:val="00242CFC"/>
    <w:rsid w:val="002D5A89"/>
    <w:rsid w:val="002D7F1B"/>
    <w:rsid w:val="003A4BD4"/>
    <w:rsid w:val="00411D45"/>
    <w:rsid w:val="00617606"/>
    <w:rsid w:val="00621BD0"/>
    <w:rsid w:val="006574C8"/>
    <w:rsid w:val="006575DD"/>
    <w:rsid w:val="00662ECB"/>
    <w:rsid w:val="006D39EB"/>
    <w:rsid w:val="007C7941"/>
    <w:rsid w:val="00803F2D"/>
    <w:rsid w:val="008875C0"/>
    <w:rsid w:val="008C4950"/>
    <w:rsid w:val="00A93AA6"/>
    <w:rsid w:val="00AB0455"/>
    <w:rsid w:val="00AF1EA4"/>
    <w:rsid w:val="00B572A0"/>
    <w:rsid w:val="00BA7EFE"/>
    <w:rsid w:val="00BF6572"/>
    <w:rsid w:val="00C82CD4"/>
    <w:rsid w:val="00CA69CE"/>
    <w:rsid w:val="00CE19AD"/>
    <w:rsid w:val="00DA51A6"/>
    <w:rsid w:val="00E35C5B"/>
    <w:rsid w:val="00E6539E"/>
    <w:rsid w:val="00E676EA"/>
    <w:rsid w:val="00EF2963"/>
    <w:rsid w:val="3F7D799E"/>
    <w:rsid w:val="4EC9794A"/>
    <w:rsid w:val="789D56D8"/>
    <w:rsid w:val="79721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mbria" w:hAnsi="Cambria" w:eastAsiaTheme="minorEastAsia" w:cs="Cambri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val="0"/>
      <w:spacing w:line="560" w:lineRule="exact"/>
    </w:pPr>
    <w:rPr>
      <w:rFonts w:ascii="Times New Roman" w:hAnsi="Times New Roman" w:eastAsia="仿宋_GB2312" w:cstheme="minorBidi"/>
      <w:sz w:val="32"/>
      <w:szCs w:val="22"/>
      <w:lang w:val="en-US" w:eastAsia="en-US" w:bidi="ar-SA"/>
    </w:rPr>
  </w:style>
  <w:style w:type="paragraph" w:styleId="3">
    <w:name w:val="heading 1"/>
    <w:basedOn w:val="1"/>
    <w:next w:val="1"/>
    <w:link w:val="139"/>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4">
    <w:name w:val="heading 2"/>
    <w:basedOn w:val="1"/>
    <w:next w:val="1"/>
    <w:link w:val="140"/>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5">
    <w:name w:val="heading 3"/>
    <w:basedOn w:val="1"/>
    <w:next w:val="1"/>
    <w:link w:val="141"/>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6">
    <w:name w:val="heading 4"/>
    <w:basedOn w:val="1"/>
    <w:next w:val="1"/>
    <w:link w:val="15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paragraph" w:styleId="7">
    <w:name w:val="heading 5"/>
    <w:basedOn w:val="1"/>
    <w:next w:val="1"/>
    <w:link w:val="152"/>
    <w:semiHidden/>
    <w:unhideWhenUsed/>
    <w:qFormat/>
    <w:uiPriority w:val="9"/>
    <w:pPr>
      <w:keepNext/>
      <w:keepLines/>
      <w:spacing w:before="200"/>
      <w:outlineLvl w:val="4"/>
    </w:pPr>
    <w:rPr>
      <w:rFonts w:asciiTheme="majorHAnsi" w:hAnsiTheme="majorHAnsi" w:eastAsiaTheme="majorEastAsia" w:cstheme="majorBidi"/>
      <w:color w:val="243F61" w:themeColor="accent1" w:themeShade="7F"/>
    </w:rPr>
  </w:style>
  <w:style w:type="paragraph" w:styleId="8">
    <w:name w:val="heading 6"/>
    <w:basedOn w:val="1"/>
    <w:next w:val="1"/>
    <w:link w:val="153"/>
    <w:semiHidden/>
    <w:unhideWhenUsed/>
    <w:qFormat/>
    <w:uiPriority w:val="9"/>
    <w:pPr>
      <w:keepNext/>
      <w:keepLines/>
      <w:spacing w:before="200"/>
      <w:outlineLvl w:val="5"/>
    </w:pPr>
    <w:rPr>
      <w:rFonts w:asciiTheme="majorHAnsi" w:hAnsiTheme="majorHAnsi" w:eastAsiaTheme="majorEastAsia" w:cstheme="majorBidi"/>
      <w:i/>
      <w:iCs/>
      <w:color w:val="243F61" w:themeColor="accent1" w:themeShade="7F"/>
    </w:rPr>
  </w:style>
  <w:style w:type="paragraph" w:styleId="9">
    <w:name w:val="heading 7"/>
    <w:basedOn w:val="1"/>
    <w:next w:val="1"/>
    <w:link w:val="154"/>
    <w:semiHidden/>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10">
    <w:name w:val="heading 8"/>
    <w:basedOn w:val="1"/>
    <w:next w:val="1"/>
    <w:link w:val="155"/>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rPr>
  </w:style>
  <w:style w:type="paragraph" w:styleId="11">
    <w:name w:val="heading 9"/>
    <w:basedOn w:val="1"/>
    <w:next w:val="1"/>
    <w:link w:val="156"/>
    <w:semiHidden/>
    <w:unhideWhenUsed/>
    <w:qFormat/>
    <w:uiPriority w:val="9"/>
    <w:pPr>
      <w:keepNext/>
      <w:keepLines/>
      <w:spacing w:before="200"/>
      <w:outlineLvl w:val="8"/>
    </w:pPr>
    <w:rPr>
      <w:rFonts w:asciiTheme="majorHAnsi" w:hAnsiTheme="majorHAnsi" w:eastAsiaTheme="majorEastAsia" w:cstheme="majorBidi"/>
      <w:i/>
      <w:iCs/>
      <w:color w:val="3F3F3F" w:themeColor="text1" w:themeTint="BF"/>
      <w:sz w:val="20"/>
      <w:szCs w:val="20"/>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widowControl w:val="0"/>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Balloon Text"/>
    <w:basedOn w:val="1"/>
    <w:link w:val="165"/>
    <w:semiHidden/>
    <w:unhideWhenUsed/>
    <w:uiPriority w:val="99"/>
    <w:pPr>
      <w:spacing w:line="240" w:lineRule="auto"/>
    </w:pPr>
    <w:rPr>
      <w:sz w:val="18"/>
      <w:szCs w:val="18"/>
    </w:rPr>
  </w:style>
  <w:style w:type="paragraph" w:styleId="25">
    <w:name w:val="footer"/>
    <w:basedOn w:val="1"/>
    <w:link w:val="137"/>
    <w:unhideWhenUsed/>
    <w:uiPriority w:val="99"/>
    <w:pPr>
      <w:tabs>
        <w:tab w:val="center" w:pos="4680"/>
        <w:tab w:val="right" w:pos="9360"/>
      </w:tabs>
      <w:spacing w:line="240" w:lineRule="auto"/>
    </w:pPr>
  </w:style>
  <w:style w:type="paragraph" w:styleId="26">
    <w:name w:val="header"/>
    <w:basedOn w:val="1"/>
    <w:link w:val="136"/>
    <w:unhideWhenUsed/>
    <w:uiPriority w:val="99"/>
    <w:pPr>
      <w:tabs>
        <w:tab w:val="center" w:pos="4680"/>
        <w:tab w:val="right" w:pos="9360"/>
      </w:tabs>
      <w:spacing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rPr>
  </w:style>
  <w:style w:type="paragraph" w:styleId="28">
    <w:name w:val="List"/>
    <w:basedOn w:val="1"/>
    <w:unhideWhenUsed/>
    <w:uiPriority w:val="99"/>
    <w:pPr>
      <w:ind w:left="360" w:hanging="360"/>
      <w:contextualSpacing/>
    </w:pPr>
  </w:style>
  <w:style w:type="paragraph" w:styleId="29">
    <w:name w:val="Body Text 2"/>
    <w:basedOn w:val="1"/>
    <w:link w:val="146"/>
    <w:unhideWhenUsed/>
    <w:uiPriority w:val="99"/>
    <w:pPr>
      <w:spacing w:after="120" w:line="480" w:lineRule="auto"/>
    </w:pPr>
  </w:style>
  <w:style w:type="paragraph" w:styleId="30">
    <w:name w:val="List Continue 2"/>
    <w:basedOn w:val="1"/>
    <w:unhideWhenUsed/>
    <w:uiPriority w:val="99"/>
    <w:pPr>
      <w:spacing w:after="120"/>
      <w:ind w:left="720"/>
      <w:contextualSpacing/>
    </w:p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table" w:styleId="34">
    <w:name w:val="Table Grid"/>
    <w:basedOn w:val="33"/>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uiPriority w:val="60"/>
    <w:pPr>
      <w:widowControl w:val="0"/>
    </w:pPr>
    <w:rPr>
      <w:color w:val="000000" w:themeColor="text1" w:themeShade="BF"/>
    </w:rPr>
    <w:tblPr>
      <w:tblBorders>
        <w:top w:val="single" w:color="000000" w:themeColor="text1" w:sz="8" w:space="0"/>
        <w:bottom w:val="single" w:color="000000" w:themeColor="text1" w:sz="8" w:space="0"/>
      </w:tblBorders>
    </w:tblPr>
    <w:tblStylePr w:type="firstRow">
      <w:pPr>
        <w:widowControl w:val="0"/>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widowControl w:val="0"/>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widowControl w:val="0"/>
    </w:pPr>
    <w:rPr>
      <w:color w:val="366091" w:themeColor="accent1" w:themeShade="BF"/>
    </w:rPr>
    <w:tblPr>
      <w:tblBorders>
        <w:top w:val="single" w:color="4F81BD" w:themeColor="accent1" w:sz="8" w:space="0"/>
        <w:bottom w:val="single" w:color="4F81BD" w:themeColor="accent1" w:sz="8" w:space="0"/>
      </w:tblBorders>
    </w:tblPr>
    <w:tblStylePr w:type="firstRow">
      <w:pPr>
        <w:widowControl w:val="0"/>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widowControl w:val="0"/>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widowControl w:val="0"/>
    </w:pPr>
    <w:rPr>
      <w:color w:val="943734" w:themeColor="accent2" w:themeShade="BF"/>
    </w:rPr>
    <w:tblPr>
      <w:tblBorders>
        <w:top w:val="single" w:color="C0504D" w:themeColor="accent2" w:sz="8" w:space="0"/>
        <w:bottom w:val="single" w:color="C0504D" w:themeColor="accent2" w:sz="8" w:space="0"/>
      </w:tblBorders>
    </w:tblPr>
    <w:tblStylePr w:type="firstRow">
      <w:pPr>
        <w:widowControl w:val="0"/>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widowControl w:val="0"/>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widowControl w:val="0"/>
    </w:pPr>
    <w:rPr>
      <w:color w:val="76923C" w:themeColor="accent3" w:themeShade="BF"/>
    </w:rPr>
    <w:tblPr>
      <w:tblBorders>
        <w:top w:val="single" w:color="9BBB59" w:themeColor="accent3" w:sz="8" w:space="0"/>
        <w:bottom w:val="single" w:color="9BBB59" w:themeColor="accent3" w:sz="8" w:space="0"/>
      </w:tblBorders>
    </w:tblPr>
    <w:tblStylePr w:type="firstRow">
      <w:pPr>
        <w:widowControl w:val="0"/>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widowControl w:val="0"/>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widowControl w:val="0"/>
    </w:pPr>
    <w:rPr>
      <w:color w:val="5F497A" w:themeColor="accent4" w:themeShade="BF"/>
    </w:rPr>
    <w:tblPr>
      <w:tblBorders>
        <w:top w:val="single" w:color="8064A2" w:themeColor="accent4" w:sz="8" w:space="0"/>
        <w:bottom w:val="single" w:color="8064A2" w:themeColor="accent4" w:sz="8" w:space="0"/>
      </w:tblBorders>
    </w:tblPr>
    <w:tblStylePr w:type="firstRow">
      <w:pPr>
        <w:widowControl w:val="0"/>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widowControl w:val="0"/>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widowControl w:val="0"/>
    </w:pPr>
    <w:rPr>
      <w:color w:val="31849B" w:themeColor="accent5" w:themeShade="BF"/>
    </w:rPr>
    <w:tblPr>
      <w:tblBorders>
        <w:top w:val="single" w:color="4BACC6" w:themeColor="accent5" w:sz="8" w:space="0"/>
        <w:bottom w:val="single" w:color="4BACC6" w:themeColor="accent5" w:sz="8" w:space="0"/>
      </w:tblBorders>
    </w:tblPr>
    <w:tblStylePr w:type="firstRow">
      <w:pPr>
        <w:widowControl w:val="0"/>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widowControl w:val="0"/>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widowControl w:val="0"/>
    </w:pPr>
    <w:rPr>
      <w:color w:val="E36C09" w:themeColor="accent6" w:themeShade="BF"/>
    </w:rPr>
    <w:tblPr>
      <w:tblBorders>
        <w:top w:val="single" w:color="F79646" w:themeColor="accent6" w:sz="8" w:space="0"/>
        <w:bottom w:val="single" w:color="F79646" w:themeColor="accent6" w:sz="8" w:space="0"/>
      </w:tblBorders>
    </w:tblPr>
    <w:tblStylePr w:type="firstRow">
      <w:pPr>
        <w:widowControl w:val="0"/>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widowControl w:val="0"/>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widowControl w:val="0"/>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widowControl w:val="0"/>
        <w:spacing w:before="0" w:after="0" w:line="240" w:lineRule="auto"/>
      </w:pPr>
      <w:rPr>
        <w:b/>
        <w:bCs/>
        <w:color w:val="FFFFFF" w:themeColor="background1"/>
      </w:rPr>
      <w:tblPr/>
      <w:tcPr>
        <w:shd w:val="clear" w:color="auto" w:fill="000000" w:themeFill="text1"/>
      </w:tcPr>
    </w:tblStylePr>
    <w:tblStylePr w:type="lastRow">
      <w:pPr>
        <w:widowControl w:val="0"/>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widowControl w:val="0"/>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widowControl w:val="0"/>
        <w:spacing w:before="0" w:after="0" w:line="240" w:lineRule="auto"/>
      </w:pPr>
      <w:rPr>
        <w:b/>
        <w:bCs/>
        <w:color w:val="FFFFFF" w:themeColor="background1"/>
      </w:rPr>
      <w:tblPr/>
      <w:tcPr>
        <w:shd w:val="clear" w:color="auto" w:fill="4F81BD" w:themeFill="accent1"/>
      </w:tcPr>
    </w:tblStylePr>
    <w:tblStylePr w:type="lastRow">
      <w:pPr>
        <w:widowControl w:val="0"/>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widowControl w:val="0"/>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widowControl w:val="0"/>
        <w:spacing w:before="0" w:after="0" w:line="240" w:lineRule="auto"/>
      </w:pPr>
      <w:rPr>
        <w:b/>
        <w:bCs/>
        <w:color w:val="FFFFFF" w:themeColor="background1"/>
      </w:rPr>
      <w:tblPr/>
      <w:tcPr>
        <w:shd w:val="clear" w:color="auto" w:fill="C0504D" w:themeFill="accent2"/>
      </w:tcPr>
    </w:tblStylePr>
    <w:tblStylePr w:type="lastRow">
      <w:pPr>
        <w:widowControl w:val="0"/>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widowControl w:val="0"/>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widowControl w:val="0"/>
        <w:spacing w:before="0" w:after="0" w:line="240" w:lineRule="auto"/>
      </w:pPr>
      <w:rPr>
        <w:b/>
        <w:bCs/>
        <w:color w:val="FFFFFF" w:themeColor="background1"/>
      </w:rPr>
      <w:tblPr/>
      <w:tcPr>
        <w:shd w:val="clear" w:color="auto" w:fill="9BBB59" w:themeFill="accent3"/>
      </w:tcPr>
    </w:tblStylePr>
    <w:tblStylePr w:type="lastRow">
      <w:pPr>
        <w:widowControl w:val="0"/>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widowControl w:val="0"/>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widowControl w:val="0"/>
        <w:spacing w:before="0" w:after="0" w:line="240" w:lineRule="auto"/>
      </w:pPr>
      <w:rPr>
        <w:b/>
        <w:bCs/>
        <w:color w:val="FFFFFF" w:themeColor="background1"/>
      </w:rPr>
      <w:tblPr/>
      <w:tcPr>
        <w:shd w:val="clear" w:color="auto" w:fill="8064A2" w:themeFill="accent4"/>
      </w:tcPr>
    </w:tblStylePr>
    <w:tblStylePr w:type="lastRow">
      <w:pPr>
        <w:widowControl w:val="0"/>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widowControl w:val="0"/>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widowControl w:val="0"/>
        <w:spacing w:before="0" w:after="0" w:line="240" w:lineRule="auto"/>
      </w:pPr>
      <w:rPr>
        <w:b/>
        <w:bCs/>
        <w:color w:val="FFFFFF" w:themeColor="background1"/>
      </w:rPr>
      <w:tblPr/>
      <w:tcPr>
        <w:shd w:val="clear" w:color="auto" w:fill="4BACC6" w:themeFill="accent5"/>
      </w:tcPr>
    </w:tblStylePr>
    <w:tblStylePr w:type="lastRow">
      <w:pPr>
        <w:widowControl w:val="0"/>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widowControl w:val="0"/>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widowControl w:val="0"/>
        <w:spacing w:before="0" w:after="0" w:line="240" w:lineRule="auto"/>
      </w:pPr>
      <w:rPr>
        <w:b/>
        <w:bCs/>
        <w:color w:val="FFFFFF" w:themeColor="background1"/>
      </w:rPr>
      <w:tblPr/>
      <w:tcPr>
        <w:shd w:val="clear" w:color="auto" w:fill="F79646" w:themeFill="accent6"/>
      </w:tcPr>
    </w:tblStylePr>
    <w:tblStylePr w:type="lastRow">
      <w:pPr>
        <w:widowControl w:val="0"/>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widowControl w:val="0"/>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widowControl w:val="0"/>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widowControl w:val="0"/>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widowControl w:val="0"/>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widowControl w:val="0"/>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widowControl w:val="0"/>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widowControl w:val="0"/>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widowControl w:val="0"/>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widowControl w:val="0"/>
        <w:spacing w:before="0" w:after="0" w:line="240" w:lineRule="auto"/>
      </w:pPr>
      <w:rPr>
        <w:b/>
        <w:bCs/>
        <w:color w:val="FFFFFF" w:themeColor="background1"/>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widowControl w:val="0"/>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widowControl w:val="0"/>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widowControl w:val="0"/>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widowControl w:val="0"/>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widowControl w:val="0"/>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widowControl w:val="0"/>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widowControl w:val="0"/>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widowControl w:val="0"/>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widowControl w:val="0"/>
        <w:spacing w:before="0" w:after="0" w:line="240" w:lineRule="auto"/>
      </w:pPr>
      <w:rPr>
        <w:b/>
        <w:bCs/>
        <w:color w:val="FFFFFF" w:themeColor="background1"/>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widowControl w:val="0"/>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widowControl w:val="0"/>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widowControl w:val="0"/>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widowControl w:val="0"/>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widowControl w:val="0"/>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widowControl w:val="0"/>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widowControl w:val="0"/>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widowControl w:val="0"/>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widowControl w:val="0"/>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widowControl w:val="0"/>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widowControl w:val="0"/>
    </w:pPr>
    <w:rPr>
      <w:color w:val="000000" w:themeColor="text1"/>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widowControl w:val="0"/>
    </w:pPr>
    <w:rPr>
      <w:color w:val="000000" w:themeColor="text1"/>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widowControl w:val="0"/>
    </w:pPr>
    <w:rPr>
      <w:color w:val="000000" w:themeColor="text1"/>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widowControl w:val="0"/>
    </w:pPr>
    <w:rPr>
      <w:color w:val="000000" w:themeColor="text1"/>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widowControl w:val="0"/>
    </w:pPr>
    <w:rPr>
      <w:color w:val="000000" w:themeColor="text1"/>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widowControl w:val="0"/>
    </w:pPr>
    <w:rPr>
      <w:color w:val="000000" w:themeColor="text1"/>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widowControl w:val="0"/>
    </w:pPr>
    <w:rPr>
      <w:color w:val="000000" w:themeColor="text1"/>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widowControl w:val="0"/>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widowControl w:val="0"/>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widowControl w:val="0"/>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widowControl w:val="0"/>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widowControl w:val="0"/>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widowControl w:val="0"/>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widowControl w:val="0"/>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widowControl w:val="0"/>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widowControl w:val="0"/>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widowControl w:val="0"/>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widowControl w:val="0"/>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widowControl w:val="0"/>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widowControl w:val="0"/>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widowControl w:val="0"/>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widowControl w:val="0"/>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rPr>
      <w:tblPr/>
      <w:tcPr>
        <w:shd w:val="clear" w:color="auto" w:fill="E5E5E5"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widowControl w:val="0"/>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widowControl w:val="0"/>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widowControl w:val="0"/>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widowControl w:val="0"/>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widowControl w:val="0"/>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widowControl w:val="0"/>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widowControl w:val="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widowControl w:val="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widowControl w:val="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widowControl w:val="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widowControl w:val="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widowControl w:val="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widowControl w:val="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widowControl w:val="0"/>
    </w:pPr>
    <w:rPr>
      <w:color w:val="000000"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rPr>
    </w:tblStylePr>
    <w:tblStylePr w:type="nwCell">
      <w:rPr>
        <w:color w:val="000000" w:themeColor="text1"/>
      </w:rPr>
    </w:tblStylePr>
  </w:style>
  <w:style w:type="table" w:styleId="113">
    <w:name w:val="Colorful Shading Accent 1"/>
    <w:basedOn w:val="33"/>
    <w:uiPriority w:val="71"/>
    <w:pPr>
      <w:widowControl w:val="0"/>
    </w:pPr>
    <w:rPr>
      <w:color w:val="000000" w:themeColor="text1"/>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B4D74" w:themeFill="accen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rPr>
    </w:tblStylePr>
    <w:tblStylePr w:type="nwCell">
      <w:rPr>
        <w:color w:val="000000" w:themeColor="text1"/>
      </w:rPr>
    </w:tblStylePr>
  </w:style>
  <w:style w:type="table" w:styleId="114">
    <w:name w:val="Colorful Shading Accent 2"/>
    <w:basedOn w:val="33"/>
    <w:uiPriority w:val="71"/>
    <w:pPr>
      <w:widowControl w:val="0"/>
    </w:pPr>
    <w:rPr>
      <w:color w:val="000000" w:themeColor="text1"/>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15">
    <w:name w:val="Colorful Shading Accent 3"/>
    <w:basedOn w:val="33"/>
    <w:uiPriority w:val="71"/>
    <w:pPr>
      <w:widowControl w:val="0"/>
    </w:pPr>
    <w:rPr>
      <w:color w:val="000000" w:themeColor="text1"/>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widowControl w:val="0"/>
    </w:pPr>
    <w:rPr>
      <w:color w:val="000000" w:themeColor="text1"/>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17">
    <w:name w:val="Colorful Shading Accent 5"/>
    <w:basedOn w:val="33"/>
    <w:uiPriority w:val="71"/>
    <w:pPr>
      <w:widowControl w:val="0"/>
    </w:pPr>
    <w:rPr>
      <w:color w:val="000000" w:themeColor="text1"/>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18">
    <w:name w:val="Colorful Shading Accent 6"/>
    <w:basedOn w:val="33"/>
    <w:uiPriority w:val="71"/>
    <w:pPr>
      <w:widowControl w:val="0"/>
    </w:pPr>
    <w:rPr>
      <w:color w:val="000000" w:themeColor="text1"/>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7" w:themeFill="accent6"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19">
    <w:name w:val="Colorful List"/>
    <w:basedOn w:val="33"/>
    <w:uiPriority w:val="72"/>
    <w:pPr>
      <w:widowControl w:val="0"/>
    </w:pPr>
    <w:rPr>
      <w:color w:val="000000" w:themeColor="text1"/>
    </w:rPr>
    <w:tblPr>
      <w:tblStyleRowBandSize w:val="1"/>
      <w:tblStyleColBandSize w:val="1"/>
    </w:tblPr>
    <w:tcPr>
      <w:shd w:val="clear" w:color="auto" w:fill="E5E5E5"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widowControl w:val="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widowControl w:val="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widowControl w:val="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widowControl w:val="0"/>
    </w:pPr>
    <w:rPr>
      <w:color w:val="000000" w:themeColor="text1"/>
    </w:rPr>
    <w:tblPr>
      <w:tblStyleRowBandSize w:val="1"/>
      <w:tblStyleColBandSize w:val="1"/>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widowControl w:val="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3730A" w:themeFill="accent6" w:themeFillShade="CC"/>
      </w:tcPr>
    </w:tblStylePr>
    <w:tblStylePr w:type="lastRow">
      <w:rPr>
        <w:b/>
        <w:bCs/>
        <w:color w:val="F3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widowControl w:val="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widowControl w:val="0"/>
    </w:pPr>
    <w:rPr>
      <w:color w:val="000000" w:themeColor="text1"/>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widowControl w:val="0"/>
    </w:pPr>
    <w:rPr>
      <w:color w:val="000000" w:themeColor="text1"/>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6091" w:themeFill="accent1" w:themeFillShade="BF"/>
      </w:tcPr>
    </w:tblStylePr>
    <w:tblStylePr w:type="lastCol">
      <w:rPr>
        <w:color w:val="FFFFFF" w:themeColor="background1"/>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widowControl w:val="0"/>
    </w:pPr>
    <w:rPr>
      <w:color w:val="000000" w:themeColor="text1"/>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734" w:themeFill="accent2" w:themeFillShade="BF"/>
      </w:tcPr>
    </w:tblStylePr>
    <w:tblStylePr w:type="lastCol">
      <w:rPr>
        <w:color w:val="FFFFFF" w:themeColor="background1"/>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widowControl w:val="0"/>
    </w:pPr>
    <w:rPr>
      <w:color w:val="000000" w:themeColor="text1"/>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widowControl w:val="0"/>
    </w:pPr>
    <w:rPr>
      <w:color w:val="000000" w:themeColor="text1"/>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widowControl w:val="0"/>
    </w:pPr>
    <w:rPr>
      <w:color w:val="000000" w:themeColor="text1"/>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widowControl w:val="0"/>
    </w:pPr>
    <w:rPr>
      <w:color w:val="000000" w:themeColor="text1"/>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9" w:themeFill="accent6" w:themeFillShade="BF"/>
      </w:tcPr>
    </w:tblStylePr>
    <w:tblStylePr w:type="lastCol">
      <w:rPr>
        <w:color w:val="FFFFFF" w:themeColor="background1"/>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页眉 字符"/>
    <w:basedOn w:val="133"/>
    <w:link w:val="26"/>
    <w:qFormat/>
    <w:uiPriority w:val="99"/>
  </w:style>
  <w:style w:type="character" w:customStyle="1" w:styleId="137">
    <w:name w:val="页脚 字符"/>
    <w:basedOn w:val="133"/>
    <w:link w:val="25"/>
    <w:qFormat/>
    <w:uiPriority w:val="99"/>
  </w:style>
  <w:style w:type="paragraph" w:styleId="138">
    <w:name w:val="No Spacing"/>
    <w:qFormat/>
    <w:uiPriority w:val="1"/>
    <w:pPr>
      <w:widowControl w:val="0"/>
    </w:pPr>
    <w:rPr>
      <w:rFonts w:asciiTheme="minorHAnsi" w:hAnsiTheme="minorHAnsi" w:eastAsiaTheme="minorEastAsia" w:cstheme="minorBidi"/>
      <w:sz w:val="22"/>
      <w:szCs w:val="22"/>
      <w:lang w:val="en-US" w:eastAsia="en-US" w:bidi="ar-SA"/>
    </w:rPr>
  </w:style>
  <w:style w:type="character" w:customStyle="1" w:styleId="139">
    <w:name w:val="标题 1 字符"/>
    <w:basedOn w:val="133"/>
    <w:link w:val="3"/>
    <w:qFormat/>
    <w:uiPriority w:val="9"/>
    <w:rPr>
      <w:rFonts w:asciiTheme="majorHAnsi" w:hAnsiTheme="majorHAnsi" w:eastAsiaTheme="majorEastAsia" w:cstheme="majorBidi"/>
      <w:b/>
      <w:bCs/>
      <w:color w:val="366091" w:themeColor="accent1" w:themeShade="BF"/>
      <w:sz w:val="28"/>
      <w:szCs w:val="28"/>
    </w:rPr>
  </w:style>
  <w:style w:type="character" w:customStyle="1" w:styleId="140">
    <w:name w:val="标题 2 字符"/>
    <w:basedOn w:val="133"/>
    <w:link w:val="4"/>
    <w:qFormat/>
    <w:uiPriority w:val="9"/>
    <w:rPr>
      <w:rFonts w:asciiTheme="majorHAnsi" w:hAnsiTheme="majorHAnsi" w:eastAsiaTheme="majorEastAsia" w:cstheme="majorBidi"/>
      <w:b/>
      <w:bCs/>
      <w:color w:val="4F81BD" w:themeColor="accent1"/>
      <w:sz w:val="26"/>
      <w:szCs w:val="26"/>
    </w:rPr>
  </w:style>
  <w:style w:type="character" w:customStyle="1" w:styleId="141">
    <w:name w:val="标题 3 字符"/>
    <w:basedOn w:val="133"/>
    <w:link w:val="5"/>
    <w:qFormat/>
    <w:uiPriority w:val="9"/>
    <w:rPr>
      <w:rFonts w:asciiTheme="majorHAnsi" w:hAnsiTheme="majorHAnsi" w:eastAsiaTheme="majorEastAsia" w:cstheme="majorBidi"/>
      <w:b/>
      <w:bCs/>
      <w:color w:val="4F81BD" w:themeColor="accent1"/>
    </w:rPr>
  </w:style>
  <w:style w:type="character" w:customStyle="1" w:styleId="142">
    <w:name w:val="标题 字符"/>
    <w:basedOn w:val="133"/>
    <w:link w:val="32"/>
    <w:qFormat/>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143">
    <w:name w:val="副标题 字符"/>
    <w:basedOn w:val="133"/>
    <w:link w:val="27"/>
    <w:qFormat/>
    <w:uiPriority w:val="11"/>
    <w:rPr>
      <w:rFonts w:asciiTheme="majorHAnsi" w:hAnsiTheme="majorHAnsi" w:eastAsiaTheme="majorEastAsia" w:cstheme="majorBidi"/>
      <w:i/>
      <w:iCs/>
      <w:color w:val="4F81BD" w:themeColor="accent1"/>
      <w:spacing w:val="15"/>
      <w:sz w:val="24"/>
      <w:szCs w:val="24"/>
    </w:rPr>
  </w:style>
  <w:style w:type="paragraph" w:styleId="144">
    <w:name w:val="List Paragraph"/>
    <w:basedOn w:val="1"/>
    <w:qFormat/>
    <w:uiPriority w:val="34"/>
    <w:pPr>
      <w:ind w:left="720"/>
      <w:contextualSpacing/>
    </w:pPr>
  </w:style>
  <w:style w:type="character" w:customStyle="1" w:styleId="145">
    <w:name w:val="正文文本 字符"/>
    <w:basedOn w:val="133"/>
    <w:link w:val="19"/>
    <w:qFormat/>
    <w:uiPriority w:val="99"/>
  </w:style>
  <w:style w:type="character" w:customStyle="1" w:styleId="146">
    <w:name w:val="正文文本 2 字符"/>
    <w:basedOn w:val="133"/>
    <w:link w:val="29"/>
    <w:qFormat/>
    <w:uiPriority w:val="99"/>
  </w:style>
  <w:style w:type="character" w:customStyle="1" w:styleId="147">
    <w:name w:val="正文文本 3 字符"/>
    <w:basedOn w:val="133"/>
    <w:link w:val="17"/>
    <w:uiPriority w:val="99"/>
    <w:rPr>
      <w:sz w:val="16"/>
      <w:szCs w:val="16"/>
    </w:rPr>
  </w:style>
  <w:style w:type="character" w:customStyle="1" w:styleId="148">
    <w:name w:val="宏文本 字符"/>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rPr>
  </w:style>
  <w:style w:type="character" w:customStyle="1" w:styleId="150">
    <w:name w:val="引用 字符"/>
    <w:basedOn w:val="133"/>
    <w:link w:val="149"/>
    <w:qFormat/>
    <w:uiPriority w:val="29"/>
    <w:rPr>
      <w:i/>
      <w:iCs/>
      <w:color w:val="000000" w:themeColor="text1"/>
    </w:rPr>
  </w:style>
  <w:style w:type="character" w:customStyle="1" w:styleId="151">
    <w:name w:val="标题 4 字符"/>
    <w:basedOn w:val="133"/>
    <w:link w:val="6"/>
    <w:semiHidden/>
    <w:qFormat/>
    <w:uiPriority w:val="9"/>
    <w:rPr>
      <w:rFonts w:asciiTheme="majorHAnsi" w:hAnsiTheme="majorHAnsi" w:eastAsiaTheme="majorEastAsia" w:cstheme="majorBidi"/>
      <w:b/>
      <w:bCs/>
      <w:i/>
      <w:iCs/>
      <w:color w:val="4F81BD" w:themeColor="accent1"/>
    </w:rPr>
  </w:style>
  <w:style w:type="character" w:customStyle="1" w:styleId="152">
    <w:name w:val="标题 5 字符"/>
    <w:basedOn w:val="133"/>
    <w:link w:val="7"/>
    <w:semiHidden/>
    <w:qFormat/>
    <w:uiPriority w:val="9"/>
    <w:rPr>
      <w:rFonts w:asciiTheme="majorHAnsi" w:hAnsiTheme="majorHAnsi" w:eastAsiaTheme="majorEastAsia" w:cstheme="majorBidi"/>
      <w:color w:val="243F61" w:themeColor="accent1" w:themeShade="7F"/>
    </w:rPr>
  </w:style>
  <w:style w:type="character" w:customStyle="1" w:styleId="153">
    <w:name w:val="标题 6 字符"/>
    <w:basedOn w:val="133"/>
    <w:link w:val="8"/>
    <w:semiHidden/>
    <w:uiPriority w:val="9"/>
    <w:rPr>
      <w:rFonts w:asciiTheme="majorHAnsi" w:hAnsiTheme="majorHAnsi" w:eastAsiaTheme="majorEastAsia" w:cstheme="majorBidi"/>
      <w:i/>
      <w:iCs/>
      <w:color w:val="243F61" w:themeColor="accent1" w:themeShade="7F"/>
    </w:rPr>
  </w:style>
  <w:style w:type="character" w:customStyle="1" w:styleId="154">
    <w:name w:val="标题 7 字符"/>
    <w:basedOn w:val="133"/>
    <w:link w:val="9"/>
    <w:semiHidden/>
    <w:uiPriority w:val="9"/>
    <w:rPr>
      <w:rFonts w:asciiTheme="majorHAnsi" w:hAnsiTheme="majorHAnsi" w:eastAsiaTheme="majorEastAsia" w:cstheme="majorBidi"/>
      <w:i/>
      <w:iCs/>
      <w:color w:val="3F3F3F" w:themeColor="text1" w:themeTint="BF"/>
    </w:rPr>
  </w:style>
  <w:style w:type="character" w:customStyle="1" w:styleId="155">
    <w:name w:val="标题 8 字符"/>
    <w:basedOn w:val="133"/>
    <w:link w:val="10"/>
    <w:semiHidden/>
    <w:qFormat/>
    <w:uiPriority w:val="9"/>
    <w:rPr>
      <w:rFonts w:asciiTheme="majorHAnsi" w:hAnsiTheme="majorHAnsi" w:eastAsiaTheme="majorEastAsia" w:cstheme="majorBidi"/>
      <w:color w:val="4F81BD" w:themeColor="accent1"/>
      <w:sz w:val="20"/>
      <w:szCs w:val="20"/>
    </w:rPr>
  </w:style>
  <w:style w:type="character" w:customStyle="1" w:styleId="156">
    <w:name w:val="标题 9 字符"/>
    <w:basedOn w:val="133"/>
    <w:link w:val="11"/>
    <w:semiHidden/>
    <w:uiPriority w:val="9"/>
    <w:rPr>
      <w:rFonts w:asciiTheme="majorHAnsi" w:hAnsiTheme="majorHAnsi" w:eastAsiaTheme="majorEastAsia" w:cstheme="majorBidi"/>
      <w:i/>
      <w:iCs/>
      <w:color w:val="3F3F3F" w:themeColor="text1" w:themeTint="BF"/>
      <w:sz w:val="20"/>
      <w:szCs w:val="20"/>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rPr>
  </w:style>
  <w:style w:type="character" w:customStyle="1" w:styleId="158">
    <w:name w:val="明显引用 字符"/>
    <w:basedOn w:val="133"/>
    <w:link w:val="157"/>
    <w:qFormat/>
    <w:uiPriority w:val="30"/>
    <w:rPr>
      <w:b/>
      <w:bCs/>
      <w:i/>
      <w:iCs/>
      <w:color w:val="4F81BD" w:themeColor="accent1"/>
    </w:rPr>
  </w:style>
  <w:style w:type="character" w:customStyle="1" w:styleId="159">
    <w:name w:val="不明显强调1"/>
    <w:basedOn w:val="133"/>
    <w:qFormat/>
    <w:uiPriority w:val="19"/>
    <w:rPr>
      <w:i/>
      <w:iCs/>
      <w:color w:val="7F7F7F" w:themeColor="text1" w:themeTint="7F"/>
    </w:rPr>
  </w:style>
  <w:style w:type="character" w:customStyle="1" w:styleId="160">
    <w:name w:val="明显强调1"/>
    <w:basedOn w:val="133"/>
    <w:qFormat/>
    <w:uiPriority w:val="21"/>
    <w:rPr>
      <w:b/>
      <w:bCs/>
      <w:i/>
      <w:iCs/>
      <w:color w:val="4F81BD" w:themeColor="accent1"/>
    </w:rPr>
  </w:style>
  <w:style w:type="character" w:customStyle="1" w:styleId="161">
    <w:name w:val="不明显参考1"/>
    <w:basedOn w:val="133"/>
    <w:qFormat/>
    <w:uiPriority w:val="31"/>
    <w:rPr>
      <w:smallCaps/>
      <w:color w:val="C0504D" w:themeColor="accent2"/>
      <w:u w:val="single"/>
    </w:rPr>
  </w:style>
  <w:style w:type="character" w:customStyle="1" w:styleId="162">
    <w:name w:val="明显参考1"/>
    <w:basedOn w:val="133"/>
    <w:qFormat/>
    <w:uiPriority w:val="32"/>
    <w:rPr>
      <w:b/>
      <w:bCs/>
      <w:smallCaps/>
      <w:color w:val="C0504D" w:themeColor="accent2"/>
      <w:spacing w:val="5"/>
      <w:u w:val="single"/>
    </w:rPr>
  </w:style>
  <w:style w:type="character" w:customStyle="1" w:styleId="163">
    <w:name w:val="书籍标题1"/>
    <w:basedOn w:val="133"/>
    <w:qFormat/>
    <w:uiPriority w:val="33"/>
    <w:rPr>
      <w:b/>
      <w:bCs/>
      <w:smallCaps/>
      <w:spacing w:val="5"/>
    </w:rPr>
  </w:style>
  <w:style w:type="paragraph" w:customStyle="1" w:styleId="164">
    <w:name w:val="TOC 标题1"/>
    <w:basedOn w:val="3"/>
    <w:next w:val="1"/>
    <w:semiHidden/>
    <w:unhideWhenUsed/>
    <w:qFormat/>
    <w:uiPriority w:val="39"/>
    <w:pPr>
      <w:outlineLvl w:val="9"/>
    </w:pPr>
  </w:style>
  <w:style w:type="character" w:customStyle="1" w:styleId="165">
    <w:name w:val="批注框文本 字符"/>
    <w:basedOn w:val="133"/>
    <w:link w:val="24"/>
    <w:semiHidden/>
    <w:uiPriority w:val="99"/>
    <w:rPr>
      <w:rFonts w:ascii="Times New Roman" w:hAnsi="Times New Roman" w:eastAsia="仿宋_GB2312" w:cstheme="minorBidi"/>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49"/>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623</Words>
  <Characters>3553</Characters>
  <Lines>29</Lines>
  <Paragraphs>8</Paragraphs>
  <TotalTime>133</TotalTime>
  <ScaleCrop>false</ScaleCrop>
  <LinksUpToDate>false</LinksUpToDate>
  <CharactersWithSpaces>4168</CharactersWithSpaces>
  <Application>WPS Office_11.8.2.10170_F1E327BC-269C-435d-A152-05C5408002CA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root</cp:lastModifiedBy>
  <cp:lastPrinted>2026-09-23T17:38:00Z</cp:lastPrinted>
  <dcterms:modified xsi:type="dcterms:W3CDTF">2026-09-29T10:02:42Z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2052-11.8.2.10170</vt:lpwstr>
  </property>
  <property fmtid="{D5CDD505-2E9C-101B-9397-08002B2CF9AE}" pid="3" name="ICV">
    <vt:lpwstr>14D6253F94A140EF97858DB9A951CCF4</vt:lpwstr>
  </property>
  <property fmtid="{D5CDD505-2E9C-101B-9397-08002B2CF9AE}" pid="4" name="KSOTemplateDocerSaveRecord">
    <vt:lpwstr>eyJoZGlkIjoiMTJhM2YxNjFhMmJjNWJlZDUwOTU4MDExZjFmY2Y5MmYiLCJ1c2VySWQiOiIyNjA0NDc4MTEifQ==</vt:lpwstr>
  </property>
</Properties>
</file>